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525ds3.htm"/>
        <w:bookmarkStart w:id="1" w:name="ksd17525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April 1,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3"/>
        </w:rPr>
      </w:pPr>
      <w:r>
        <w:rPr>
          <w:rFonts w:ascii="Times New Roman" w:hAnsi="Times New Roman"/>
          <w:b/>
          <w:sz w:val="23"/>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45-1472564</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200 Sierra Point Parkway, 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Brisbane, California, 94005 </w:t>
      </w:r>
    </w:p>
    <w:p>
      <w:pPr>
        <w:pStyle w:val="TextBody"/>
        <w:bidi w:val="0"/>
        <w:spacing w:before="0" w:after="0"/>
        <w:jc w:val="center"/>
        <w:rPr>
          <w:rFonts w:ascii="Times New Roman" w:hAnsi="Times New Roman"/>
          <w:b/>
          <w:sz w:val="16"/>
        </w:rPr>
      </w:pPr>
      <w:r>
        <w:rPr>
          <w:rFonts w:ascii="Times New Roman" w:hAnsi="Times New Roman"/>
          <w:b/>
          <w:sz w:val="16"/>
        </w:rPr>
        <w:t xml:space="preserve">(415) 798-8589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Matthew Angel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200 Sierra Point Parkway, 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Brisbane, CA 94005 </w:t>
      </w:r>
    </w:p>
    <w:p>
      <w:pPr>
        <w:pStyle w:val="TextBody"/>
        <w:bidi w:val="0"/>
        <w:spacing w:before="0" w:after="0"/>
        <w:jc w:val="center"/>
        <w:rPr>
          <w:rFonts w:ascii="Times New Roman" w:hAnsi="Times New Roman"/>
          <w:b/>
          <w:sz w:val="16"/>
        </w:rPr>
      </w:pPr>
      <w:r>
        <w:rPr>
          <w:rFonts w:ascii="Times New Roman" w:hAnsi="Times New Roman"/>
          <w:b/>
          <w:sz w:val="16"/>
        </w:rPr>
        <w:t xml:space="preserve">(415) 798-8589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20" w:after="0"/>
        <w:jc w:val="center"/>
        <w:rPr>
          <w:rFonts w:ascii="Times New Roman" w:hAnsi="Times New Roman"/>
          <w:b/>
          <w:sz w:val="16"/>
        </w:rPr>
      </w:pPr>
      <w:r>
        <w:rPr>
          <w:rFonts w:ascii="Times New Roman" w:hAnsi="Times New Roman"/>
          <w:b/>
          <w:sz w:val="16"/>
        </w:rPr>
        <w:t xml:space="preserve">Laura Berezin </w:t>
      </w:r>
    </w:p>
    <w:p>
      <w:pPr>
        <w:pStyle w:val="TextBody"/>
        <w:bidi w:val="0"/>
        <w:spacing w:before="0" w:after="0"/>
        <w:jc w:val="center"/>
        <w:rPr>
          <w:rFonts w:ascii="Times New Roman" w:hAnsi="Times New Roman"/>
          <w:b/>
          <w:sz w:val="16"/>
        </w:rPr>
      </w:pPr>
      <w:r>
        <w:rPr>
          <w:rFonts w:ascii="Times New Roman" w:hAnsi="Times New Roman"/>
          <w:b/>
          <w:sz w:val="16"/>
        </w:rPr>
        <w:t xml:space="preserve">Jaime L. Chase </w:t>
      </w:r>
    </w:p>
    <w:p>
      <w:pPr>
        <w:pStyle w:val="TextBody"/>
        <w:bidi w:val="0"/>
        <w:spacing w:before="0" w:after="0"/>
        <w:jc w:val="center"/>
        <w:rPr>
          <w:rFonts w:ascii="Times New Roman" w:hAnsi="Times New Roman"/>
          <w:b/>
          <w:sz w:val="16"/>
        </w:rPr>
      </w:pPr>
      <w:r>
        <w:rPr>
          <w:rFonts w:ascii="Times New Roman" w:hAnsi="Times New Roman"/>
          <w:b/>
          <w:sz w:val="16"/>
        </w:rPr>
        <w:t xml:space="preserve">Asa M. Henin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1700 Seventh Avenue, Suite 1900 </w:t>
      </w:r>
    </w:p>
    <w:p>
      <w:pPr>
        <w:pStyle w:val="TextBody"/>
        <w:bidi w:val="0"/>
        <w:spacing w:before="0" w:after="0"/>
        <w:jc w:val="center"/>
        <w:rPr>
          <w:rFonts w:ascii="Times New Roman" w:hAnsi="Times New Roman"/>
          <w:b/>
          <w:sz w:val="16"/>
        </w:rPr>
      </w:pPr>
      <w:r>
        <w:rPr>
          <w:rFonts w:ascii="Times New Roman" w:hAnsi="Times New Roman"/>
          <w:b/>
          <w:sz w:val="16"/>
        </w:rPr>
        <w:t xml:space="preserve">Seattle, Washington 98101 </w:t>
      </w:r>
    </w:p>
    <w:p>
      <w:pPr>
        <w:pStyle w:val="TextBody"/>
        <w:bidi w:val="0"/>
        <w:spacing w:before="0" w:after="0"/>
        <w:jc w:val="center"/>
        <w:rPr>
          <w:rFonts w:ascii="Times New Roman" w:hAnsi="Times New Roman"/>
          <w:b/>
          <w:sz w:val="16"/>
        </w:rPr>
      </w:pPr>
      <w:r>
        <w:rPr>
          <w:rFonts w:ascii="Times New Roman" w:hAnsi="Times New Roman"/>
          <w:b/>
          <w:sz w:val="16"/>
        </w:rPr>
        <w:t xml:space="preserve">(206) 452-8756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bidi w:val="0"/>
        <w:spacing w:before="0" w:after="0"/>
        <w:jc w:val="center"/>
        <w:rPr>
          <w:rFonts w:ascii="Times New Roman" w:hAnsi="Times New Roman"/>
          <w:b/>
          <w:sz w:val="14"/>
        </w:rPr>
      </w:pPr>
      <w:r>
        <w:rPr>
          <w:rFonts w:ascii="Times New Roman" w:hAnsi="Times New Roman"/>
          <w:b/>
          <w:sz w:val="14"/>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3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APRIL 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2,777,781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6954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191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offer and resale from time to time of up to an aggregate 2,777,781 shares of our common stock, par value $0.001 per share (the “Shares”) consisting of (i) 462,964 shares of our common stock, (ii) 925,927 shares of our common stock issuable upon the exercise of outstanding Series A Warrants (the “Series A Warrants”), (iii) 925,927 shares of our common stock issuable upon the exercise of outstanding Series B Warrants (the “Series B Warrants”), and (iv) 462,963 shares of our common stock issuable upon the exercise of pre-funded warrants (the “Pre-Funded Warrants,” and together with the Series A Warrants and the Series B Warrants, the “Warrants”) by the selling stockholders named herein, together with any additional selling stockholders listed in a prospectus supplement (together with any of such stockholders’ transferees, pledgees, donees or successors). The Shares were acquired by the selling stockholders named herein pursuant to a securities purchase agreement, dated March 20, 2026 (the “Purchase Agreement”), by and among us and the parties named therein, in a transaction more fully described in the section titled “Prospectus Summary.”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offer and sale of the Shares from time to time by the selling stockholders to satisfy the registration rights granted in connection with the issuance of the Shares. We will not receive any proceeds from the sale of the Shares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trading symbol “TPST.” On March 31, 2026, the closing price of our common stock was $1.64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Before making an investment decision, please read the information under “</w:t>
      </w:r>
      <w:hyperlink w:anchor="tx17525_3">
        <w:r>
          <w:rPr>
            <w:rStyle w:val="InternetLink"/>
            <w:rFonts w:ascii="Times New Roman" w:hAnsi="Times New Roman"/>
            <w:b/>
            <w:sz w:val="24"/>
          </w:rPr>
          <w:t>Risk Factors</w:t>
        </w:r>
      </w:hyperlink>
      <w:r>
        <w:rPr>
          <w:rFonts w:ascii="Times New Roman" w:hAnsi="Times New Roman"/>
          <w:b/>
          <w:sz w:val="24"/>
        </w:rPr>
        <w:t xml:space="preserve">” on page 4 of this prospectus and under similar headings in any amendment or supplement to this prospectus or in any filing with the Securities and Exchange Commission that is incorporated by reference herein.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752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7525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52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(“SEC”), using a “shelf” registration process. Under this registration statement, the selling stockholders may sell from time to time in one or more offerings the common stock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the terms “we,” “us,” “our,” and our “company” refer to Tempest Therapeutics,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17525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certain information about us, the Private Placement (as defined below)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 (“rrMM”). 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The study is expected to be funded by the National Cancer Institute and conducted through the Cancer Prevention Clinical Trials Network, enabling advancement with limited internal capital deployment.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information about our company, including recent developments, is contained in the documents incorporated by reference into this prospectus supplement and the accompanying prospectus, including our Annual Report on Form 10-K that we filed with the SEC on March 30,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20, 2026, we entered into the Purchase Agreement with (a) two institutional investors (the “Institutional Investors”) and (b) Factor Bioscience Inc. (“Factor” and, together with the Institutional Investors, each, an “Investor” and, together, the “Investors”), pursuant to which we agreed to issue and sell in a private placement (the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Series B Warrants together with the Series A Warrants, the “Common Warrants”). The shares of common stock and the Common Warrants were immediately separable and were issued separately.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Purchase Agreement, we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Private Placement, we entered into a registration rights agreement with the Investors (the “Registration Rights Agreement”), pursuant to which we agreed to file registration statements under the Securities Act of 1933, as amended (the “Securities Act”) with the SEC covering the resale of the shares of common stock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and a Non-Accelerated Filer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of the Securities Exchange Act of 1934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as a non-accelerated filer, we may continue to take advantage of the exception from compliance with the auditor attestation requirements of Section 404 of the Sarbanes-Oxley Act of 2002, as amended.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supplement the information on, or accessible through, our website, and you should not consider it as part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Up to an aggregate of 2,777,781 Shares, including 462,963 shares of our common stock issuable upon the exercise of the Pre-Funded Warrants and 1,851,854 shares of our common stock issuable upon the exercise of the Common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See “Risk Factors” on page 4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Nasdaq Capital Market symbol</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TPST.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stockholders named in this prospectus may offer and sell up to 2,777,781 shares of our common stock. Our common stock is currently listed on Nasdaq Capital Market under the symbol “TPST.” Shares of our common stock that may be offered under this prospectus are, or will be upon exercise of the Warrants, fully paid and non-assessable. We will not receive any of the proceeds from sales by the selling stockholders of any of the common stock covered by this prospectus. Throughout this prospectus, when we refer to the shares of our common stock being registered on behalf of the selling stockholders for offer and resale, we are referring to the Shares. When we refer to the selling stockholders in this prospectus, we are referring to the selling stockholders identified in this prospectus and, as applicable, their respective permitted transferees or other successors-in-interest that may be identified in a supplement to this prospectus or, if required, a post-effective amendment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7525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7525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discuss many of these risks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7525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or other disposition of shares of our common stock held by the selling stockholders pursuant to this prospectus; however, we will receive proceeds from any cash exercise of the Common Warrants and nominal proceeds from any cash exercise of the Pre-Funded Warrants.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7525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stockholders under this prospectus, consisting of the Shares. This information has been obtained from the selling stockholders. The percentage of shares of common stock owned after the offering is based on 14,344,034 shares of common stock outstanding as of March 30, 2026.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 </w:t>
      </w:r>
    </w:p>
    <w:p>
      <w:pPr>
        <w:pStyle w:val="TextBody"/>
        <w:bidi w:val="0"/>
        <w:spacing w:before="0" w:after="0"/>
        <w:jc w:val="left"/>
        <w:rPr/>
      </w:pPr>
      <w:r>
        <w:rPr/>
        <w:t> </w:t>
      </w:r>
    </w:p>
    <w:tbl>
      <w:tblPr>
        <w:tblW w:w="11018" w:type="dxa"/>
        <w:jc w:val="center"/>
        <w:tblInd w:w="0" w:type="dxa"/>
        <w:tblLayout w:type="fixed"/>
        <w:tblCellMar>
          <w:top w:w="0" w:type="dxa"/>
          <w:left w:w="0" w:type="dxa"/>
          <w:bottom w:w="0" w:type="dxa"/>
          <w:right w:w="0" w:type="dxa"/>
        </w:tblCellMar>
      </w:tblPr>
      <w:tblGrid>
        <w:gridCol w:w="2075"/>
        <w:gridCol w:w="120"/>
        <w:gridCol w:w="150"/>
        <w:gridCol w:w="2450"/>
        <w:gridCol w:w="60"/>
        <w:gridCol w:w="120"/>
        <w:gridCol w:w="78"/>
        <w:gridCol w:w="1277"/>
        <w:gridCol w:w="60"/>
        <w:gridCol w:w="120"/>
        <w:gridCol w:w="253"/>
        <w:gridCol w:w="1627"/>
        <w:gridCol w:w="64"/>
        <w:gridCol w:w="129"/>
        <w:gridCol w:w="317"/>
        <w:gridCol w:w="2058"/>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26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Beneficially Owned prior</w:t>
              <w:br/>
              <w:t>to this Offering</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 Offering(2)</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vMerge w:val="continue"/>
            <w:tcBorders/>
            <w:vAlign w:val="bottom"/>
          </w:tcPr>
          <w:p>
            <w:pPr>
              <w:pStyle w:val="Normal"/>
              <w:bidi w:val="0"/>
              <w:jc w:val="left"/>
              <w:rPr/>
            </w:pPr>
            <w:r>
              <w:rPr/>
            </w:r>
          </w:p>
        </w:tc>
        <w:tc>
          <w:tcPr>
            <w:tcW w:w="26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Being</w:t>
              <w:br/>
              <w:t>Offered(1)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Outstanding</w:t>
              <w:br/>
              <w:t>Common Stock</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Armistice Capital, LLC(3)</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1,388,889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1,388,889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Intracoastal Capital, LLC(4)</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694,446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694,446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Factor Bioscience Inc.(5)</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694,446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694,446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all of the shares of our common stock that the selling stockholders may offer and sell from time to time under this prospectus without giving effect to the beneficial ownership limitation in the Pre-Funded Warrants or the Common Warrants.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selling stockholders sell all Shares registered under this prospectus, but that such selling stockholders don’t sell or otherwise dispose of any of the other shares of common stock that it beneficially owns as of the date hereof.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462,963 shares of common stock issuable upon the exercise of Pre-Funded Warrants held be the selling stockholder, (ii) 462,963 shares of common stock issuable upon the exercise of Series A Warrants held by the selling stockholder and (iii) 462,963 shares of common stock issuable upon the exercise of Series B Warrants held by the selling stockholder.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owning, after exercise, a number of shares of common stock in excess of the beneficial ownership limitation. The address of Armistice Capital Master Fund Ltd. is c/o Armistice Capital, LLC, 510 Madison Avenue, 7th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231,482 shares of common stock held by the selling stockholder, (ii) 231,482 shares of common stock issuable upon the exercise of Series A Warrants held by the selling stockholder and (iii) 231,482 shares of common stock issuable upon the exercise of Series B Warrants held by the selling stockholder. Mitchell P. Kopin (“Mr. Kopin”) and Daniel B. Asher (“Mr.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address of Intracoastal Capital is 245 Palm Trail, Delray Beach, FL 33483.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231,482 shares of common stock held by the selling stockholder, (ii) 231,482 shares of common stock issuable upon the exercise of Series A Warrants held by the selling stockholder and (iii) 231,482 shares of common stock issuable upon the exercise of Series B Warrants held by the selling stockholder. The address of Factor is 1035 Cambridge St., Suite 17B, Cambridge, MA 02141.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greater detail above under the section “Prospectus Summary—Private Placement,” on March 20, 2026, we entered into the Purchase Agreement with (a) the Institutional Investors and (b) Factor, pursuant to which we agreed to issue and sell in the Private Placement an aggregate of 462,964 shares of our common stock, and, in lieu of common stock, Pre-Funded Warrants to purchase up to 462,963 shares of our common stock, in each case accompanied by (i) Series A Warrants to purchase shares of our common stock and (ii) Series B Warrants to purchase shares of our common stock. Dr. Matthew Angel, who is our Chief Executive Officer and a director, is a majority equityholder of the parent of Factor and Chairman of the Board of Directors of Factor. Pursuant to the Purchase Agreement, we sold an aggregate of 231,482 shares of our common stock, 231,482 Series A Warrants and 231,482 Series B Warrants to Factor in exchange for $500,001.12, before deducting placement agent fees and other offering expenses payable by us. No other selling stockholder or any persons having control over such selling stockholder has held any position or office with us or our affiliates within the last three years or has had a material relationship with us or any of our predecessors or affiliates within the past three years, other than as a result of the ownership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7525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may become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reserves the right to accept and, together with their agents from time to time, to reject, in whole or in part, any proposed purchase of common stock to be made directly or through agents. We will not receive any of the proceeds from this offering. However, we will receive proceeds from any cash exercise of the Common Warrants and nominal proceeds from any cash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our best efforts to cause the registration statement of which this prospectus constitutes a part to become effective and to remain continuously effective until such time as the selling stockholders no longer owns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7525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validity of the shares of common stock offered by this prospectus, will be passed upon by Cooley LLP. </w:t>
      </w:r>
    </w:p>
    <w:p>
      <w:pPr>
        <w:pStyle w:val="TextBody"/>
        <w:bidi w:val="0"/>
        <w:spacing w:before="480" w:after="0"/>
        <w:jc w:val="center"/>
        <w:rPr>
          <w:rFonts w:ascii="Times New Roman" w:hAnsi="Times New Roman"/>
          <w:b/>
          <w:sz w:val="20"/>
        </w:rPr>
      </w:pPr>
      <w:bookmarkStart w:id="11" w:name="tx17525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2" w:name="tx17525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www.tempesttx.com. Information contained in or accessible through our website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7525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 (File No. 001-35890):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January 9, 2026</w:t>
              </w:r>
            </w:hyperlink>
            <w:r>
              <w:rPr>
                <w:rFonts w:ascii="Times New Roman" w:hAnsi="Times New Roman"/>
                <w:sz w:val="20"/>
              </w:rPr>
              <w:t xml:space="preserve">,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6,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and </w:t>
            </w:r>
            <w:hyperlink r:id="rId8">
              <w:r>
                <w:rPr>
                  <w:rStyle w:val="InternetLink"/>
                  <w:rFonts w:ascii="Times New Roman" w:hAnsi="Times New Roman"/>
                  <w:sz w:val="20"/>
                </w:rPr>
                <w:t>March 23, 2026</w:t>
              </w:r>
            </w:hyperlink>
            <w:r>
              <w:rPr>
                <w:rFonts w:ascii="Times New Roman" w:hAnsi="Times New Roman"/>
                <w:sz w:val="20"/>
              </w:rPr>
              <w:t xml:space="preserve">,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 No. 001-35890), filed with the SEC on April 25, 2013, including any amendments thereto or reports filed for the purposes of updating this description, including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payable by us in connection with the sale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5"/>
        <w:gridCol w:w="412"/>
        <w:gridCol w:w="147"/>
        <w:gridCol w:w="783"/>
        <w:gridCol w:w="62"/>
      </w:tblGrid>
      <w:tr>
        <w:trPr/>
        <w:tc>
          <w:tcPr>
            <w:tcW w:w="5535"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35"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9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fees</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606</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15,000</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30,000</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4,394</w:t>
            </w:r>
          </w:p>
        </w:tc>
        <w:tc>
          <w:tcPr>
            <w:tcW w:w="62" w:type="dxa"/>
            <w:tcBorders/>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our directors, officers, employees and other agents to the maximum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
        <w:gridCol w:w="317"/>
        <w:gridCol w:w="3534"/>
        <w:gridCol w:w="194"/>
        <w:gridCol w:w="1057"/>
        <w:gridCol w:w="194"/>
        <w:gridCol w:w="1082"/>
        <w:gridCol w:w="194"/>
        <w:gridCol w:w="774"/>
        <w:gridCol w:w="193"/>
        <w:gridCol w:w="1768"/>
      </w:tblGrid>
      <w:tr>
        <w:trPr/>
        <w:tc>
          <w:tcPr>
            <w:tcW w:w="898"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89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17" w:type="dxa"/>
            <w:tcBorders/>
            <w:vAlign w:val="bottom"/>
          </w:tcPr>
          <w:p>
            <w:pPr>
              <w:pStyle w:val="TableContents"/>
              <w:bidi w:val="0"/>
              <w:spacing w:before="0" w:after="283"/>
              <w:jc w:val="left"/>
              <w:rPr/>
            </w:pPr>
            <w:r>
              <w:rPr/>
              <w:t>  </w:t>
            </w:r>
          </w:p>
        </w:tc>
        <w:tc>
          <w:tcPr>
            <w:tcW w:w="35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94" w:type="dxa"/>
            <w:tcBorders/>
            <w:vAlign w:val="bottom"/>
          </w:tcPr>
          <w:p>
            <w:pPr>
              <w:pStyle w:val="TableContents"/>
              <w:bidi w:val="0"/>
              <w:spacing w:before="0" w:after="283"/>
              <w:jc w:val="left"/>
              <w:rPr/>
            </w:pPr>
            <w:r>
              <w:rPr/>
              <w:t>  </w:t>
            </w:r>
          </w:p>
        </w:tc>
        <w:tc>
          <w:tcPr>
            <w:tcW w:w="1057" w:type="dxa"/>
            <w:tcBorders>
              <w:bottom w:val="single" w:sz="8" w:space="0" w:color="000000"/>
            </w:tcBorders>
            <w:tcMar>
              <w:bottom w:w="28" w:type="dxa"/>
            </w:tcMar>
            <w:vAlign w:val="bottom"/>
          </w:tcPr>
          <w:p>
            <w:pPr>
              <w:pStyle w:val="TableContents"/>
              <w:bidi w:val="0"/>
              <w:spacing w:before="0" w:after="283"/>
              <w:jc w:val="center"/>
              <w:rPr>
                <w:b/>
              </w:rPr>
            </w:pPr>
            <w:r>
              <w:rPr>
                <w:b/>
              </w:rPr>
              <w:t>Schedule /</w:t>
              <w:br/>
              <w:t>Form</w:t>
            </w:r>
          </w:p>
        </w:tc>
        <w:tc>
          <w:tcPr>
            <w:tcW w:w="194" w:type="dxa"/>
            <w:tcBorders/>
            <w:vAlign w:val="bottom"/>
          </w:tcPr>
          <w:p>
            <w:pPr>
              <w:pStyle w:val="TableContents"/>
              <w:bidi w:val="0"/>
              <w:spacing w:before="0" w:after="283"/>
              <w:jc w:val="left"/>
              <w:rPr/>
            </w:pPr>
            <w:r>
              <w:rPr/>
              <w:t>  </w:t>
            </w:r>
          </w:p>
        </w:tc>
        <w:tc>
          <w:tcPr>
            <w:tcW w:w="1082" w:type="dxa"/>
            <w:tcBorders>
              <w:bottom w:val="single" w:sz="8" w:space="0" w:color="000000"/>
            </w:tcBorders>
            <w:tcMar>
              <w:bottom w:w="28" w:type="dxa"/>
            </w:tcMar>
            <w:vAlign w:val="bottom"/>
          </w:tcPr>
          <w:p>
            <w:pPr>
              <w:pStyle w:val="TableContents"/>
              <w:bidi w:val="0"/>
              <w:spacing w:before="0" w:after="283"/>
              <w:jc w:val="center"/>
              <w:rPr>
                <w:b/>
              </w:rPr>
            </w:pPr>
            <w:r>
              <w:rPr>
                <w:b/>
              </w:rPr>
              <w:t>File Number</w:t>
            </w:r>
          </w:p>
        </w:tc>
        <w:tc>
          <w:tcPr>
            <w:tcW w:w="194" w:type="dxa"/>
            <w:tcBorders/>
            <w:vAlign w:val="bottom"/>
          </w:tcPr>
          <w:p>
            <w:pPr>
              <w:pStyle w:val="TableContents"/>
              <w:bidi w:val="0"/>
              <w:spacing w:before="0" w:after="283"/>
              <w:jc w:val="left"/>
              <w:rPr/>
            </w:pPr>
            <w:r>
              <w:rPr/>
              <w:t>  </w:t>
            </w:r>
          </w:p>
        </w:tc>
        <w:tc>
          <w:tcPr>
            <w:tcW w:w="774"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3" w:type="dxa"/>
            <w:tcBorders/>
            <w:vAlign w:val="bottom"/>
          </w:tcPr>
          <w:p>
            <w:pPr>
              <w:pStyle w:val="TableContents"/>
              <w:bidi w:val="0"/>
              <w:spacing w:before="0" w:after="283"/>
              <w:jc w:val="left"/>
              <w:rPr/>
            </w:pPr>
            <w:r>
              <w:rPr/>
              <w:t>  </w:t>
            </w:r>
          </w:p>
        </w:tc>
        <w:tc>
          <w:tcPr>
            <w:tcW w:w="1768" w:type="dxa"/>
            <w:tcBorders>
              <w:bottom w:val="single" w:sz="8" w:space="0" w:color="000000"/>
            </w:tcBorders>
            <w:tcMar>
              <w:bottom w:w="28" w:type="dxa"/>
            </w:tcMar>
            <w:vAlign w:val="bottom"/>
          </w:tcPr>
          <w:p>
            <w:pPr>
              <w:pStyle w:val="TableContents"/>
              <w:bidi w:val="0"/>
              <w:spacing w:before="0" w:after="283"/>
              <w:jc w:val="center"/>
              <w:rPr>
                <w:b/>
              </w:rPr>
            </w:pPr>
            <w:r>
              <w:rPr>
                <w:b/>
              </w:rPr>
              <w:t>File Date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851" w:type="dxa"/>
            <w:gridSpan w:val="2"/>
            <w:tcBorders/>
            <w:vAlign w:val="center"/>
          </w:tcPr>
          <w:p>
            <w:pPr>
              <w:pStyle w:val="TableContents"/>
              <w:bidi w:val="0"/>
              <w:spacing w:before="0" w:after="283"/>
              <w:jc w:val="left"/>
              <w:rPr>
                <w:sz w:val="4"/>
                <w:szCs w:val="4"/>
              </w:rPr>
            </w:pPr>
            <w:r>
              <w:rPr>
                <w:sz w:val="4"/>
                <w:szCs w:val="4"/>
              </w:rPr>
            </w:r>
          </w:p>
        </w:tc>
        <w:tc>
          <w:tcPr>
            <w:tcW w:w="1251"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w:t>
            </w:r>
          </w:p>
        </w:tc>
        <w:tc>
          <w:tcPr>
            <w:tcW w:w="317"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hyperlink r:id="rId11">
              <w:r>
                <w:rPr>
                  <w:rStyle w:val="InternetLink"/>
                </w:rPr>
                <w:t>Restated Certificate of Incorporation of the Registrant, as amended</w:t>
              </w:r>
            </w:hyperlink>
          </w:p>
        </w:tc>
        <w:tc>
          <w:tcPr>
            <w:tcW w:w="194" w:type="dxa"/>
            <w:tcBorders/>
            <w:vAlign w:val="bottom"/>
          </w:tcPr>
          <w:p>
            <w:pPr>
              <w:pStyle w:val="TableContents"/>
              <w:bidi w:val="0"/>
              <w:spacing w:before="0" w:after="283"/>
              <w:jc w:val="left"/>
              <w:rPr/>
            </w:pPr>
            <w:r>
              <w:rPr/>
              <w:t>  </w:t>
            </w:r>
          </w:p>
        </w:tc>
        <w:tc>
          <w:tcPr>
            <w:tcW w:w="1057" w:type="dxa"/>
            <w:tcBorders/>
          </w:tcPr>
          <w:p>
            <w:pPr>
              <w:pStyle w:val="TableContents"/>
              <w:bidi w:val="0"/>
              <w:spacing w:before="0" w:after="283"/>
              <w:jc w:val="center"/>
              <w:rPr/>
            </w:pPr>
            <w:r>
              <w:rPr/>
              <w:t>Form 10-Q</w:t>
            </w:r>
          </w:p>
        </w:tc>
        <w:tc>
          <w:tcPr>
            <w:tcW w:w="194"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May 15, 2019</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851" w:type="dxa"/>
            <w:gridSpan w:val="2"/>
            <w:tcBorders/>
            <w:vAlign w:val="center"/>
          </w:tcPr>
          <w:p>
            <w:pPr>
              <w:pStyle w:val="TableContents"/>
              <w:bidi w:val="0"/>
              <w:spacing w:before="0" w:after="283"/>
              <w:jc w:val="left"/>
              <w:rPr>
                <w:sz w:val="4"/>
                <w:szCs w:val="4"/>
              </w:rPr>
            </w:pPr>
            <w:r>
              <w:rPr>
                <w:sz w:val="4"/>
                <w:szCs w:val="4"/>
              </w:rPr>
            </w:r>
          </w:p>
        </w:tc>
        <w:tc>
          <w:tcPr>
            <w:tcW w:w="1251"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w:t>
            </w:r>
          </w:p>
        </w:tc>
        <w:tc>
          <w:tcPr>
            <w:tcW w:w="317"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hyperlink r:id="rId12">
              <w:r>
                <w:rPr>
                  <w:rStyle w:val="InternetLink"/>
                </w:rPr>
                <w:t>Certificate of Amendment to the Restated Certificate of Incorporation of the Company, as filed with the Secretary of State of the State of Delaware on June 24, 2021</w:t>
              </w:r>
            </w:hyperlink>
          </w:p>
        </w:tc>
        <w:tc>
          <w:tcPr>
            <w:tcW w:w="194" w:type="dxa"/>
            <w:tcBorders/>
            <w:vAlign w:val="bottom"/>
          </w:tcPr>
          <w:p>
            <w:pPr>
              <w:pStyle w:val="TableContents"/>
              <w:bidi w:val="0"/>
              <w:spacing w:before="0" w:after="283"/>
              <w:jc w:val="left"/>
              <w:rPr/>
            </w:pPr>
            <w:r>
              <w:rPr/>
              <w:t>  </w:t>
            </w:r>
          </w:p>
        </w:tc>
        <w:tc>
          <w:tcPr>
            <w:tcW w:w="1057" w:type="dxa"/>
            <w:tcBorders/>
          </w:tcPr>
          <w:p>
            <w:pPr>
              <w:pStyle w:val="TableContents"/>
              <w:bidi w:val="0"/>
              <w:spacing w:before="0" w:after="283"/>
              <w:jc w:val="center"/>
              <w:rPr/>
            </w:pPr>
            <w:r>
              <w:rPr/>
              <w:t>Form 8-K</w:t>
            </w:r>
          </w:p>
        </w:tc>
        <w:tc>
          <w:tcPr>
            <w:tcW w:w="194"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June 28, 2021</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851" w:type="dxa"/>
            <w:gridSpan w:val="2"/>
            <w:tcBorders/>
            <w:vAlign w:val="center"/>
          </w:tcPr>
          <w:p>
            <w:pPr>
              <w:pStyle w:val="TableContents"/>
              <w:bidi w:val="0"/>
              <w:spacing w:before="0" w:after="283"/>
              <w:jc w:val="left"/>
              <w:rPr>
                <w:sz w:val="4"/>
                <w:szCs w:val="4"/>
              </w:rPr>
            </w:pPr>
            <w:r>
              <w:rPr>
                <w:sz w:val="4"/>
                <w:szCs w:val="4"/>
              </w:rPr>
            </w:r>
          </w:p>
        </w:tc>
        <w:tc>
          <w:tcPr>
            <w:tcW w:w="1251"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4.3</w:t>
            </w:r>
          </w:p>
        </w:tc>
        <w:tc>
          <w:tcPr>
            <w:tcW w:w="317"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hyperlink r:id="rId13">
              <w:r>
                <w:rPr>
                  <w:rStyle w:val="InternetLink"/>
                </w:rPr>
                <w:t>Certificate of Amendment to the Restated Certificate of Incorporation of the Company, as filed with the Secretary of State of the State of Delaware on June 25, 2021</w:t>
              </w:r>
            </w:hyperlink>
          </w:p>
        </w:tc>
        <w:tc>
          <w:tcPr>
            <w:tcW w:w="194" w:type="dxa"/>
            <w:tcBorders/>
            <w:vAlign w:val="bottom"/>
          </w:tcPr>
          <w:p>
            <w:pPr>
              <w:pStyle w:val="TableContents"/>
              <w:bidi w:val="0"/>
              <w:spacing w:before="0" w:after="283"/>
              <w:jc w:val="left"/>
              <w:rPr/>
            </w:pPr>
            <w:r>
              <w:rPr/>
              <w:t>  </w:t>
            </w:r>
          </w:p>
        </w:tc>
        <w:tc>
          <w:tcPr>
            <w:tcW w:w="1057" w:type="dxa"/>
            <w:tcBorders/>
          </w:tcPr>
          <w:p>
            <w:pPr>
              <w:pStyle w:val="TableContents"/>
              <w:bidi w:val="0"/>
              <w:spacing w:before="0" w:after="283"/>
              <w:jc w:val="center"/>
              <w:rPr/>
            </w:pPr>
            <w:r>
              <w:rPr/>
              <w:t>Form 8-K</w:t>
            </w:r>
          </w:p>
        </w:tc>
        <w:tc>
          <w:tcPr>
            <w:tcW w:w="194"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center"/>
              <w:rPr/>
            </w:pPr>
            <w:r>
              <w:rPr/>
              <w:t>3.2</w:t>
            </w:r>
          </w:p>
        </w:tc>
        <w:tc>
          <w:tcPr>
            <w:tcW w:w="193"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June 28, 2021</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851" w:type="dxa"/>
            <w:gridSpan w:val="2"/>
            <w:tcBorders/>
            <w:vAlign w:val="center"/>
          </w:tcPr>
          <w:p>
            <w:pPr>
              <w:pStyle w:val="TableContents"/>
              <w:bidi w:val="0"/>
              <w:spacing w:before="0" w:after="283"/>
              <w:jc w:val="left"/>
              <w:rPr>
                <w:sz w:val="4"/>
                <w:szCs w:val="4"/>
              </w:rPr>
            </w:pPr>
            <w:r>
              <w:rPr>
                <w:sz w:val="4"/>
                <w:szCs w:val="4"/>
              </w:rPr>
            </w:r>
          </w:p>
        </w:tc>
        <w:tc>
          <w:tcPr>
            <w:tcW w:w="1251"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4.4</w:t>
            </w:r>
          </w:p>
        </w:tc>
        <w:tc>
          <w:tcPr>
            <w:tcW w:w="317"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hyperlink r:id="rId14">
              <w:r>
                <w:rPr>
                  <w:rStyle w:val="InternetLink"/>
                </w:rPr>
                <w:t>Certificate of Designation of Series A Junior Participating Preferred Stock filed with the Secretary of State of the State of Delaware on October  10, 2023</w:t>
              </w:r>
            </w:hyperlink>
          </w:p>
        </w:tc>
        <w:tc>
          <w:tcPr>
            <w:tcW w:w="194" w:type="dxa"/>
            <w:tcBorders/>
            <w:vAlign w:val="bottom"/>
          </w:tcPr>
          <w:p>
            <w:pPr>
              <w:pStyle w:val="TableContents"/>
              <w:bidi w:val="0"/>
              <w:spacing w:before="0" w:after="283"/>
              <w:jc w:val="left"/>
              <w:rPr/>
            </w:pPr>
            <w:r>
              <w:rPr/>
              <w:t>  </w:t>
            </w:r>
          </w:p>
        </w:tc>
        <w:tc>
          <w:tcPr>
            <w:tcW w:w="1057" w:type="dxa"/>
            <w:tcBorders/>
          </w:tcPr>
          <w:p>
            <w:pPr>
              <w:pStyle w:val="TableContents"/>
              <w:bidi w:val="0"/>
              <w:spacing w:before="0" w:after="283"/>
              <w:jc w:val="center"/>
              <w:rPr/>
            </w:pPr>
            <w:r>
              <w:rPr/>
              <w:t>Form 8-K</w:t>
            </w:r>
          </w:p>
        </w:tc>
        <w:tc>
          <w:tcPr>
            <w:tcW w:w="194"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October 11,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4"/>
        <w:gridCol w:w="188"/>
        <w:gridCol w:w="3637"/>
        <w:gridCol w:w="132"/>
        <w:gridCol w:w="1045"/>
        <w:gridCol w:w="132"/>
        <w:gridCol w:w="1120"/>
        <w:gridCol w:w="132"/>
        <w:gridCol w:w="772"/>
        <w:gridCol w:w="132"/>
        <w:gridCol w:w="2021"/>
      </w:tblGrid>
      <w:tr>
        <w:trPr/>
        <w:tc>
          <w:tcPr>
            <w:tcW w:w="894"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894"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88" w:type="dxa"/>
            <w:tcBorders/>
            <w:vAlign w:val="bottom"/>
          </w:tcPr>
          <w:p>
            <w:pPr>
              <w:pStyle w:val="TableContents"/>
              <w:bidi w:val="0"/>
              <w:spacing w:before="0" w:after="283"/>
              <w:jc w:val="left"/>
              <w:rPr/>
            </w:pPr>
            <w:r>
              <w:rPr/>
              <w:t>  </w:t>
            </w:r>
          </w:p>
        </w:tc>
        <w:tc>
          <w:tcPr>
            <w:tcW w:w="36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32" w:type="dxa"/>
            <w:tcBorders/>
            <w:vAlign w:val="bottom"/>
          </w:tcPr>
          <w:p>
            <w:pPr>
              <w:pStyle w:val="TableContents"/>
              <w:bidi w:val="0"/>
              <w:spacing w:before="0" w:after="283"/>
              <w:jc w:val="left"/>
              <w:rPr/>
            </w:pPr>
            <w:r>
              <w:rPr/>
              <w:t>  </w:t>
            </w:r>
          </w:p>
        </w:tc>
        <w:tc>
          <w:tcPr>
            <w:tcW w:w="1045" w:type="dxa"/>
            <w:tcBorders>
              <w:bottom w:val="single" w:sz="8" w:space="0" w:color="000000"/>
            </w:tcBorders>
            <w:tcMar>
              <w:bottom w:w="28" w:type="dxa"/>
            </w:tcMar>
            <w:vAlign w:val="bottom"/>
          </w:tcPr>
          <w:p>
            <w:pPr>
              <w:pStyle w:val="TableContents"/>
              <w:bidi w:val="0"/>
              <w:spacing w:before="0" w:after="283"/>
              <w:jc w:val="center"/>
              <w:rPr>
                <w:b/>
              </w:rPr>
            </w:pPr>
            <w:r>
              <w:rPr>
                <w:b/>
              </w:rPr>
              <w:t>Schedule /</w:t>
              <w:br/>
              <w:t>Form</w:t>
            </w:r>
          </w:p>
        </w:tc>
        <w:tc>
          <w:tcPr>
            <w:tcW w:w="132" w:type="dxa"/>
            <w:tcBorders/>
            <w:vAlign w:val="bottom"/>
          </w:tcPr>
          <w:p>
            <w:pPr>
              <w:pStyle w:val="TableContents"/>
              <w:bidi w:val="0"/>
              <w:spacing w:before="0" w:after="283"/>
              <w:jc w:val="left"/>
              <w:rPr/>
            </w:pPr>
            <w:r>
              <w:rPr/>
              <w:t>  </w:t>
            </w:r>
          </w:p>
        </w:tc>
        <w:tc>
          <w:tcPr>
            <w:tcW w:w="1120" w:type="dxa"/>
            <w:tcBorders>
              <w:bottom w:val="single" w:sz="8" w:space="0" w:color="000000"/>
            </w:tcBorders>
            <w:tcMar>
              <w:bottom w:w="28" w:type="dxa"/>
            </w:tcMar>
            <w:vAlign w:val="bottom"/>
          </w:tcPr>
          <w:p>
            <w:pPr>
              <w:pStyle w:val="TableContents"/>
              <w:bidi w:val="0"/>
              <w:spacing w:before="0" w:after="283"/>
              <w:jc w:val="center"/>
              <w:rPr>
                <w:b/>
              </w:rPr>
            </w:pPr>
            <w:r>
              <w:rPr>
                <w:b/>
              </w:rPr>
              <w:t>File Number</w:t>
            </w:r>
          </w:p>
        </w:tc>
        <w:tc>
          <w:tcPr>
            <w:tcW w:w="132" w:type="dxa"/>
            <w:tcBorders/>
            <w:vAlign w:val="bottom"/>
          </w:tcPr>
          <w:p>
            <w:pPr>
              <w:pStyle w:val="TableContents"/>
              <w:bidi w:val="0"/>
              <w:spacing w:before="0" w:after="283"/>
              <w:jc w:val="left"/>
              <w:rPr/>
            </w:pPr>
            <w:r>
              <w:rPr/>
              <w:t>  </w:t>
            </w:r>
          </w:p>
        </w:tc>
        <w:tc>
          <w:tcPr>
            <w:tcW w:w="772"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32"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File Date</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4.5</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15">
              <w:r>
                <w:rPr>
                  <w:rStyle w:val="InternetLink"/>
                </w:rPr>
                <w:t>Certificate of Amendment to the Restated Certificate of Incorporation of the Company, as filed with the Secretary of State of the State of Delaware on April 4, 2025</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3.1</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April 7, 2025</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4.6</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16">
              <w:r>
                <w:rPr>
                  <w:rStyle w:val="InternetLink"/>
                </w:rPr>
                <w:t>Amended and Restated Bylaws</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3.1</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September 24, 2021</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4.7</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17">
              <w:r>
                <w:rPr>
                  <w:rStyle w:val="InternetLink"/>
                </w:rPr>
                <w:t>Form of Pre-Funded Warrant</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4.1</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March 23, 2026</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4.8</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18">
              <w:r>
                <w:rPr>
                  <w:rStyle w:val="InternetLink"/>
                </w:rPr>
                <w:t>Form of Common Warrant</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4.2</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March 23, 2026</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5.1*</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w:anchor="d17525dex51.htm">
              <w:r>
                <w:rPr>
                  <w:rStyle w:val="InternetLink"/>
                </w:rPr>
                <w:t xml:space="preserve">Opinion of Cooley LLP </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10.1</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19">
              <w:r>
                <w:rPr>
                  <w:rStyle w:val="InternetLink"/>
                </w:rPr>
                <w:t>Form of Securities Purchase Agreement</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10.1</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March 23, 2026</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10.2</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r:id="rId20">
              <w:r>
                <w:rPr>
                  <w:rStyle w:val="InternetLink"/>
                </w:rPr>
                <w:t>Form of Registration Rights Agreement</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center"/>
              <w:rPr/>
            </w:pPr>
            <w:r>
              <w:rPr/>
              <w:t>Form 8-K</w:t>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center"/>
              <w:rPr/>
            </w:pPr>
            <w:r>
              <w:rPr/>
              <w:t>001-35890</w:t>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10.2</w:t>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March 23, 2026</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23.1*</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w:anchor="d17525dex231.htm">
              <w:r>
                <w:rPr>
                  <w:rStyle w:val="InternetLink"/>
                </w:rPr>
                <w:t xml:space="preserve">Consent of Ernst &amp; Young LLP, independent registered public accounting firm </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23.2*</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w:anchor="d17525dex51.htm">
              <w:r>
                <w:rPr>
                  <w:rStyle w:val="InternetLink"/>
                </w:rPr>
                <w:t xml:space="preserve">Consent of Cooley LLP (included in legal opinion filed as Exhibit 5.1) </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 </w:t>
            </w:r>
            <w:r>
              <w:rPr/>
              <w:t>24.1*</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w:anchor="ii17525_sig">
              <w:r>
                <w:rPr>
                  <w:rStyle w:val="InternetLink"/>
                </w:rPr>
                <w:t xml:space="preserve">Power of Attorney (see signature page to this registration statement) </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w:t>
            </w:r>
          </w:p>
        </w:tc>
      </w:tr>
      <w:tr>
        <w:trPr>
          <w:trHeight w:val="120" w:hRule="atLeast"/>
        </w:trPr>
        <w:tc>
          <w:tcPr>
            <w:tcW w:w="894"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904" w:type="dxa"/>
            <w:gridSpan w:val="2"/>
            <w:tcBorders/>
            <w:vAlign w:val="center"/>
          </w:tcPr>
          <w:p>
            <w:pPr>
              <w:pStyle w:val="TableContents"/>
              <w:bidi w:val="0"/>
              <w:spacing w:before="0" w:after="283"/>
              <w:jc w:val="left"/>
              <w:rPr>
                <w:sz w:val="4"/>
                <w:szCs w:val="4"/>
              </w:rPr>
            </w:pPr>
            <w:r>
              <w:rPr>
                <w:sz w:val="4"/>
                <w:szCs w:val="4"/>
              </w:rPr>
            </w:r>
          </w:p>
        </w:tc>
        <w:tc>
          <w:tcPr>
            <w:tcW w:w="2153"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107*</w:t>
            </w:r>
          </w:p>
        </w:tc>
        <w:tc>
          <w:tcPr>
            <w:tcW w:w="188"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hyperlink w:anchor="d17525dexfilingfees.htm">
              <w:r>
                <w:rPr>
                  <w:rStyle w:val="InternetLink"/>
                </w:rPr>
                <w:t xml:space="preserve">Filing Fee Table </w:t>
              </w:r>
            </w:hyperlink>
          </w:p>
        </w:tc>
        <w:tc>
          <w:tcPr>
            <w:tcW w:w="132" w:type="dxa"/>
            <w:tcBorders/>
            <w:vAlign w:val="bottom"/>
          </w:tcPr>
          <w:p>
            <w:pPr>
              <w:pStyle w:val="TableContents"/>
              <w:bidi w:val="0"/>
              <w:spacing w:before="0" w:after="283"/>
              <w:jc w:val="left"/>
              <w:rPr/>
            </w:pPr>
            <w:r>
              <w:rPr/>
              <w:t>  </w:t>
            </w:r>
          </w:p>
        </w:tc>
        <w:tc>
          <w:tcPr>
            <w:tcW w:w="1045"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12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7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 Filed herewith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ii17525_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Brisbane, State of California, on April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TEMPEST THERAPEUTICS,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Matthew Angel</w:t>
            </w:r>
          </w:p>
        </w:tc>
      </w:tr>
      <w:tr>
        <w:trPr/>
        <w:tc>
          <w:tcPr>
            <w:tcW w:w="399"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Matthew Angel</w:t>
            </w:r>
          </w:p>
        </w:tc>
      </w:tr>
      <w:tr>
        <w:trPr/>
        <w:tc>
          <w:tcPr>
            <w:tcW w:w="399"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Matthew Angel and Nicholas Maestas,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0"/>
        <w:gridCol w:w="120"/>
        <w:gridCol w:w="3518"/>
        <w:gridCol w:w="202"/>
        <w:gridCol w:w="1885"/>
      </w:tblGrid>
      <w:tr>
        <w:trPr/>
        <w:tc>
          <w:tcPr>
            <w:tcW w:w="4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44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5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Matthew Angel</w:t>
            </w:r>
          </w:p>
          <w:p>
            <w:pPr>
              <w:pStyle w:val="TableContents"/>
              <w:bidi w:val="0"/>
              <w:spacing w:before="0" w:after="20"/>
              <w:jc w:val="center"/>
              <w:rPr>
                <w:rFonts w:ascii="Times New Roman" w:hAnsi="Times New Roman"/>
                <w:sz w:val="20"/>
              </w:rPr>
            </w:pPr>
            <w:r>
              <w:rPr>
                <w:rFonts w:ascii="Times New Roman" w:hAnsi="Times New Roman"/>
                <w:sz w:val="20"/>
              </w:rPr>
              <w:t>Matthew Angel</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2"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April 1, 2026</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202"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April 1, 2026</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Controller, Treasurer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c>
          <w:tcPr>
            <w:tcW w:w="202"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April 1, 2026</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283"/>
              <w:jc w:val="left"/>
              <w:rPr/>
            </w:pPr>
            <w:r>
              <w:rPr/>
              <w:t>Chairman of the Board</w:t>
            </w:r>
          </w:p>
        </w:tc>
        <w:tc>
          <w:tcPr>
            <w:tcW w:w="202"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April 1, 2026</w:t>
            </w:r>
          </w:p>
        </w:tc>
      </w:tr>
      <w:tr>
        <w:trPr>
          <w:trHeight w:val="240" w:hRule="atLeast"/>
        </w:trPr>
        <w:tc>
          <w:tcPr>
            <w:tcW w:w="4480"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r>
      <w:tr>
        <w:trPr/>
        <w:tc>
          <w:tcPr>
            <w:tcW w:w="448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Christine Pellizzari</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April 1,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72"/>
        <w:gridCol w:w="122"/>
        <w:gridCol w:w="3492"/>
        <w:gridCol w:w="204"/>
        <w:gridCol w:w="1915"/>
      </w:tblGrid>
      <w:tr>
        <w:trPr/>
        <w:tc>
          <w:tcPr>
            <w:tcW w:w="44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4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34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1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14"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Michael Raab</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2" w:type="dxa"/>
            <w:tcBorders/>
            <w:vAlign w:val="bottom"/>
          </w:tcPr>
          <w:p>
            <w:pPr>
              <w:pStyle w:val="TableContents"/>
              <w:bidi w:val="0"/>
              <w:spacing w:before="0" w:after="283"/>
              <w:jc w:val="left"/>
              <w:rPr/>
            </w:pPr>
            <w:r>
              <w:rPr/>
              <w:t>  </w:t>
            </w:r>
          </w:p>
        </w:tc>
        <w:tc>
          <w:tcPr>
            <w:tcW w:w="349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April 1, 2026</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14"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Ronit Simantov</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2" w:type="dxa"/>
            <w:tcBorders/>
            <w:vAlign w:val="bottom"/>
          </w:tcPr>
          <w:p>
            <w:pPr>
              <w:pStyle w:val="TableContents"/>
              <w:bidi w:val="0"/>
              <w:spacing w:before="0" w:after="283"/>
              <w:jc w:val="left"/>
              <w:rPr/>
            </w:pPr>
            <w:r>
              <w:rPr/>
              <w:t>  </w:t>
            </w:r>
          </w:p>
        </w:tc>
        <w:tc>
          <w:tcPr>
            <w:tcW w:w="349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April 1, 2026</w:t>
            </w:r>
          </w:p>
        </w:tc>
      </w:tr>
    </w:tbl>
    <w:p>
      <w:pPr>
        <w:pStyle w:val="TextBody"/>
        <w:bidi w:val="0"/>
        <w:spacing w:before="0" w:after="0"/>
        <w:jc w:val="right"/>
        <w:rPr>
          <w:rFonts w:ascii="Times New Roman" w:hAnsi="Times New Roman"/>
          <w:b/>
          <w:sz w:val="20"/>
        </w:rPr>
      </w:pPr>
      <w:bookmarkStart w:id="15" w:name="d17525dex51.htm"/>
      <w:bookmarkStart w:id="16" w:name="ksd17525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Jaime L. Chase </w:t>
      </w:r>
    </w:p>
    <w:p>
      <w:pPr>
        <w:pStyle w:val="TextBody"/>
        <w:bidi w:val="0"/>
        <w:spacing w:before="0" w:after="0"/>
        <w:jc w:val="left"/>
        <w:rPr>
          <w:rFonts w:ascii="Times New Roman" w:hAnsi="Times New Roman"/>
          <w:sz w:val="20"/>
        </w:rPr>
      </w:pPr>
      <w:r>
        <w:rPr>
          <w:rFonts w:ascii="Times New Roman" w:hAnsi="Times New Roman"/>
          <w:sz w:val="20"/>
        </w:rPr>
        <w:t xml:space="preserve">+1 202 728-7096 </w:t>
      </w:r>
    </w:p>
    <w:p>
      <w:pPr>
        <w:pStyle w:val="TextBody"/>
        <w:bidi w:val="0"/>
        <w:spacing w:before="0" w:after="0"/>
        <w:jc w:val="left"/>
        <w:rPr>
          <w:rFonts w:ascii="Times New Roman" w:hAnsi="Times New Roman"/>
          <w:sz w:val="20"/>
        </w:rPr>
      </w:pPr>
      <w:r>
        <w:rPr>
          <w:rFonts w:ascii="Times New Roman" w:hAnsi="Times New Roman"/>
          <w:sz w:val="20"/>
        </w:rPr>
        <w:t xml:space="preserve">jchase@cooley.com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 94005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Tempest Therapeutics,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covering the resale by the selling stockholders identified therein (the “</w:t>
      </w:r>
      <w:r>
        <w:rPr>
          <w:rFonts w:ascii="Times New Roman" w:hAnsi="Times New Roman"/>
          <w:b/>
          <w:i/>
          <w:sz w:val="20"/>
        </w:rPr>
        <w:t>Selling Stockholders</w:t>
      </w:r>
      <w:r>
        <w:rPr>
          <w:rFonts w:ascii="Times New Roman" w:hAnsi="Times New Roman"/>
          <w:sz w:val="20"/>
        </w:rPr>
        <w:t>”) of up to 2,777,781 shares of the Company’s Common Stock, par value $0.001 per share (“</w:t>
      </w:r>
      <w:r>
        <w:rPr>
          <w:rFonts w:ascii="Times New Roman" w:hAnsi="Times New Roman"/>
          <w:b/>
          <w:i/>
          <w:sz w:val="20"/>
        </w:rPr>
        <w:t>Common Stock</w:t>
      </w:r>
      <w:r>
        <w:rPr>
          <w:rFonts w:ascii="Times New Roman" w:hAnsi="Times New Roman"/>
          <w:sz w:val="20"/>
        </w:rPr>
        <w:t>”), consisting of (i) 462,964 shares of Common Stock (the “</w:t>
      </w:r>
      <w:r>
        <w:rPr>
          <w:rFonts w:ascii="Times New Roman" w:hAnsi="Times New Roman"/>
          <w:b/>
          <w:i/>
          <w:sz w:val="20"/>
        </w:rPr>
        <w:t>Shares</w:t>
      </w:r>
      <w:r>
        <w:rPr>
          <w:rFonts w:ascii="Times New Roman" w:hAnsi="Times New Roman"/>
          <w:sz w:val="20"/>
        </w:rPr>
        <w:t>”) and (ii) up to 2,314,817 shares of Common Stock (the “</w:t>
      </w:r>
      <w:r>
        <w:rPr>
          <w:rFonts w:ascii="Times New Roman" w:hAnsi="Times New Roman"/>
          <w:b/>
          <w:i/>
          <w:sz w:val="20"/>
        </w:rPr>
        <w:t>Warrant Shares</w:t>
      </w:r>
      <w:r>
        <w:rPr>
          <w:rFonts w:ascii="Times New Roman" w:hAnsi="Times New Roman"/>
          <w:sz w:val="20"/>
        </w:rPr>
        <w:t>”) consisting of (a) 925,927 shares of Common Stock issuable upon the exercise of outstanding Series A Warrants (the “</w:t>
      </w:r>
      <w:r>
        <w:rPr>
          <w:rFonts w:ascii="Times New Roman" w:hAnsi="Times New Roman"/>
          <w:b/>
          <w:i/>
          <w:sz w:val="20"/>
        </w:rPr>
        <w:t>Series A Warrants</w:t>
      </w:r>
      <w:r>
        <w:rPr>
          <w:rFonts w:ascii="Times New Roman" w:hAnsi="Times New Roman"/>
          <w:sz w:val="20"/>
        </w:rPr>
        <w:t>”), (b) 925,927 shares of Common Stock issuable upon the exercise of outstanding Series B Warrants (the “</w:t>
      </w:r>
      <w:r>
        <w:rPr>
          <w:rFonts w:ascii="Times New Roman" w:hAnsi="Times New Roman"/>
          <w:b/>
          <w:i/>
          <w:sz w:val="20"/>
        </w:rPr>
        <w:t>Series B Warrants</w:t>
      </w:r>
      <w:r>
        <w:rPr>
          <w:rFonts w:ascii="Times New Roman" w:hAnsi="Times New Roman"/>
          <w:sz w:val="20"/>
        </w:rPr>
        <w:t>”) and (c) 462,963 shares of Common Stock issuable upon the exercise of pre-funded warrants (the “</w:t>
      </w:r>
      <w:r>
        <w:rPr>
          <w:rFonts w:ascii="Times New Roman" w:hAnsi="Times New Roman"/>
          <w:b/>
          <w:i/>
          <w:sz w:val="20"/>
        </w:rPr>
        <w:t>Pre-Funded Warrants</w:t>
      </w:r>
      <w:r>
        <w:rPr>
          <w:rFonts w:ascii="Times New Roman" w:hAnsi="Times New Roman"/>
          <w:sz w:val="20"/>
        </w:rPr>
        <w:t>,” and together with the Series A Warrants and the Series B Warrants, the “</w:t>
      </w:r>
      <w:r>
        <w:rPr>
          <w:rFonts w:ascii="Times New Roman" w:hAnsi="Times New Roman"/>
          <w:b/>
          <w:i/>
          <w:sz w:val="20"/>
        </w:rPr>
        <w:t>Warrants</w:t>
      </w:r>
      <w:r>
        <w:rPr>
          <w:rFonts w:ascii="Times New Roman" w:hAnsi="Times New Roman"/>
          <w:sz w:val="20"/>
        </w:rPr>
        <w:t>”). The Shares and Warrants were issued pursuant to a Securities Purchase Agreement, dated March 20, 2026, by and among the Company and the Selling Stockholders (the “</w:t>
      </w:r>
      <w:r>
        <w:rPr>
          <w:rFonts w:ascii="Times New Roman" w:hAnsi="Times New Roman"/>
          <w:b/>
          <w:i/>
          <w:sz w:val="20"/>
        </w:rPr>
        <w:t>Agreement</w:t>
      </w:r>
      <w:r>
        <w:rPr>
          <w:rFonts w:ascii="Times New Roman" w:hAnsi="Times New Roman"/>
          <w:sz w:val="20"/>
        </w:rPr>
        <w:t>”). Each share of Common Stock includes a preferred share purchase right (each, a “</w:t>
      </w:r>
      <w:r>
        <w:rPr>
          <w:rFonts w:ascii="Times New Roman" w:hAnsi="Times New Roman"/>
          <w:b/>
          <w:i/>
          <w:sz w:val="20"/>
        </w:rPr>
        <w:t>Right</w:t>
      </w:r>
      <w:r>
        <w:rPr>
          <w:rFonts w:ascii="Times New Roman" w:hAnsi="Times New Roman"/>
          <w:sz w:val="20"/>
        </w:rPr>
        <w:t>,” collectively, the “</w:t>
      </w:r>
      <w:r>
        <w:rPr>
          <w:rFonts w:ascii="Times New Roman" w:hAnsi="Times New Roman"/>
          <w:b/>
          <w:i/>
          <w:sz w:val="20"/>
        </w:rPr>
        <w:t>Rights</w:t>
      </w:r>
      <w:r>
        <w:rPr>
          <w:rFonts w:ascii="Times New Roman" w:hAnsi="Times New Roman"/>
          <w:sz w:val="20"/>
        </w:rPr>
        <w:t>”) as set forth in the Rights Agreement (the “</w:t>
      </w:r>
      <w:r>
        <w:rPr>
          <w:rFonts w:ascii="Times New Roman" w:hAnsi="Times New Roman"/>
          <w:b/>
          <w:i/>
          <w:sz w:val="20"/>
        </w:rPr>
        <w:t>Rights Plan</w:t>
      </w:r>
      <w:r>
        <w:rPr>
          <w:rFonts w:ascii="Times New Roman" w:hAnsi="Times New Roman"/>
          <w:sz w:val="20"/>
        </w:rPr>
        <w:t>”), dated as of October 10, 2023, as amended. between the Company and Computershare Trust Company, N.A., as rights agent (the “</w:t>
      </w:r>
      <w:r>
        <w:rPr>
          <w:rFonts w:ascii="Times New Roman" w:hAnsi="Times New Roman"/>
          <w:b/>
          <w:i/>
          <w:sz w:val="20"/>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and related prospectus, the Company’s certificate of incorporation and Bylaws, each as currently in effect, the Agreement, and such other documents, records,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concerning the Rights: </w:t>
      </w:r>
    </w:p>
    <w:p>
      <w:pPr>
        <w:pStyle w:val="TextBody"/>
        <w:bidi w:val="0"/>
        <w:spacing w:before="120" w:after="0"/>
        <w:jc w:val="left"/>
        <w:rPr>
          <w:rFonts w:ascii="Times New Roman" w:hAnsi="Times New Roman"/>
          <w:sz w:val="20"/>
        </w:rPr>
      </w:pPr>
      <w:r>
        <w:rPr>
          <w:rFonts w:ascii="Times New Roman" w:hAnsi="Times New Roman"/>
          <w:sz w:val="20"/>
        </w:rPr>
        <w:t>(i) Our opinion does not address the determination a court of competent jurisdiction may make regarding whether the Company’s board of directors (the “</w:t>
      </w:r>
      <w:r>
        <w:rPr>
          <w:rFonts w:ascii="Times New Roman" w:hAnsi="Times New Roman"/>
          <w:b/>
          <w:i/>
          <w:sz w:val="20"/>
        </w:rPr>
        <w:t>Board</w:t>
      </w:r>
      <w:r>
        <w:rPr>
          <w:rFonts w:ascii="Times New Roman" w:hAnsi="Times New Roman"/>
          <w:sz w:val="20"/>
        </w:rPr>
        <w:t xml:space="preserve">”) may be required to redeem or terminate, or take other action with respect to, the Rights or the Rights Plan in the future based on the facts and circumstances then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issued in the future, our opinion assumes the Rights Plan has not been terminated by the Company or expired by its terms and the Rights have not expired or been redeemed or exchanged by the Company, in each case, prior to the issuance and resale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(iii) Our opinion addresses corporate procedures in connection with the issuance of the Rights associated with the Shares,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exercise price of the Warrants is below the par value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assumptions, exceptions, limitations and qualifications set forth herein, we are of the opinion that (i) the Shares and any associated Rights are validly issued and the Shares are fully paid and nonassessable and (ii) the Warrant Shares and any associated Rights, when issued in accordance with the terms of the Warrants, will be validly issued and the Warrant Shares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4"/>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Jaime L. Chase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Jaime L. Chase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p>
    <w:p>
      <w:pPr>
        <w:pStyle w:val="TextBody"/>
        <w:bidi w:val="0"/>
        <w:spacing w:before="0" w:after="0"/>
        <w:jc w:val="right"/>
        <w:rPr>
          <w:rFonts w:ascii="Times New Roman" w:hAnsi="Times New Roman"/>
          <w:b/>
          <w:sz w:val="20"/>
        </w:rPr>
      </w:pPr>
      <w:bookmarkStart w:id="17" w:name="d17525dex231.htm"/>
      <w:bookmarkStart w:id="18" w:name="ksd17525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Tempest Therapeutics, Inc. for the registration of 2,777,781 shares of its common stock and to the incorporation by reference therein of our report dated March 30, 2026, with respect to the consolidated financial statements of Tempest Therapeutics, Inc. included in its Annual Report (Form 10-K) for the year ended December 31, 2025, filed with the Securities and Exchange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Ernst &amp; Young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Chicago, Illinois</w:t>
            </w:r>
          </w:p>
        </w:tc>
      </w:tr>
      <w:tr>
        <w:trPr/>
        <w:tc>
          <w:tcPr>
            <w:tcW w:w="10205" w:type="dxa"/>
            <w:tcBorders/>
          </w:tcPr>
          <w:p>
            <w:pPr>
              <w:pStyle w:val="TableContents"/>
              <w:bidi w:val="0"/>
              <w:spacing w:before="0" w:after="283"/>
              <w:jc w:val="left"/>
              <w:rPr/>
            </w:pPr>
            <w:r>
              <w:rPr/>
              <w:t>April 1, 2026</w:t>
            </w:r>
          </w:p>
        </w:tc>
      </w:tr>
    </w:tbl>
    <w:p>
      <w:pPr>
        <w:pStyle w:val="Normal"/>
        <w:bidi w:val="0"/>
        <w:spacing w:before="0" w:after="0"/>
        <w:jc w:val="left"/>
        <w:rPr>
          <w:sz w:val="4"/>
          <w:szCs w:val="4"/>
        </w:rPr>
      </w:pPr>
      <w:r>
        <w:rPr>
          <w:sz w:val="4"/>
          <w:szCs w:val="4"/>
        </w:rPr>
      </w:r>
      <w:bookmarkStart w:id="19" w:name="d17525dexfilingfees.htm"/>
      <w:bookmarkStart w:id="20" w:name="ksd17525dexfilingfees"/>
      <w:bookmarkStart w:id="21" w:name="d17525dexfilingfees.htm"/>
      <w:bookmarkStart w:id="22" w:name="ksd17525dexfilingfees"/>
      <w:bookmarkEnd w:id="21"/>
      <w:bookmarkEnd w:id="22"/>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Tempest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2,777,781 </w:t>
            </w:r>
          </w:p>
        </w:tc>
        <w:tc>
          <w:tcPr>
            <w:tcW w:w="1156" w:type="dxa"/>
            <w:tcBorders/>
            <w:shd w:fill="E7E7E2" w:val="clear"/>
            <w:vAlign w:val="center"/>
          </w:tcPr>
          <w:p>
            <w:pPr>
              <w:pStyle w:val="TableContents"/>
              <w:bidi w:val="0"/>
              <w:spacing w:before="0" w:after="283"/>
              <w:jc w:val="right"/>
              <w:rPr/>
            </w:pPr>
            <w:r>
              <w:rPr/>
              <w:t xml:space="preserve">$ 1.58 </w:t>
            </w:r>
          </w:p>
        </w:tc>
        <w:tc>
          <w:tcPr>
            <w:tcW w:w="1546" w:type="dxa"/>
            <w:tcBorders/>
            <w:shd w:fill="E7E7E2" w:val="clear"/>
            <w:vAlign w:val="center"/>
          </w:tcPr>
          <w:p>
            <w:pPr>
              <w:pStyle w:val="TableContents"/>
              <w:bidi w:val="0"/>
              <w:spacing w:before="0" w:after="283"/>
              <w:jc w:val="right"/>
              <w:rPr/>
            </w:pPr>
            <w:r>
              <w:rPr/>
              <w:t xml:space="preserve">$ 4,388,893.98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$ 606.11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3" w:name="MaxAggtOfferingPrice"/>
            <w:bookmarkEnd w:id="23"/>
            <w:r>
              <w:rPr/>
              <w:t xml:space="preserve">$ 4,388,893.98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$ 606.11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$ 606.11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Consists of an aggregate of up to 2,777,781 shares of the Registrant's common stock, par value $0.001 per share (the "common stock"), issued by the Registrant in a private placement on March 24, 2026, consisting of (i) 462,964 shares of common stock, (ii) 925,927 shares of common stock issuable upon the exercise of outstanding Series A Warrants, (iii) 925,927 shares of common stock issuable upon the exercise of outstanding Series B warrants, and (iv) 462,963 shares of common stock issuable upon the exercise of outstanding pre-funded warrants.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Stock Market on March 31,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44227/000119312526130490/tpst-20251231.htm" TargetMode="External"/><Relationship Id="rId4" Type="http://schemas.openxmlformats.org/officeDocument/2006/relationships/hyperlink" Target="http://www.sec.gov/Archives/edgar/data/../../../ix?doc=/Archives/edgar/data/1544227/000119312526008938/d30095d8k.htm" TargetMode="External"/><Relationship Id="rId5" Type="http://schemas.openxmlformats.org/officeDocument/2006/relationships/hyperlink" Target="http://www.sec.gov/Archives/edgar/data/../../../ix?doc=/Archives/edgar/data/1544227/000119312526027203/d70064d8k.htm" TargetMode="External"/><Relationship Id="rId6" Type="http://schemas.openxmlformats.org/officeDocument/2006/relationships/hyperlink" Target="http://www.sec.gov/Archives/edgar/data/../../../ix?doc=/Archives/edgar/data/1544227/000119312526041190/d159400d8k.htm" TargetMode="External"/><Relationship Id="rId7" Type="http://schemas.openxmlformats.org/officeDocument/2006/relationships/hyperlink" Target="http://www.sec.gov/Archives/edgar/data/../../../ix?doc=/Archives/edgar/data/1544227/000119312526068614/d22967d8k.htm" TargetMode="External"/><Relationship Id="rId8" Type="http://schemas.openxmlformats.org/officeDocument/2006/relationships/hyperlink" Target="http://www.sec.gov/Archives/edgar/data/../../../ix?doc=/Archives/edgar/data/1544227/000119312526118618/d85035d8k.htm" TargetMode="External"/><Relationship Id="rId9" Type="http://schemas.openxmlformats.org/officeDocument/2006/relationships/hyperlink" Target="http://www.sec.gov/Archives/edgar/data/1544227/000110465913033085/a13-9660_28a12b.htm" TargetMode="External"/><Relationship Id="rId10" Type="http://schemas.openxmlformats.org/officeDocument/2006/relationships/hyperlink" Target="http://www.sec.gov/Archives/edgar/data/1544227/000119312526130490/tpst-ex4_1.htm" TargetMode="External"/><Relationship Id="rId11" Type="http://schemas.openxmlformats.org/officeDocument/2006/relationships/hyperlink" Target="http://www.sec.gov/Archives/edgar/data/1544227/000155837019005038/mlnd-20190331ex31b53fa83.htm" TargetMode="External"/><Relationship Id="rId12" Type="http://schemas.openxmlformats.org/officeDocument/2006/relationships/hyperlink" Target="http://www.sec.gov/Archives/edgar/data/1544227/000119312521201157/d196630dex31.htm" TargetMode="External"/><Relationship Id="rId13" Type="http://schemas.openxmlformats.org/officeDocument/2006/relationships/hyperlink" Target="http://www.sec.gov/Archives/edgar/data/1544227/000119312521201157/d196630dex32.htm" TargetMode="External"/><Relationship Id="rId14" Type="http://schemas.openxmlformats.org/officeDocument/2006/relationships/hyperlink" Target="http://www.sec.gov/Archives/edgar/data/1544227/000119312523253882/d547808dex31.htm" TargetMode="External"/><Relationship Id="rId15" Type="http://schemas.openxmlformats.org/officeDocument/2006/relationships/hyperlink" Target="http://www.sec.gov/Archives/edgar/data/1544227/000119312525073987/d905141dex31.htm" TargetMode="External"/><Relationship Id="rId16" Type="http://schemas.openxmlformats.org/officeDocument/2006/relationships/hyperlink" Target="http://www.sec.gov/Archives/edgar/data/1544227/000119312521281694/d222030dex31.htm" TargetMode="External"/><Relationship Id="rId17" Type="http://schemas.openxmlformats.org/officeDocument/2006/relationships/hyperlink" Target="http://www.sec.gov/Archives/edgar/data/1544227/000119312526118618/d85035dex41.htm" TargetMode="External"/><Relationship Id="rId18" Type="http://schemas.openxmlformats.org/officeDocument/2006/relationships/hyperlink" Target="http://www.sec.gov/Archives/edgar/data/1544227/000119312526118618/d85035dex42.htm" TargetMode="External"/><Relationship Id="rId19" Type="http://schemas.openxmlformats.org/officeDocument/2006/relationships/hyperlink" Target="http://www.sec.gov/Archives/edgar/data/1544227/000119312526118618/d85035dex101.htm" TargetMode="External"/><Relationship Id="rId20" Type="http://schemas.openxmlformats.org/officeDocument/2006/relationships/hyperlink" Target="http://www.sec.gov/Archives/edgar/data/1544227/000119312526118618/d85035dex102.htm" TargetMode="External"/><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10349</Words>
  <Characters>55413</Characters>
  <CharactersWithSpaces>66048</CharactersWithSpaces>
  <Paragraphs>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