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Richey William Drake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 LUDLOW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each such stock option will vest over a three-year period, with one-third of the award vesting on the first anniversary of the grant date and the remainder of the award vesting in equal monthly installments thereafter, subject to the Reporting Person's continued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Drake Richey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06/08/2026</w:t>
            </w:r>
          </w:p>
        </w:tc>
      </w:tr>
      <w:tr>
        <w:trPr>
          <w:trHeight w:val="20"/>
        </w:trPr>
        <w:tc>
          <w:tcPr>
            <w:tcW w:w="1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39522" TargetMode="External"/><Relationship Id="rId14"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2026-06-08T17:19:15Z</dcterms:created>
  <dcterms:modified xsi:type="dcterms:W3CDTF">2026-06-08T17:19:15Z</dcterms:modified>
</cp:coreProperties>
</file>