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69"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July 23,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225425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8"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TEMPEST THERAPEUTICS,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90"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001-35890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9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45-1472564</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203"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ind w:left="4284"/>
        <w:spacing w:after="0"/>
        <w:rPr>
          <w:sz w:val="20"/>
          <w:szCs w:val="20"/>
          <w:color w:val="auto"/>
        </w:rPr>
      </w:pPr>
      <w:r>
        <w:rPr>
          <w:rFonts w:ascii="Arial" w:cs="Arial" w:eastAsia="Arial" w:hAnsi="Arial"/>
          <w:sz w:val="18"/>
          <w:szCs w:val="18"/>
          <w:b w:val="1"/>
          <w:bCs w:val="1"/>
          <w:color w:val="auto"/>
        </w:rPr>
        <w:t>7000 Shoreline Court, Suite 275</w:t>
      </w:r>
    </w:p>
    <w:p>
      <w:pPr>
        <w:spacing w:after="0" w:line="27" w:lineRule="exact"/>
        <w:rPr>
          <w:sz w:val="24"/>
          <w:szCs w:val="24"/>
          <w:color w:val="auto"/>
        </w:rPr>
      </w:pPr>
    </w:p>
    <w:p>
      <w:pPr>
        <w:ind w:left="4304"/>
        <w:spacing w:after="0"/>
        <w:rPr>
          <w:sz w:val="20"/>
          <w:szCs w:val="20"/>
          <w:color w:val="auto"/>
        </w:rPr>
      </w:pPr>
      <w:r>
        <w:rPr>
          <w:rFonts w:ascii="Arial" w:cs="Arial" w:eastAsia="Arial" w:hAnsi="Arial"/>
          <w:sz w:val="18"/>
          <w:szCs w:val="18"/>
          <w:b w:val="1"/>
          <w:bCs w:val="1"/>
          <w:color w:val="auto"/>
        </w:rPr>
        <w:t>South San Francisco, CA 94080</w:t>
      </w:r>
    </w:p>
    <w:p>
      <w:pPr>
        <w:spacing w:after="0" w:line="2"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65" w:lineRule="exact"/>
        <w:rPr>
          <w:sz w:val="24"/>
          <w:szCs w:val="24"/>
          <w:color w:val="auto"/>
        </w:rPr>
      </w:pPr>
    </w:p>
    <w:p>
      <w:pPr>
        <w:jc w:val="center"/>
        <w:ind w:right="16"/>
        <w:spacing w:after="0"/>
        <w:rPr>
          <w:sz w:val="20"/>
          <w:szCs w:val="20"/>
          <w:color w:val="auto"/>
        </w:rPr>
      </w:pPr>
      <w:r>
        <w:rPr>
          <w:rFonts w:ascii="Arial" w:cs="Arial" w:eastAsia="Arial" w:hAnsi="Arial"/>
          <w:sz w:val="16"/>
          <w:szCs w:val="16"/>
          <w:b w:val="1"/>
          <w:bCs w:val="1"/>
          <w:color w:val="auto"/>
        </w:rPr>
        <w:t>Registrant’s telephone number, including area code: (415) 798-8589</w:t>
      </w:r>
    </w:p>
    <w:p>
      <w:pPr>
        <w:spacing w:after="0" w:line="235"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210820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p>
      <w:pPr>
        <w:spacing w:after="0" w:line="200" w:lineRule="exact"/>
        <w:rPr>
          <w:sz w:val="24"/>
          <w:szCs w:val="24"/>
          <w:color w:val="auto"/>
        </w:rPr>
      </w:pPr>
    </w:p>
    <w:p>
      <w:pPr>
        <w:spacing w:after="0" w:line="333"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u w:val="single" w:color="auto"/>
          <w:color w:val="auto"/>
        </w:rPr>
        <w:t>see</w:t>
      </w:r>
      <w:r>
        <w:rPr>
          <w:rFonts w:ascii="Arial" w:cs="Arial" w:eastAsia="Arial" w:hAnsi="Arial"/>
          <w:sz w:val="18"/>
          <w:szCs w:val="18"/>
          <w:color w:val="auto"/>
        </w:rPr>
        <w:t xml:space="preserve"> General Instruction A.2. below):</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12"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18"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TPST</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The Nasdaq Capital Market</w:t>
            </w:r>
          </w:p>
        </w:tc>
        <w:tc>
          <w:tcPr>
            <w:tcW w:w="0" w:type="dxa"/>
            <w:vAlign w:val="bottom"/>
          </w:tcPr>
          <w:p>
            <w:pPr>
              <w:spacing w:after="0"/>
              <w:rPr>
                <w:sz w:val="1"/>
                <w:szCs w:val="1"/>
                <w:color w:val="auto"/>
              </w:rPr>
            </w:pPr>
          </w:p>
        </w:tc>
      </w:tr>
    </w:tbl>
    <w:p>
      <w:pPr>
        <w:spacing w:after="0" w:line="156"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4"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44"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spacing w:after="0"/>
        <w:tabs>
          <w:tab w:leader="none" w:pos="10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On July 23, 2021, Tempest Therapeutics, Inc. (the “Company”) entered into a sales agreement (the “Sales Agreement”) with Jefferies LLC (the “Agent”), pursuant to which the Company may sell, from time to time, up to an aggregate sales price of $100,000,000 of its common stock, $0.001 par value per share (the “Common Stock”), through the Agent. Actual sales will depend on a variety of factors to be determined by the Company from time to time, including, among other things, market conditions, the trading price of the Common Stock, capital needs and determinations by the Company of the appropriate sources of funding for the Company.</w:t>
      </w:r>
    </w:p>
    <w:p>
      <w:pPr>
        <w:spacing w:after="0" w:line="188"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Common Stock sold in the offering will be issued pursuant to a prospectus supplement filed with the Securities and Exchange Commission (the “SEC”) on July 23, 2021, and the accompanying base prospectus dated July 23, 2021, forming part of the Company’s registration statement on Form S-3 (Registration No. 333-257990), which was declared effective on July 23, 2021.</w:t>
      </w:r>
    </w:p>
    <w:p>
      <w:pPr>
        <w:spacing w:after="0" w:line="184"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Sales of the Common Stock, if any, made pursuant to the Sales Agreement may be sold in negotiated transactions or transactions that are deemed to be an “at the market offering”, as defined in Rule 415(a)(4) of the Securities Act of 1933, as amended (the “Securities Act”), including sales made directly on or through the Nasdaq Capital Market, on or through any other existing trading market for the Common Stock or by any other method permitted by law, at market prices prevailing at the time of sale, at prices related to prevailing market prices or at negotiated prices, or as otherwise agreed between the Company and the Agent. The Agent will be entitled to compensation equal to 3.0% of the gross proceeds from the sale of all shares of Common Stock sold through it as Agent under the Sales Agreement.</w:t>
      </w:r>
    </w:p>
    <w:p>
      <w:pPr>
        <w:spacing w:after="0" w:line="17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Company intends to use any net proceeds from the offering, if any, fund the continued development of the product candidates in the Company’s pipeline, and for working capital, capital expenditures and general corporate purposes.</w:t>
      </w:r>
    </w:p>
    <w:p>
      <w:pPr>
        <w:spacing w:after="0" w:line="17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Company made certain customary representations, warranties and covenants concerning the Company and the registration statement in the Sales Agreement and also agreed to indemnify the Agent against certain liabilities, including liabilities under the Securities Act. The foregoing description of the Sales Agreements does not purport to be complete and is subject to, and is qualified in its entirety by reference to, the Sales Agreement, which is attached hereto as Exhibit 1.1 and is incorporated herein by reference.</w:t>
      </w:r>
    </w:p>
    <w:p>
      <w:pPr>
        <w:spacing w:after="0" w:line="18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On July 23, 2021, Sidley Austin LLP delivered its legality opinion with respect to the Common Stock to be issued from time to time pursuant to the Sales Agreement. A copy of the legality opinion is attached hereto as Exhibit 5.1.</w:t>
      </w:r>
    </w:p>
    <w:p>
      <w:pPr>
        <w:spacing w:after="0" w:line="170"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This Current Report on Form 8-K shall not constitute an offer to sell or a solicitation of an offer to buy any securities, nor shall there be any sale of these securities in any state or jurisdiction in which such an offer, solicitation or sale would be unlawful prior to registration or qualification under the securities laws of any such state or other jurisdiction.</w:t>
      </w:r>
    </w:p>
    <w:p>
      <w:pPr>
        <w:spacing w:after="0" w:line="328"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99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71"/>
        </w:trPr>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998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1.1</w:t>
            </w:r>
          </w:p>
        </w:tc>
        <w:tc>
          <w:tcPr>
            <w:tcW w:w="540" w:type="dxa"/>
            <w:vAlign w:val="bottom"/>
          </w:tcPr>
          <w:p>
            <w:pPr>
              <w:spacing w:after="0"/>
              <w:rPr>
                <w:sz w:val="22"/>
                <w:szCs w:val="22"/>
                <w:color w:val="auto"/>
              </w:rPr>
            </w:pPr>
          </w:p>
        </w:tc>
        <w:tc>
          <w:tcPr>
            <w:tcW w:w="5760" w:type="dxa"/>
            <w:vAlign w:val="bottom"/>
            <w:tcBorders>
              <w:top w:val="single" w:sz="8" w:color="auto"/>
              <w:bottom w:val="single" w:sz="8" w:color="0000EE"/>
            </w:tcBorders>
            <w:gridSpan w:val="3"/>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Sales Agreement, dated July 23, 2021, between the Company and Jefferies LLC</w:t>
              </w:r>
            </w:hyperlink>
          </w:p>
        </w:tc>
        <w:tc>
          <w:tcPr>
            <w:tcW w:w="42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5.1</w:t>
            </w:r>
          </w:p>
        </w:tc>
        <w:tc>
          <w:tcPr>
            <w:tcW w:w="540" w:type="dxa"/>
            <w:vAlign w:val="bottom"/>
          </w:tcPr>
          <w:p>
            <w:pPr>
              <w:spacing w:after="0"/>
              <w:rPr>
                <w:sz w:val="24"/>
                <w:szCs w:val="24"/>
                <w:color w:val="auto"/>
              </w:rPr>
            </w:pPr>
          </w:p>
        </w:tc>
        <w:tc>
          <w:tcPr>
            <w:tcW w:w="9980" w:type="dxa"/>
            <w:vAlign w:val="bottom"/>
            <w:gridSpan w:val="4"/>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Opinion of Sidley Austin LLP regarding the legality of the Common Stock</w:t>
              </w:r>
            </w:hyperlink>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23.1</w:t>
            </w:r>
          </w:p>
        </w:tc>
        <w:tc>
          <w:tcPr>
            <w:tcW w:w="540" w:type="dxa"/>
            <w:vAlign w:val="bottom"/>
          </w:tcPr>
          <w:p>
            <w:pPr>
              <w:spacing w:after="0"/>
              <w:rPr>
                <w:sz w:val="24"/>
                <w:szCs w:val="24"/>
                <w:color w:val="auto"/>
              </w:rPr>
            </w:pPr>
          </w:p>
        </w:tc>
        <w:tc>
          <w:tcPr>
            <w:tcW w:w="5380" w:type="dxa"/>
            <w:vAlign w:val="bottom"/>
            <w:tcBorders>
              <w:top w:val="single" w:sz="8" w:color="0000EE"/>
            </w:tcBorders>
            <w:gridSpan w:val="2"/>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Consent of Sidley Austin LLP (included in Exhibit 5.1)</w:t>
              </w:r>
            </w:hyperlink>
          </w:p>
        </w:tc>
        <w:tc>
          <w:tcPr>
            <w:tcW w:w="46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980" w:type="dxa"/>
            <w:vAlign w:val="bottom"/>
            <w:shd w:val="clear" w:color="auto" w:fill="0000EE"/>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270" w:right="4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60" w:type="dxa"/>
            <w:vAlign w:val="bottom"/>
          </w:tcPr>
          <w:p>
            <w:pPr>
              <w:spacing w:after="0"/>
              <w:rPr>
                <w:sz w:val="20"/>
                <w:szCs w:val="20"/>
                <w:color w:val="auto"/>
              </w:rPr>
            </w:pPr>
          </w:p>
        </w:tc>
        <w:tc>
          <w:tcPr>
            <w:tcW w:w="7560" w:type="dxa"/>
            <w:vAlign w:val="bottom"/>
            <w:gridSpan w:val="2"/>
          </w:tcPr>
          <w:p>
            <w:pPr>
              <w:ind w:left="2060"/>
              <w:spacing w:after="0"/>
              <w:rPr>
                <w:sz w:val="20"/>
                <w:szCs w:val="20"/>
                <w:color w:val="auto"/>
              </w:rPr>
            </w:pPr>
            <w:r>
              <w:rPr>
                <w:rFonts w:ascii="Arial" w:cs="Arial" w:eastAsia="Arial" w:hAnsi="Arial"/>
                <w:sz w:val="18"/>
                <w:szCs w:val="18"/>
                <w:b w:val="1"/>
                <w:bCs w:val="1"/>
                <w:color w:val="auto"/>
              </w:rPr>
              <w:t>TEMPEST THERAPEUTICS, INC.</w:t>
            </w:r>
          </w:p>
        </w:tc>
      </w:tr>
      <w:tr>
        <w:trPr>
          <w:trHeight w:val="432"/>
        </w:trPr>
        <w:tc>
          <w:tcPr>
            <w:tcW w:w="3460" w:type="dxa"/>
            <w:vAlign w:val="bottom"/>
          </w:tcPr>
          <w:p>
            <w:pPr>
              <w:spacing w:after="0"/>
              <w:rPr>
                <w:sz w:val="20"/>
                <w:szCs w:val="20"/>
                <w:color w:val="auto"/>
              </w:rPr>
            </w:pPr>
            <w:r>
              <w:rPr>
                <w:rFonts w:ascii="Arial" w:cs="Arial" w:eastAsia="Arial" w:hAnsi="Arial"/>
                <w:sz w:val="18"/>
                <w:szCs w:val="18"/>
                <w:color w:val="auto"/>
              </w:rPr>
              <w:t>Date: July 23, 2021</w:t>
            </w:r>
          </w:p>
        </w:tc>
        <w:tc>
          <w:tcPr>
            <w:tcW w:w="2600" w:type="dxa"/>
            <w:vAlign w:val="bottom"/>
          </w:tcPr>
          <w:p>
            <w:pPr>
              <w:ind w:left="2060"/>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Stephen Brady</w:t>
            </w:r>
          </w:p>
        </w:tc>
      </w:tr>
      <w:tr>
        <w:trPr>
          <w:trHeight w:val="195"/>
        </w:trPr>
        <w:tc>
          <w:tcPr>
            <w:tcW w:w="3460" w:type="dxa"/>
            <w:vAlign w:val="bottom"/>
          </w:tcPr>
          <w:p>
            <w:pPr>
              <w:spacing w:after="0"/>
              <w:rPr>
                <w:sz w:val="16"/>
                <w:szCs w:val="16"/>
                <w:color w:val="auto"/>
              </w:rPr>
            </w:pPr>
          </w:p>
        </w:tc>
        <w:tc>
          <w:tcPr>
            <w:tcW w:w="2600" w:type="dxa"/>
            <w:vAlign w:val="bottom"/>
          </w:tcPr>
          <w:p>
            <w:pPr>
              <w:ind w:left="2060"/>
              <w:spacing w:after="0" w:line="195" w:lineRule="exact"/>
              <w:rPr>
                <w:sz w:val="20"/>
                <w:szCs w:val="20"/>
                <w:color w:val="auto"/>
              </w:rPr>
            </w:pPr>
            <w:r>
              <w:rPr>
                <w:rFonts w:ascii="Arial" w:cs="Arial" w:eastAsia="Arial" w:hAnsi="Arial"/>
                <w:sz w:val="18"/>
                <w:szCs w:val="18"/>
                <w:color w:val="auto"/>
                <w:w w:val="98"/>
              </w:rPr>
              <w:t>Name:</w:t>
            </w:r>
          </w:p>
        </w:tc>
        <w:tc>
          <w:tcPr>
            <w:tcW w:w="4960" w:type="dxa"/>
            <w:vAlign w:val="bottom"/>
          </w:tcPr>
          <w:p>
            <w:pPr>
              <w:ind w:left="100"/>
              <w:spacing w:after="0" w:line="195" w:lineRule="exact"/>
              <w:rPr>
                <w:sz w:val="20"/>
                <w:szCs w:val="20"/>
                <w:color w:val="auto"/>
              </w:rPr>
            </w:pPr>
            <w:r>
              <w:rPr>
                <w:rFonts w:ascii="Arial" w:cs="Arial" w:eastAsia="Arial" w:hAnsi="Arial"/>
                <w:sz w:val="18"/>
                <w:szCs w:val="18"/>
                <w:color w:val="auto"/>
              </w:rPr>
              <w:t>Stephen Brady</w:t>
            </w:r>
          </w:p>
        </w:tc>
      </w:tr>
      <w:tr>
        <w:trPr>
          <w:trHeight w:val="230"/>
        </w:trPr>
        <w:tc>
          <w:tcPr>
            <w:tcW w:w="3460" w:type="dxa"/>
            <w:vAlign w:val="bottom"/>
          </w:tcPr>
          <w:p>
            <w:pPr>
              <w:spacing w:after="0"/>
              <w:rPr>
                <w:sz w:val="20"/>
                <w:szCs w:val="20"/>
                <w:color w:val="auto"/>
              </w:rPr>
            </w:pPr>
          </w:p>
        </w:tc>
        <w:tc>
          <w:tcPr>
            <w:tcW w:w="2600" w:type="dxa"/>
            <w:vAlign w:val="bottom"/>
          </w:tcPr>
          <w:p>
            <w:pPr>
              <w:ind w:left="2060"/>
              <w:spacing w:after="0"/>
              <w:rPr>
                <w:sz w:val="20"/>
                <w:szCs w:val="20"/>
                <w:color w:val="auto"/>
              </w:rPr>
            </w:pPr>
            <w:r>
              <w:rPr>
                <w:rFonts w:ascii="Arial" w:cs="Arial" w:eastAsia="Arial" w:hAnsi="Arial"/>
                <w:sz w:val="18"/>
                <w:szCs w:val="18"/>
                <w:color w:val="auto"/>
              </w:rPr>
              <w:t>Title:</w:t>
            </w:r>
          </w:p>
        </w:tc>
        <w:tc>
          <w:tcPr>
            <w:tcW w:w="4960" w:type="dxa"/>
            <w:vAlign w:val="bottom"/>
          </w:tcPr>
          <w:p>
            <w:pPr>
              <w:ind w:left="10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020"/>
          </w:cols>
          <w:pgMar w:left="440" w:top="270"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OPEN MARKET SALE AGREEMENT</w:t>
      </w:r>
      <w:r>
        <w:rPr>
          <w:rFonts w:ascii="Arial" w:cs="Arial" w:eastAsia="Arial" w:hAnsi="Arial"/>
          <w:sz w:val="15"/>
          <w:szCs w:val="15"/>
          <w:b w:val="1"/>
          <w:bCs w:val="1"/>
          <w:color w:val="auto"/>
        </w:rPr>
        <w:t>SM</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July 23,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JEFFERIES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520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3" w:lineRule="exact"/>
        <w:rPr>
          <w:sz w:val="20"/>
          <w:szCs w:val="20"/>
          <w:color w:val="auto"/>
        </w:rPr>
      </w:pPr>
    </w:p>
    <w:p>
      <w:pPr>
        <w:ind w:right="260" w:firstLine="440"/>
        <w:spacing w:after="0" w:line="261" w:lineRule="auto"/>
        <w:rPr>
          <w:sz w:val="20"/>
          <w:szCs w:val="20"/>
          <w:color w:val="auto"/>
        </w:rPr>
      </w:pPr>
      <w:r>
        <w:rPr>
          <w:rFonts w:ascii="Arial" w:cs="Arial" w:eastAsia="Arial" w:hAnsi="Arial"/>
          <w:sz w:val="18"/>
          <w:szCs w:val="18"/>
          <w:color w:val="auto"/>
        </w:rPr>
        <w:t>Tempest Therapeutics,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proposes, subject to the terms and conditions stated herein, to issue and sell from time to time through Jefferies LLC, as sales agent and/or principal (the “</w:t>
      </w:r>
      <w:r>
        <w:rPr>
          <w:rFonts w:ascii="Arial" w:cs="Arial" w:eastAsia="Arial" w:hAnsi="Arial"/>
          <w:sz w:val="18"/>
          <w:szCs w:val="18"/>
          <w:b w:val="1"/>
          <w:bCs w:val="1"/>
          <w:color w:val="auto"/>
        </w:rPr>
        <w:t>Agent</w:t>
      </w:r>
      <w:r>
        <w:rPr>
          <w:rFonts w:ascii="Arial" w:cs="Arial" w:eastAsia="Arial" w:hAnsi="Arial"/>
          <w:sz w:val="18"/>
          <w:szCs w:val="18"/>
          <w:color w:val="auto"/>
        </w:rPr>
        <w:t>”), shares of the Company’s common stock, par value $0.001 per share (the “</w:t>
      </w:r>
      <w:r>
        <w:rPr>
          <w:rFonts w:ascii="Arial" w:cs="Arial" w:eastAsia="Arial" w:hAnsi="Arial"/>
          <w:sz w:val="18"/>
          <w:szCs w:val="18"/>
          <w:b w:val="1"/>
          <w:bCs w:val="1"/>
          <w:color w:val="auto"/>
        </w:rPr>
        <w:t>Common Shares</w:t>
      </w:r>
      <w:r>
        <w:rPr>
          <w:rFonts w:ascii="Arial" w:cs="Arial" w:eastAsia="Arial" w:hAnsi="Arial"/>
          <w:sz w:val="18"/>
          <w:szCs w:val="18"/>
          <w:color w:val="auto"/>
        </w:rPr>
        <w:t>”), having an aggregate offering price of up to $100,000,000 on the terms set forth in this agreement (this “</w:t>
      </w:r>
      <w:r>
        <w:rPr>
          <w:rFonts w:ascii="Arial" w:cs="Arial" w:eastAsia="Arial" w:hAnsi="Arial"/>
          <w:sz w:val="18"/>
          <w:szCs w:val="18"/>
          <w:b w:val="1"/>
          <w:bCs w:val="1"/>
          <w:color w:val="auto"/>
        </w:rPr>
        <w:t>Agreement</w:t>
      </w:r>
      <w:r>
        <w:rPr>
          <w:rFonts w:ascii="Arial" w:cs="Arial" w:eastAsia="Arial" w:hAnsi="Arial"/>
          <w:sz w:val="18"/>
          <w:szCs w:val="18"/>
          <w:color w:val="auto"/>
        </w:rPr>
        <w: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 DEFINITIONS</w:t>
      </w:r>
    </w:p>
    <w:p>
      <w:pPr>
        <w:spacing w:after="0" w:line="121" w:lineRule="exact"/>
        <w:rPr>
          <w:sz w:val="20"/>
          <w:szCs w:val="20"/>
          <w:color w:val="auto"/>
        </w:rPr>
      </w:pPr>
    </w:p>
    <w:p>
      <w:pPr>
        <w:ind w:right="720" w:firstLine="436"/>
        <w:spacing w:after="0" w:line="277" w:lineRule="auto"/>
        <w:tabs>
          <w:tab w:leader="none" w:pos="685"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Certain Definitions</w:t>
      </w:r>
      <w:r>
        <w:rPr>
          <w:rFonts w:ascii="Arial" w:cs="Arial" w:eastAsia="Arial" w:hAnsi="Arial"/>
          <w:sz w:val="18"/>
          <w:szCs w:val="18"/>
          <w:color w:val="auto"/>
        </w:rPr>
        <w:t>. For purposes of this Agreement, capitalized terms used herein and not otherwise defined shall have the following respective meanings:</w:t>
      </w:r>
    </w:p>
    <w:p>
      <w:pPr>
        <w:spacing w:after="0" w:line="166" w:lineRule="exact"/>
        <w:rPr>
          <w:sz w:val="20"/>
          <w:szCs w:val="20"/>
          <w:color w:val="auto"/>
        </w:rPr>
      </w:pPr>
    </w:p>
    <w:p>
      <w:pPr>
        <w:ind w:right="10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of a Person means another Person that directly or indirectly, through one or more intermediaries, controls, is controlled by, or is under common control with, such first- mentioned Person. The term “control” (including the terms “controlling,” “controlled by” and “under common control with”) means the possession, direct or indirect, of the power to direct or cause the direction of the management and policies of a Person, whether through the ownership of voting securities, by contract or otherwise.</w:t>
      </w:r>
    </w:p>
    <w:p>
      <w:pPr>
        <w:spacing w:after="0" w:line="180" w:lineRule="exact"/>
        <w:rPr>
          <w:sz w:val="20"/>
          <w:szCs w:val="20"/>
          <w:color w:val="auto"/>
        </w:rPr>
      </w:pPr>
    </w:p>
    <w:p>
      <w:pPr>
        <w:ind w:right="40" w:firstLine="44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Agency Period</w:t>
      </w:r>
      <w:r>
        <w:rPr>
          <w:rFonts w:ascii="Arial" w:cs="Arial" w:eastAsia="Arial" w:hAnsi="Arial"/>
          <w:sz w:val="16"/>
          <w:szCs w:val="16"/>
          <w:color w:val="auto"/>
        </w:rPr>
        <w:t xml:space="preserve">” means the period commencing on the date of this Agreement and expiring on the earliest to occur of (x) the date on which the Agent shall have placed the Maximum Program Amount pursuant to this Agreement and (y) the date this Agreement is terminated pursuant to </w:t>
      </w:r>
      <w:r>
        <w:rPr>
          <w:rFonts w:ascii="Arial" w:cs="Arial" w:eastAsia="Arial" w:hAnsi="Arial"/>
          <w:sz w:val="16"/>
          <w:szCs w:val="16"/>
          <w:u w:val="single" w:color="auto"/>
          <w:color w:val="auto"/>
        </w:rPr>
        <w:t>Section 7</w:t>
      </w:r>
      <w:r>
        <w:rPr>
          <w:rFonts w:ascii="Arial" w:cs="Arial" w:eastAsia="Arial" w:hAnsi="Arial"/>
          <w:sz w:val="16"/>
          <w:szCs w:val="16"/>
          <w:color w:val="auto"/>
        </w:rPr>
        <w:t>.</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Commission</w:t>
      </w:r>
      <w:r>
        <w:rPr>
          <w:rFonts w:ascii="Arial" w:cs="Arial" w:eastAsia="Arial" w:hAnsi="Arial"/>
          <w:sz w:val="18"/>
          <w:szCs w:val="18"/>
          <w:color w:val="auto"/>
        </w:rPr>
        <w:t>” means the U.S. Securities and Exchange Commission.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Exchange Act</w:t>
      </w:r>
      <w:r>
        <w:rPr>
          <w:rFonts w:ascii="Arial" w:cs="Arial" w:eastAsia="Arial" w:hAnsi="Arial"/>
          <w:sz w:val="17"/>
          <w:szCs w:val="17"/>
          <w:color w:val="auto"/>
        </w:rPr>
        <w:t>” means the Securities Exchange Act of 1934, as amended, and the rules and regulations of the Commission thereunder.</w:t>
      </w:r>
    </w:p>
    <w:p>
      <w:pPr>
        <w:spacing w:after="0" w:line="237" w:lineRule="exact"/>
        <w:rPr>
          <w:sz w:val="20"/>
          <w:szCs w:val="20"/>
          <w:color w:val="auto"/>
        </w:rPr>
      </w:pPr>
    </w:p>
    <w:p>
      <w:pPr>
        <w:ind w:right="12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Floor Price</w:t>
      </w:r>
      <w:r>
        <w:rPr>
          <w:rFonts w:ascii="Arial" w:cs="Arial" w:eastAsia="Arial" w:hAnsi="Arial"/>
          <w:sz w:val="18"/>
          <w:szCs w:val="18"/>
          <w:color w:val="auto"/>
        </w:rPr>
        <w:t>” means the minimum price set by the Company in the Issuance Notice below which the Agent shall not sell Shares during the applicable period set forth in the Issuance Notice, which may be adjusted by the Company at any time during the period set forth in the Issuance Notice by delivering written notice of such change to the Agent and which in no event shall be less than $1.00 without the prior written consent of the Agent, which may be withheld in the Agent’s sole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7715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7" w:lineRule="exact"/>
        <w:rPr>
          <w:sz w:val="20"/>
          <w:szCs w:val="20"/>
          <w:color w:val="auto"/>
        </w:rPr>
      </w:pPr>
    </w:p>
    <w:p>
      <w:pPr>
        <w:spacing w:after="0"/>
        <w:tabs>
          <w:tab w:leader="none" w:pos="400" w:val="left"/>
        </w:tabs>
        <w:rPr>
          <w:sz w:val="20"/>
          <w:szCs w:val="20"/>
          <w:color w:val="auto"/>
        </w:rPr>
      </w:pPr>
      <w:r>
        <w:rPr>
          <w:rFonts w:ascii="Arial" w:cs="Arial" w:eastAsia="Arial" w:hAnsi="Arial"/>
          <w:sz w:val="15"/>
          <w:szCs w:val="15"/>
          <w:color w:val="auto"/>
        </w:rPr>
        <w:t>SM</w:t>
      </w:r>
      <w:r>
        <w:rPr>
          <w:sz w:val="20"/>
          <w:szCs w:val="20"/>
          <w:color w:val="auto"/>
        </w:rPr>
        <w:tab/>
      </w:r>
      <w:r>
        <w:rPr>
          <w:rFonts w:ascii="Arial" w:cs="Arial" w:eastAsia="Arial" w:hAnsi="Arial"/>
          <w:sz w:val="18"/>
          <w:szCs w:val="18"/>
          <w:color w:val="auto"/>
        </w:rPr>
        <w:t>“Open Market Sale Agreement” is a service mark of Jefferies LLC</w:t>
      </w:r>
    </w:p>
    <w:p>
      <w:pPr>
        <w:sectPr>
          <w:pgSz w:w="11900" w:h="16838" w:orient="portrait"/>
          <w:cols w:equalWidth="0" w:num="1">
            <w:col w:w="11020"/>
          </w:cols>
          <w:pgMar w:left="440" w:top="121" w:right="439" w:bottom="1440" w:gutter="0" w:footer="0" w:header="0"/>
        </w:sectPr>
      </w:pPr>
    </w:p>
    <w:bookmarkStart w:id="4" w:name="page5"/>
    <w:bookmarkEnd w:id="4"/>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color w:val="auto"/>
        </w:rPr>
        <w:t>Issuance Amount</w:t>
      </w:r>
      <w:r>
        <w:rPr>
          <w:rFonts w:ascii="Arial" w:cs="Arial" w:eastAsia="Arial" w:hAnsi="Arial"/>
          <w:sz w:val="18"/>
          <w:szCs w:val="18"/>
          <w:color w:val="auto"/>
        </w:rPr>
        <w:t>” means the aggregate Sales Price of the Shares to be sold by the Agent pursuant to any Issuance Notice.</w:t>
      </w:r>
    </w:p>
    <w:p>
      <w:pPr>
        <w:spacing w:after="0" w:line="225" w:lineRule="exact"/>
        <w:rPr>
          <w:sz w:val="20"/>
          <w:szCs w:val="20"/>
          <w:color w:val="auto"/>
        </w:rPr>
      </w:pPr>
    </w:p>
    <w:p>
      <w:pPr>
        <w:ind w:right="1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Issuance Notice</w:t>
      </w:r>
      <w:r>
        <w:rPr>
          <w:rFonts w:ascii="Arial" w:cs="Arial" w:eastAsia="Arial" w:hAnsi="Arial"/>
          <w:sz w:val="18"/>
          <w:szCs w:val="18"/>
          <w:color w:val="auto"/>
        </w:rPr>
        <w:t xml:space="preserve">” means a written notice delivered to the Agent by the Company in accordance with this Agreement in the form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that is executed by its Chief Executive Officer, President or Chief Financial Officer.</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Issuance Notice Date</w:t>
      </w:r>
      <w:r>
        <w:rPr>
          <w:rFonts w:ascii="Arial" w:cs="Arial" w:eastAsia="Arial" w:hAnsi="Arial"/>
          <w:sz w:val="17"/>
          <w:szCs w:val="17"/>
          <w:color w:val="auto"/>
        </w:rPr>
        <w:t xml:space="preserve">” means any Trading Day during the Agency Period that an Issuance Notice is delivered pursuant to </w:t>
      </w:r>
      <w:r>
        <w:rPr>
          <w:rFonts w:ascii="Arial" w:cs="Arial" w:eastAsia="Arial" w:hAnsi="Arial"/>
          <w:sz w:val="17"/>
          <w:szCs w:val="17"/>
          <w:u w:val="single" w:color="auto"/>
          <w:color w:val="auto"/>
        </w:rPr>
        <w:t>Section 3(b)(i)</w:t>
      </w:r>
      <w:r>
        <w:rPr>
          <w:rFonts w:ascii="Arial" w:cs="Arial" w:eastAsia="Arial" w:hAnsi="Arial"/>
          <w:sz w:val="17"/>
          <w:szCs w:val="17"/>
          <w:color w:val="auto"/>
        </w:rPr>
        <w:t>.</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Issuance Price</w:t>
      </w:r>
      <w:r>
        <w:rPr>
          <w:rFonts w:ascii="Arial" w:cs="Arial" w:eastAsia="Arial" w:hAnsi="Arial"/>
          <w:sz w:val="18"/>
          <w:szCs w:val="18"/>
          <w:color w:val="auto"/>
        </w:rPr>
        <w:t>” means the Sales Price less the Selling Commission.</w:t>
      </w:r>
    </w:p>
    <w:p>
      <w:pPr>
        <w:spacing w:after="0" w:line="225" w:lineRule="exact"/>
        <w:rPr>
          <w:sz w:val="20"/>
          <w:szCs w:val="20"/>
          <w:color w:val="auto"/>
        </w:rPr>
      </w:pPr>
    </w:p>
    <w:p>
      <w:pPr>
        <w:ind w:right="40" w:firstLine="440"/>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Maximum Program Amount</w:t>
      </w:r>
      <w:r>
        <w:rPr>
          <w:rFonts w:ascii="Arial" w:cs="Arial" w:eastAsia="Arial" w:hAnsi="Arial"/>
          <w:sz w:val="18"/>
          <w:szCs w:val="18"/>
          <w:color w:val="auto"/>
        </w:rPr>
        <w:t>” means Common Shares with an aggregate Sales Price of the lesser of (a) the number or dollar amount of Common Shares registered under the effective Registration Statement (as defined below) pursuant to which the offering is being made, (b) the number of authorized but unissued Common Shares (less Common Shares issuable upon exercise, conversion or exchange of any outstanding securities of the Company or otherwise reserved from the Company’s authorized capital stock), (c) the number or dollar amount of Common Shares permitted to be sold under Form S-3 (including General Instruction I.B.6 thereof, if applicable), or (d) the number or dollar amount of Common Shares for which the Company has filed a Prospectus (as defined below).</w:t>
      </w:r>
    </w:p>
    <w:p>
      <w:pPr>
        <w:spacing w:after="0" w:line="187" w:lineRule="exact"/>
        <w:rPr>
          <w:sz w:val="20"/>
          <w:szCs w:val="20"/>
          <w:color w:val="auto"/>
        </w:rPr>
      </w:pPr>
    </w:p>
    <w:p>
      <w:pPr>
        <w:ind w:right="3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or a corporation, partnership, limited liability company, trust, incorporated or unincorporated association, joint venture, joint stock company, governmental authority or other entity of any kind.</w:t>
      </w:r>
    </w:p>
    <w:p>
      <w:pPr>
        <w:spacing w:after="0" w:line="162" w:lineRule="exact"/>
        <w:rPr>
          <w:sz w:val="20"/>
          <w:szCs w:val="20"/>
          <w:color w:val="auto"/>
        </w:rPr>
      </w:pPr>
    </w:p>
    <w:p>
      <w:pPr>
        <w:ind w:right="2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Principal Market</w:t>
      </w:r>
      <w:r>
        <w:rPr>
          <w:rFonts w:ascii="Arial" w:cs="Arial" w:eastAsia="Arial" w:hAnsi="Arial"/>
          <w:sz w:val="18"/>
          <w:szCs w:val="18"/>
          <w:color w:val="auto"/>
        </w:rPr>
        <w:t>” means the Nasdaq Capital Market or such other national securities exchange on which the Common Shares, including any Shares, are then listed.</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Sales Price</w:t>
      </w:r>
      <w:r>
        <w:rPr>
          <w:rFonts w:ascii="Arial" w:cs="Arial" w:eastAsia="Arial" w:hAnsi="Arial"/>
          <w:sz w:val="18"/>
          <w:szCs w:val="18"/>
          <w:color w:val="auto"/>
        </w:rPr>
        <w:t>” means the actual sale execution price of each Share placed by the Agent pursuant to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Securities Act of 1933, as amended, and the rules and regulations of the Commission thereunder.</w:t>
      </w:r>
    </w:p>
    <w:p>
      <w:pPr>
        <w:spacing w:after="0" w:line="225" w:lineRule="exact"/>
        <w:rPr>
          <w:sz w:val="20"/>
          <w:szCs w:val="20"/>
          <w:color w:val="auto"/>
        </w:rPr>
      </w:pPr>
    </w:p>
    <w:p>
      <w:pPr>
        <w:ind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Selling Commission</w:t>
      </w:r>
      <w:r>
        <w:rPr>
          <w:rFonts w:ascii="Arial" w:cs="Arial" w:eastAsia="Arial" w:hAnsi="Arial"/>
          <w:sz w:val="18"/>
          <w:szCs w:val="18"/>
          <w:color w:val="auto"/>
        </w:rPr>
        <w:t>” means three percent (3%) of the gross proceeds of Shares sold pursuant to this Agreement, or as otherwise agreed between the Company and the Agent with respect to any Shares sold pursuant to this Agreement.</w:t>
      </w:r>
    </w:p>
    <w:p>
      <w:pPr>
        <w:spacing w:after="0" w:line="162" w:lineRule="exact"/>
        <w:rPr>
          <w:sz w:val="20"/>
          <w:szCs w:val="20"/>
          <w:color w:val="auto"/>
        </w:rPr>
      </w:pPr>
    </w:p>
    <w:p>
      <w:pPr>
        <w:ind w:right="2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Settlement Date</w:t>
      </w:r>
      <w:r>
        <w:rPr>
          <w:rFonts w:ascii="Arial" w:cs="Arial" w:eastAsia="Arial" w:hAnsi="Arial"/>
          <w:sz w:val="18"/>
          <w:szCs w:val="18"/>
          <w:color w:val="auto"/>
        </w:rPr>
        <w:t>” means the second business day following each Trading Day during the period set forth in the Issuance Notice on which Shares are sold pursuant to this Agreement, when the Company shall deliver to the Agent the amount of Shares sold on such Trading Day and the Agent shall deliver to the Company the Issuance Price received on such sales.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0" w:right="479" w:bottom="1440" w:gutter="0" w:footer="0" w:header="0"/>
        </w:sectPr>
      </w:pPr>
    </w:p>
    <w:bookmarkStart w:id="5" w:name="page6"/>
    <w:bookmarkEnd w:id="5"/>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color w:val="auto"/>
        </w:rPr>
        <w:t>Shares</w:t>
      </w:r>
      <w:r>
        <w:rPr>
          <w:rFonts w:ascii="Arial" w:cs="Arial" w:eastAsia="Arial" w:hAnsi="Arial"/>
          <w:sz w:val="18"/>
          <w:szCs w:val="18"/>
          <w:color w:val="auto"/>
        </w:rPr>
        <w:t>” means the Company’s Common Shares issued or issuable pursuant to this Agreement.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Trading Day</w:t>
      </w:r>
      <w:r>
        <w:rPr>
          <w:rFonts w:ascii="Arial" w:cs="Arial" w:eastAsia="Arial" w:hAnsi="Arial"/>
          <w:sz w:val="18"/>
          <w:szCs w:val="18"/>
          <w:color w:val="auto"/>
        </w:rPr>
        <w:t>” means any day on which the Principal Market is open for trading.</w:t>
      </w:r>
    </w:p>
    <w:p>
      <w:pPr>
        <w:spacing w:after="0" w:line="33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Section 2. REPRESENTATIONS AND WARRANTIES OF THE COMPANY</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6"/>
          <w:szCs w:val="16"/>
          <w:color w:val="auto"/>
        </w:rPr>
        <w:t>The Company represents and warrants to, and agrees with, the Agent that as of (1) the date of this Agreement, (2) each Issuance Notice Date,</w:t>
      </w:r>
    </w:p>
    <w:p>
      <w:pPr>
        <w:spacing w:after="0" w:line="46" w:lineRule="exact"/>
        <w:rPr>
          <w:sz w:val="20"/>
          <w:szCs w:val="20"/>
          <w:color w:val="auto"/>
        </w:rPr>
      </w:pPr>
    </w:p>
    <w:p>
      <w:pPr>
        <w:ind w:left="4" w:right="500" w:hanging="4"/>
        <w:spacing w:after="0" w:line="277" w:lineRule="auto"/>
        <w:tabs>
          <w:tab w:leader="none" w:pos="259" w:val="left"/>
        </w:tabs>
        <w:numPr>
          <w:ilvl w:val="0"/>
          <w:numId w:val="3"/>
        </w:numPr>
        <w:rPr>
          <w:rFonts w:ascii="Arial" w:cs="Arial" w:eastAsia="Arial" w:hAnsi="Arial"/>
          <w:sz w:val="17"/>
          <w:szCs w:val="17"/>
          <w:color w:val="auto"/>
        </w:rPr>
      </w:pPr>
      <w:r>
        <w:rPr>
          <w:rFonts w:ascii="Arial" w:cs="Arial" w:eastAsia="Arial" w:hAnsi="Arial"/>
          <w:sz w:val="17"/>
          <w:szCs w:val="17"/>
          <w:color w:val="auto"/>
        </w:rPr>
        <w:t>each Settlement Date, (4) each Triggering Event Date (as defined below) and (5) as of each Time of Sale (as defined below) (each of the times referenced above is referred to herein as a “</w:t>
      </w:r>
      <w:r>
        <w:rPr>
          <w:rFonts w:ascii="Arial" w:cs="Arial" w:eastAsia="Arial" w:hAnsi="Arial"/>
          <w:sz w:val="17"/>
          <w:szCs w:val="17"/>
          <w:b w:val="1"/>
          <w:bCs w:val="1"/>
          <w:color w:val="auto"/>
        </w:rPr>
        <w:t>Representation Date</w:t>
      </w:r>
      <w:r>
        <w:rPr>
          <w:rFonts w:ascii="Arial" w:cs="Arial" w:eastAsia="Arial" w:hAnsi="Arial"/>
          <w:sz w:val="17"/>
          <w:szCs w:val="17"/>
          <w:color w:val="auto"/>
        </w:rPr>
        <w:t>”), except as may be disclosed in the Prospectus (including any documents incorporated by reference therein and any supplements thereto) on or before a Representation Date:</w:t>
      </w:r>
    </w:p>
    <w:p>
      <w:pPr>
        <w:spacing w:after="0" w:line="64" w:lineRule="exact"/>
        <w:rPr>
          <w:rFonts w:ascii="Arial" w:cs="Arial" w:eastAsia="Arial" w:hAnsi="Arial"/>
          <w:sz w:val="17"/>
          <w:szCs w:val="17"/>
          <w:color w:val="auto"/>
        </w:rPr>
      </w:pPr>
    </w:p>
    <w:p>
      <w:pPr>
        <w:ind w:left="4" w:firstLine="436"/>
        <w:spacing w:after="0" w:line="268" w:lineRule="auto"/>
        <w:tabs>
          <w:tab w:leader="none" w:pos="689" w:val="left"/>
        </w:tabs>
        <w:numPr>
          <w:ilvl w:val="1"/>
          <w:numId w:val="3"/>
        </w:numPr>
        <w:rPr>
          <w:rFonts w:ascii="Arial" w:cs="Arial" w:eastAsia="Arial" w:hAnsi="Arial"/>
          <w:sz w:val="17"/>
          <w:szCs w:val="17"/>
          <w:color w:val="auto"/>
        </w:rPr>
      </w:pPr>
      <w:r>
        <w:rPr>
          <w:rFonts w:ascii="Arial" w:cs="Arial" w:eastAsia="Arial" w:hAnsi="Arial"/>
          <w:sz w:val="17"/>
          <w:szCs w:val="17"/>
          <w:u w:val="single" w:color="auto"/>
          <w:color w:val="auto"/>
        </w:rPr>
        <w:t>Registration Statement</w:t>
      </w:r>
      <w:r>
        <w:rPr>
          <w:rFonts w:ascii="Arial" w:cs="Arial" w:eastAsia="Arial" w:hAnsi="Arial"/>
          <w:sz w:val="17"/>
          <w:szCs w:val="17"/>
          <w:color w:val="auto"/>
        </w:rPr>
        <w:t>. The Company has prepared and filed with the Commission a shelf registration statement on Form S-3 that contains a base prospectus. Such registration statement registers the issuance and sale by the Company of the Shares under the Securities Act. The Company may file one or more additional registration statements from time to time that will contain a base prospectus and related prospectus or prospectus supplement, if applicable, with respect to the Shares. Except where the context otherwise requires, such registration statement(s), including any information deemed to be a part thereof pursuant to Rule 430B under the Securities Act, including all financial statements, exhibits and schedules thereto and all documents incorporated or deemed to be incorporated therein by reference pursuant to Item 12 of Form S-3 under the Securities Act as from time to time amended or supplemented, is herein referred to as the “</w:t>
      </w:r>
      <w:r>
        <w:rPr>
          <w:rFonts w:ascii="Arial" w:cs="Arial" w:eastAsia="Arial" w:hAnsi="Arial"/>
          <w:sz w:val="17"/>
          <w:szCs w:val="17"/>
          <w:b w:val="1"/>
          <w:bCs w:val="1"/>
          <w:color w:val="auto"/>
        </w:rPr>
        <w:t>Registration Statement</w:t>
      </w:r>
      <w:r>
        <w:rPr>
          <w:rFonts w:ascii="Arial" w:cs="Arial" w:eastAsia="Arial" w:hAnsi="Arial"/>
          <w:sz w:val="17"/>
          <w:szCs w:val="17"/>
          <w:color w:val="auto"/>
        </w:rPr>
        <w:t>,” and the prospectus constituting a part of such registration statement(s), together with any prospectus supplement filed with the Commission pursuant to Rule 424(b) under the Securities Act relating to a particular issuance of the Shares, including all documents incorporated or deemed to be incorporated therein by reference pursuant to Item 12 of Form S-3 under the Securities Act, in each case, as from time to time amended or supplemented, is referred to herein as the “</w:t>
      </w:r>
      <w:r>
        <w:rPr>
          <w:rFonts w:ascii="Arial" w:cs="Arial" w:eastAsia="Arial" w:hAnsi="Arial"/>
          <w:sz w:val="17"/>
          <w:szCs w:val="17"/>
          <w:b w:val="1"/>
          <w:bCs w:val="1"/>
          <w:color w:val="auto"/>
        </w:rPr>
        <w:t>Prospectus</w:t>
      </w:r>
      <w:r>
        <w:rPr>
          <w:rFonts w:ascii="Arial" w:cs="Arial" w:eastAsia="Arial" w:hAnsi="Arial"/>
          <w:sz w:val="17"/>
          <w:szCs w:val="17"/>
          <w:color w:val="auto"/>
        </w:rPr>
        <w:t>,” except that if any revised prospectus is provided to the Agent by the Company for use in connection with the offering of the Shares that is not required to be filed by the Company pursuant to Rule 424(b) under the Securities Act, the term “</w:t>
      </w:r>
      <w:r>
        <w:rPr>
          <w:rFonts w:ascii="Arial" w:cs="Arial" w:eastAsia="Arial" w:hAnsi="Arial"/>
          <w:sz w:val="17"/>
          <w:szCs w:val="17"/>
          <w:b w:val="1"/>
          <w:bCs w:val="1"/>
          <w:color w:val="auto"/>
        </w:rPr>
        <w:t>Prospectus</w:t>
      </w:r>
      <w:r>
        <w:rPr>
          <w:rFonts w:ascii="Arial" w:cs="Arial" w:eastAsia="Arial" w:hAnsi="Arial"/>
          <w:sz w:val="17"/>
          <w:szCs w:val="17"/>
          <w:color w:val="auto"/>
        </w:rPr>
        <w:t>” shall refer to such revised prospectus from and after the time it is first provided to the Agent for such use. The Registration Statement at the time it originally became effective is herein called the “</w:t>
      </w:r>
      <w:r>
        <w:rPr>
          <w:rFonts w:ascii="Arial" w:cs="Arial" w:eastAsia="Arial" w:hAnsi="Arial"/>
          <w:sz w:val="17"/>
          <w:szCs w:val="17"/>
          <w:b w:val="1"/>
          <w:bCs w:val="1"/>
          <w:color w:val="auto"/>
        </w:rPr>
        <w:t>Original Registration Statement</w:t>
      </w:r>
      <w:r>
        <w:rPr>
          <w:rFonts w:ascii="Arial" w:cs="Arial" w:eastAsia="Arial" w:hAnsi="Arial"/>
          <w:sz w:val="17"/>
          <w:szCs w:val="17"/>
          <w:color w:val="auto"/>
        </w:rPr>
        <w:t>.” As used in this Agreement, the terms “amendment” or “supplement” when applied to the Registration Statement or the Prospectus shall be deemed to include the filing by the Company with the Commission of any document under the Exchange Act after the date hereof that is or is deemed to be incorporated therein by reference.</w:t>
      </w:r>
    </w:p>
    <w:p>
      <w:pPr>
        <w:spacing w:after="0" w:line="180" w:lineRule="exact"/>
        <w:rPr>
          <w:sz w:val="20"/>
          <w:szCs w:val="20"/>
          <w:color w:val="auto"/>
        </w:rPr>
      </w:pPr>
    </w:p>
    <w:p>
      <w:pPr>
        <w:ind w:left="4" w:right="40" w:firstLine="440"/>
        <w:spacing w:after="0" w:line="255" w:lineRule="auto"/>
        <w:rPr>
          <w:sz w:val="20"/>
          <w:szCs w:val="20"/>
          <w:color w:val="auto"/>
        </w:rPr>
      </w:pPr>
      <w:r>
        <w:rPr>
          <w:rFonts w:ascii="Arial" w:cs="Arial" w:eastAsia="Arial" w:hAnsi="Arial"/>
          <w:sz w:val="18"/>
          <w:szCs w:val="18"/>
          <w:color w:val="auto"/>
        </w:rPr>
        <w:t>All references in this Agreement to financial statements and schedules and other information which is “contained,” “included” or “stated” in the Registration Statement or the Prospectus (and all other references of like import) shall be deemed to mean and include all such financial statements and schedules and other information which is or is deemed to be incorporated by reference in or otherwise deemed under the Securities Act to be a part of or included in the Registration Statement or the Prospectus, as the case may be, as of any specified date; and all references in this Agreement to amendments or supplements to the Registration Statement or the Prospectus shall be deemed to mean and include, without limitation, the filing of any document under the Exchange Act which is</w:t>
      </w:r>
    </w:p>
    <w:p>
      <w:pPr>
        <w:spacing w:after="0" w:line="125"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4"/>
          </w:cols>
          <w:pgMar w:left="436" w:top="270" w:right="459" w:bottom="1440" w:gutter="0" w:footer="0" w:header="0"/>
        </w:sectPr>
      </w:pPr>
    </w:p>
    <w:bookmarkStart w:id="6" w:name="page7"/>
    <w:bookmarkEnd w:id="6"/>
    <w:p>
      <w:pPr>
        <w:ind w:right="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or is deemed to be incorporated by reference in or otherwise deemed under the Securities Act to be a part of or included in the Registration Statement or the Prospectus, as the case may be, as of any specified date. The Company’s obligations under this Agreement to furnish, provide, deliver or make available (and all other references of like import) copies of any report or statement shall be deemed satisfied if the same is filed with the Commission through its Electronic Data Gathering, Analysis and Retrieval system (“</w:t>
      </w:r>
      <w:r>
        <w:rPr>
          <w:rFonts w:ascii="Arial" w:cs="Arial" w:eastAsia="Arial" w:hAnsi="Arial"/>
          <w:sz w:val="17"/>
          <w:szCs w:val="17"/>
          <w:b w:val="1"/>
          <w:bCs w:val="1"/>
          <w:color w:val="auto"/>
        </w:rPr>
        <w:t>EDGAR</w:t>
      </w:r>
      <w:r>
        <w:rPr>
          <w:rFonts w:ascii="Arial" w:cs="Arial" w:eastAsia="Arial" w:hAnsi="Arial"/>
          <w:sz w:val="17"/>
          <w:szCs w:val="17"/>
          <w:color w:val="auto"/>
        </w:rPr>
        <w:t>”).</w:t>
      </w:r>
    </w:p>
    <w:p>
      <w:pPr>
        <w:spacing w:after="0" w:line="171" w:lineRule="exact"/>
        <w:rPr>
          <w:sz w:val="20"/>
          <w:szCs w:val="20"/>
          <w:color w:val="auto"/>
        </w:rPr>
      </w:pPr>
    </w:p>
    <w:p>
      <w:pPr>
        <w:ind w:right="200" w:firstLine="440"/>
        <w:spacing w:after="0" w:line="259" w:lineRule="auto"/>
        <w:rPr>
          <w:sz w:val="20"/>
          <w:szCs w:val="20"/>
          <w:color w:val="auto"/>
        </w:rPr>
      </w:pPr>
      <w:r>
        <w:rPr>
          <w:rFonts w:ascii="Arial" w:cs="Arial" w:eastAsia="Arial" w:hAnsi="Arial"/>
          <w:sz w:val="18"/>
          <w:szCs w:val="18"/>
          <w:color w:val="auto"/>
        </w:rPr>
        <w:t>At the time the Registration Statement was originally declared effective and at the time the Company’s most recent annual report on Form 10-K was filed with the Commission, if later, the Company met the then-applicable requirements for use of Form S-3 under the Securities Act. During the Agency Period, each time the Company files an annual report on Form 10-K the Company will meet the then-applicable requirements for use of Form S-3 under the Securities Act.</w:t>
      </w:r>
    </w:p>
    <w:p>
      <w:pPr>
        <w:spacing w:after="0" w:line="79" w:lineRule="exact"/>
        <w:rPr>
          <w:sz w:val="20"/>
          <w:szCs w:val="20"/>
          <w:color w:val="auto"/>
        </w:rPr>
      </w:pPr>
    </w:p>
    <w:p>
      <w:pPr>
        <w:ind w:right="240" w:firstLine="436"/>
        <w:spacing w:after="0" w:line="257" w:lineRule="auto"/>
        <w:tabs>
          <w:tab w:leader="none" w:pos="695"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Compliance with Registration Requirements</w:t>
      </w:r>
      <w:r>
        <w:rPr>
          <w:rFonts w:ascii="Arial" w:cs="Arial" w:eastAsia="Arial" w:hAnsi="Arial"/>
          <w:sz w:val="18"/>
          <w:szCs w:val="18"/>
          <w:color w:val="auto"/>
        </w:rPr>
        <w:t>. The Original Registration Statement and any Rule 462(b) Registration Statement have been declared effective by the Commission under the Securities Act. The Company has complied to the Commission’s satisfaction with all requests of the Commission for additional or supplemental information. No stop order suspending the effectiveness of the Registration Statement or any Rule 462(b) Registration Statement is in effect and no proceedings for such purpose have been instituted or are pending or, to the knowledge of the Company, are contemplated or threatened by the Commission.</w:t>
      </w:r>
    </w:p>
    <w:p>
      <w:pPr>
        <w:spacing w:after="0" w:line="188" w:lineRule="exact"/>
        <w:rPr>
          <w:sz w:val="20"/>
          <w:szCs w:val="20"/>
          <w:color w:val="auto"/>
        </w:rPr>
      </w:pPr>
    </w:p>
    <w:p>
      <w:pPr>
        <w:ind w:firstLine="440"/>
        <w:spacing w:after="0" w:line="285" w:lineRule="auto"/>
        <w:rPr>
          <w:sz w:val="20"/>
          <w:szCs w:val="20"/>
          <w:color w:val="auto"/>
        </w:rPr>
      </w:pPr>
      <w:r>
        <w:rPr>
          <w:rFonts w:ascii="Arial" w:cs="Arial" w:eastAsia="Arial" w:hAnsi="Arial"/>
          <w:sz w:val="16"/>
          <w:szCs w:val="16"/>
          <w:color w:val="auto"/>
        </w:rPr>
        <w:t>The Prospectus, when filed, complied in all material respects with the Securities Act and, if filed with the Commission through its EDGAR system (except as may be permitted by Regulation S-T under the Securities Act), was identical to the copy thereof delivered to the Agent for use in connection with the issuance and sale of the Shares. Each of the Registration Statement, any Rule 462(b) Registration Statement and any post-effective amendment thereto, at the time it became effective and at all subsequent times, complied and will comply in all material respects with the Securities Act and did not and will not contain any untrue statement of a material fact or omit to state a material fact required to be stated therein or necessary to make the statements therein not misleading. As of the date of this Agreement, the Prospectus and any Free Writing Prospectus (as defined below) considered together (collectively, the “</w:t>
      </w:r>
      <w:r>
        <w:rPr>
          <w:rFonts w:ascii="Arial" w:cs="Arial" w:eastAsia="Arial" w:hAnsi="Arial"/>
          <w:sz w:val="16"/>
          <w:szCs w:val="16"/>
          <w:b w:val="1"/>
          <w:bCs w:val="1"/>
          <w:u w:val="single" w:color="auto"/>
          <w:color w:val="auto"/>
        </w:rPr>
        <w:t>Time of Sale Information</w:t>
      </w:r>
      <w:r>
        <w:rPr>
          <w:rFonts w:ascii="Arial" w:cs="Arial" w:eastAsia="Arial" w:hAnsi="Arial"/>
          <w:sz w:val="16"/>
          <w:szCs w:val="16"/>
          <w:color w:val="auto"/>
        </w:rPr>
        <w:t xml:space="preserve">”) did not contain any untrue statement of a material fact or omit to state a material fact necessary to make the statements therein, in the light of the circumstances under which they were made, not misleading. The Prospectus, as amended or supplemented, as of its date and at all subsequent times, did not and will not contain any untrue statement of a material fact or omit to state a material fact necessary in order to make the statements therein, in the light of the circumstances under which they were made, not misleading. The representations and warranties set forth in the three immediately preceding sentences do not apply to statements in or omissions from the Registration Statement, any Rule 462(b) Registration Statement, or any post-effective amendment thereto, or the Prospectus, or any amendments or supplements thereto, made in reliance upon and in conformity with information relating to the Agent furnished to the Company in writing by the Agent expressly for use therein, it being understood and agreed that the only such information furnished by the Agent to the Company consists of the information described in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below. There are no contracts or other documents required to be described in the Prospectus or to be filed as exhibits to the Registration Statement which have not been described or filed as required. The Registration Statement and the offer and sale of the Shares as contemplated hereby meet the requirements of Rule 415 under the Securities Act and comply in all material respects with said rule.</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7" w:name="page8"/>
    <w:bookmarkEnd w:id="7"/>
    <w:p>
      <w:pPr>
        <w:ind w:right="20" w:firstLine="436"/>
        <w:spacing w:after="0" w:line="288" w:lineRule="auto"/>
        <w:tabs>
          <w:tab w:leader="none" w:pos="685" w:val="left"/>
        </w:tabs>
        <w:numPr>
          <w:ilvl w:val="0"/>
          <w:numId w:val="5"/>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Ineligible Issuer Status</w:t>
      </w:r>
      <w:r>
        <w:rPr>
          <w:rFonts w:ascii="Arial" w:cs="Arial" w:eastAsia="Arial" w:hAnsi="Arial"/>
          <w:sz w:val="16"/>
          <w:szCs w:val="16"/>
          <w:color w:val="auto"/>
        </w:rPr>
        <w:t>. The Company is not an “ineligible issuer” in connection with the offering of the Shares pursuant to Rules 164, 405 and 433 under the Securities Act. Any Free Writing Prospectus that the Company is required to file pursuant to Rule 433(d) under the Securities Act has been, or will be, filed with the Commission in accordance with the requirements of the Securities Act. Each Free Writing Prospectus that the Company has filed, or is required to file, pursuant to Rule 433(d) under the Securities Act or that was prepared by or on behalf of or used or referred to by the Company complies or will comply in all material respects with the requirements of Rule 433 under the Securities Act including timely filing with the Commission or retention where required and legending, and each such Free Writing Prospectus, as of its issue date and at all subsequent times through the completion of the issuance and sale of the Shares did not, does not and will not include any information that conflicted, conflicts with or will conflict with the information contained in the Registration Statement or the Prospectus, including any document incorporated by reference therein. Except for the Free Writing Prospectuses, if any, and electronic road shows, if any, furnished to you before first use, the Company has not prepared, used or referred to, and will not, without your prior consent, prepare, use or refer to, any Free Writing Prospectus.</w:t>
      </w:r>
    </w:p>
    <w:p>
      <w:pPr>
        <w:spacing w:after="0" w:line="60" w:lineRule="exact"/>
        <w:rPr>
          <w:rFonts w:ascii="Arial" w:cs="Arial" w:eastAsia="Arial" w:hAnsi="Arial"/>
          <w:sz w:val="16"/>
          <w:szCs w:val="16"/>
          <w:color w:val="auto"/>
        </w:rPr>
      </w:pPr>
    </w:p>
    <w:p>
      <w:pPr>
        <w:ind w:right="20" w:firstLine="436"/>
        <w:spacing w:after="0" w:line="301" w:lineRule="auto"/>
        <w:tabs>
          <w:tab w:leader="none" w:pos="695" w:val="left"/>
        </w:tabs>
        <w:numPr>
          <w:ilvl w:val="0"/>
          <w:numId w:val="5"/>
        </w:numPr>
        <w:rPr>
          <w:rFonts w:ascii="Arial" w:cs="Arial" w:eastAsia="Arial" w:hAnsi="Arial"/>
          <w:sz w:val="16"/>
          <w:szCs w:val="16"/>
          <w:color w:val="auto"/>
        </w:rPr>
      </w:pPr>
      <w:r>
        <w:rPr>
          <w:rFonts w:ascii="Arial" w:cs="Arial" w:eastAsia="Arial" w:hAnsi="Arial"/>
          <w:sz w:val="16"/>
          <w:szCs w:val="16"/>
          <w:u w:val="single" w:color="auto"/>
          <w:color w:val="auto"/>
        </w:rPr>
        <w:t>Incorporated Documents</w:t>
      </w:r>
      <w:r>
        <w:rPr>
          <w:rFonts w:ascii="Arial" w:cs="Arial" w:eastAsia="Arial" w:hAnsi="Arial"/>
          <w:sz w:val="16"/>
          <w:szCs w:val="16"/>
          <w:color w:val="auto"/>
        </w:rPr>
        <w:t>. The documents incorporated or deemed to be incorporated by reference in the Registration Statement and the Prospectus, at the time they were filed with the Commission, complied in all material respects with the requirements of the Exchange Act, as applicable, and, when read together with the other information in the Prospectus, do not contain an untrue statement of a material fact or omit to state a material fact required to be stated therein or necessary to make the statements therein, in light of the circumstances under which they were made, not misleading.</w:t>
      </w:r>
    </w:p>
    <w:p>
      <w:pPr>
        <w:spacing w:after="0" w:line="49" w:lineRule="exact"/>
        <w:rPr>
          <w:rFonts w:ascii="Arial" w:cs="Arial" w:eastAsia="Arial" w:hAnsi="Arial"/>
          <w:sz w:val="16"/>
          <w:szCs w:val="16"/>
          <w:color w:val="auto"/>
        </w:rPr>
      </w:pPr>
    </w:p>
    <w:p>
      <w:pPr>
        <w:ind w:right="40" w:firstLine="436"/>
        <w:spacing w:after="0" w:line="293" w:lineRule="auto"/>
        <w:tabs>
          <w:tab w:leader="none" w:pos="685" w:val="left"/>
        </w:tabs>
        <w:numPr>
          <w:ilvl w:val="0"/>
          <w:numId w:val="5"/>
        </w:numPr>
        <w:rPr>
          <w:rFonts w:ascii="Arial" w:cs="Arial" w:eastAsia="Arial" w:hAnsi="Arial"/>
          <w:sz w:val="16"/>
          <w:szCs w:val="16"/>
          <w:color w:val="auto"/>
        </w:rPr>
      </w:pPr>
      <w:r>
        <w:rPr>
          <w:rFonts w:ascii="Arial" w:cs="Arial" w:eastAsia="Arial" w:hAnsi="Arial"/>
          <w:sz w:val="16"/>
          <w:szCs w:val="16"/>
          <w:u w:val="single" w:color="auto"/>
          <w:color w:val="auto"/>
        </w:rPr>
        <w:t>Exchange Act Compliance</w:t>
      </w:r>
      <w:r>
        <w:rPr>
          <w:rFonts w:ascii="Arial" w:cs="Arial" w:eastAsia="Arial" w:hAnsi="Arial"/>
          <w:sz w:val="16"/>
          <w:szCs w:val="16"/>
          <w:color w:val="auto"/>
        </w:rPr>
        <w:t>. The documents incorporated or deemed to be incorporated by reference in the Prospectus, at the time they were or hereafter are filed with the Commission, and any Free Writing Prospectus or amendment or supplement thereto complied and will comply in all material respects with the requirements of the Exchange Act, and, when read together with the other information in the Prospectus, at the time the Registration Statement and any amendments thereto become effective and at each Time of Sale (as defined below), as the case may be, will not contain an untrue statement of a material fact or omit to state a material fact required to be stated therein or necessary to make the fact required to be stated therein or necessary to make the statements therein, in the light of the circumstances under which they were made, not misleading.</w:t>
      </w:r>
    </w:p>
    <w:p>
      <w:pPr>
        <w:spacing w:after="0" w:line="56" w:lineRule="exact"/>
        <w:rPr>
          <w:rFonts w:ascii="Arial" w:cs="Arial" w:eastAsia="Arial" w:hAnsi="Arial"/>
          <w:sz w:val="16"/>
          <w:szCs w:val="16"/>
          <w:color w:val="auto"/>
        </w:rPr>
      </w:pPr>
    </w:p>
    <w:p>
      <w:pPr>
        <w:ind w:firstLine="436"/>
        <w:spacing w:after="0" w:line="291" w:lineRule="auto"/>
        <w:tabs>
          <w:tab w:leader="none" w:pos="665" w:val="left"/>
        </w:tabs>
        <w:numPr>
          <w:ilvl w:val="0"/>
          <w:numId w:val="5"/>
        </w:numPr>
        <w:rPr>
          <w:rFonts w:ascii="Arial" w:cs="Arial" w:eastAsia="Arial" w:hAnsi="Arial"/>
          <w:sz w:val="16"/>
          <w:szCs w:val="16"/>
          <w:color w:val="auto"/>
        </w:rPr>
      </w:pPr>
      <w:r>
        <w:rPr>
          <w:rFonts w:ascii="Arial" w:cs="Arial" w:eastAsia="Arial" w:hAnsi="Arial"/>
          <w:sz w:val="16"/>
          <w:szCs w:val="16"/>
          <w:u w:val="single" w:color="auto"/>
          <w:color w:val="auto"/>
        </w:rPr>
        <w:t>Forward Looking Statements</w:t>
      </w:r>
      <w:r>
        <w:rPr>
          <w:rFonts w:ascii="Arial" w:cs="Arial" w:eastAsia="Arial" w:hAnsi="Arial"/>
          <w:sz w:val="16"/>
          <w:szCs w:val="16"/>
          <w:color w:val="auto"/>
        </w:rPr>
        <w:t>. No forward-looking statement (within the meaning of Section 27A of the Securities Act and Section 21E of the Exchange Act) (a “</w:t>
      </w:r>
      <w:r>
        <w:rPr>
          <w:rFonts w:ascii="Arial" w:cs="Arial" w:eastAsia="Arial" w:hAnsi="Arial"/>
          <w:sz w:val="16"/>
          <w:szCs w:val="16"/>
          <w:b w:val="1"/>
          <w:bCs w:val="1"/>
          <w:color w:val="auto"/>
        </w:rPr>
        <w:t>Forward-Looking Statement</w:t>
      </w:r>
      <w:r>
        <w:rPr>
          <w:rFonts w:ascii="Arial" w:cs="Arial" w:eastAsia="Arial" w:hAnsi="Arial"/>
          <w:sz w:val="16"/>
          <w:szCs w:val="16"/>
          <w:color w:val="auto"/>
        </w:rPr>
        <w:t>”) contained in the Registration Statement and the Prospectus has been made or reaffirmed without a reasonable basis or has been disclosed other than in good faith. The Forward-Looking Statements incorporated by reference in the Registration Statement and the Prospectus from the Company’s Current Report on Form 8-K filed on July 16, 2021 or, if later, the Company’s Annual Report on Form 10-K for the fiscal year most recently ended (i) are within the coverage of the safe harbor for forward-looking statements set forth in Section 27A of the Securities Act, Rule 175(b) under the Securities Act or Rule 3b-6 under the Exchange Act, as applicable, and (ii) were made by the Company with a reasonable basis and in good faith and reflect the Company’s good faith commercially reasonable best estimate of the matters described therein.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8" w:name="page9"/>
    <w:bookmarkEnd w:id="8"/>
    <w:p>
      <w:pPr>
        <w:ind w:right="80" w:firstLine="436"/>
        <w:spacing w:after="0" w:line="263" w:lineRule="auto"/>
        <w:tabs>
          <w:tab w:leader="none" w:pos="695"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Statistical and Market-Related Data</w:t>
      </w:r>
      <w:r>
        <w:rPr>
          <w:rFonts w:ascii="Arial" w:cs="Arial" w:eastAsia="Arial" w:hAnsi="Arial"/>
          <w:sz w:val="18"/>
          <w:szCs w:val="18"/>
          <w:color w:val="auto"/>
        </w:rPr>
        <w:t>. The statistical, demographic and market-related data included in the Registration Statement and the Prospectus are based on or derived from sources that the Company believes, after reasonable inquiry, to be reliable and accurate. To the extent required, the Company has obtained the written consent for the use of such data from such sources.</w:t>
      </w:r>
    </w:p>
    <w:p>
      <w:pPr>
        <w:spacing w:after="0" w:line="75" w:lineRule="exact"/>
        <w:rPr>
          <w:rFonts w:ascii="Arial" w:cs="Arial" w:eastAsia="Arial" w:hAnsi="Arial"/>
          <w:sz w:val="18"/>
          <w:szCs w:val="18"/>
          <w:color w:val="auto"/>
        </w:rPr>
      </w:pPr>
    </w:p>
    <w:p>
      <w:pPr>
        <w:ind w:firstLine="436"/>
        <w:spacing w:after="0" w:line="287" w:lineRule="auto"/>
        <w:tabs>
          <w:tab w:leader="none" w:pos="695" w:val="left"/>
        </w:tabs>
        <w:numPr>
          <w:ilvl w:val="0"/>
          <w:numId w:val="6"/>
        </w:numPr>
        <w:rPr>
          <w:rFonts w:ascii="Arial" w:cs="Arial" w:eastAsia="Arial" w:hAnsi="Arial"/>
          <w:sz w:val="16"/>
          <w:szCs w:val="16"/>
          <w:color w:val="auto"/>
        </w:rPr>
      </w:pPr>
      <w:r>
        <w:rPr>
          <w:rFonts w:ascii="Arial" w:cs="Arial" w:eastAsia="Arial" w:hAnsi="Arial"/>
          <w:sz w:val="16"/>
          <w:szCs w:val="16"/>
          <w:u w:val="single" w:color="auto"/>
          <w:color w:val="auto"/>
        </w:rPr>
        <w:t>Disclosure Controls and Procedures; Deficiencies in or Changes to Internal Control Over Financial Reporting</w:t>
      </w:r>
      <w:r>
        <w:rPr>
          <w:rFonts w:ascii="Arial" w:cs="Arial" w:eastAsia="Arial" w:hAnsi="Arial"/>
          <w:sz w:val="16"/>
          <w:szCs w:val="16"/>
          <w:color w:val="auto"/>
        </w:rPr>
        <w:t>. The Company has established and maintains disclosure controls and procedures (as defined in Rules 13a-15 and 15d-15 under the Exchange Act), which (i) are designed to ensure that material information relating to the Company, including its consolidated subsidiaries, is made known to the Company’s principal executive officer and its principal financial officer by others within those entities, particularly during the periods in which the periodic reports required under the Exchange Act are being prepared; (ii) have been evaluated by management of the Company for effectiveness as of the end of the Company’s most recent fiscal quarter; and (iii) other than as otherwise disclosed in the Registration Statement or the Prospectus, are effective in all material respects to perform the functions for which they were established. Other than as otherwise disclosed in the Registration Statement or the Prospectus, since the end of the Company’s most recent audited fiscal year, the Company is not aware of any significant deficiencies or material weaknesses in the Company’s internal control over financial reporting (whether or not remediated) and no change in the Company’s internal control over financial reporting that has materially affected, or is reasonably likely to materially affect, the Company’s internal control over financial reporting. The Company is not aware of any change in its internal control over financial reporting that has occurred during its most recent fiscal quarter that has materially affected, or is reasonably likely to materially affect, the Company’s internal control over financial reporting.</w:t>
      </w:r>
    </w:p>
    <w:p>
      <w:pPr>
        <w:spacing w:after="0" w:line="59" w:lineRule="exact"/>
        <w:rPr>
          <w:rFonts w:ascii="Arial" w:cs="Arial" w:eastAsia="Arial" w:hAnsi="Arial"/>
          <w:sz w:val="16"/>
          <w:szCs w:val="16"/>
          <w:color w:val="auto"/>
        </w:rPr>
      </w:pPr>
    </w:p>
    <w:p>
      <w:pPr>
        <w:ind w:left="660" w:hanging="224"/>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This Agreement</w:t>
      </w:r>
      <w:r>
        <w:rPr>
          <w:rFonts w:ascii="Arial" w:cs="Arial" w:eastAsia="Arial" w:hAnsi="Arial"/>
          <w:sz w:val="18"/>
          <w:szCs w:val="18"/>
          <w:color w:val="auto"/>
        </w:rPr>
        <w:t>. This Agreement has been duly authorized, executed and delivered by the Company.</w:t>
      </w:r>
    </w:p>
    <w:p>
      <w:pPr>
        <w:spacing w:after="0" w:line="117" w:lineRule="exact"/>
        <w:rPr>
          <w:rFonts w:ascii="Arial" w:cs="Arial" w:eastAsia="Arial" w:hAnsi="Arial"/>
          <w:sz w:val="18"/>
          <w:szCs w:val="18"/>
          <w:color w:val="auto"/>
        </w:rPr>
      </w:pPr>
    </w:p>
    <w:p>
      <w:pPr>
        <w:ind w:right="240" w:firstLine="436"/>
        <w:spacing w:after="0" w:line="311" w:lineRule="auto"/>
        <w:tabs>
          <w:tab w:leader="none" w:pos="655" w:val="left"/>
        </w:tabs>
        <w:numPr>
          <w:ilvl w:val="0"/>
          <w:numId w:val="6"/>
        </w:numPr>
        <w:rPr>
          <w:rFonts w:ascii="Arial" w:cs="Arial" w:eastAsia="Arial" w:hAnsi="Arial"/>
          <w:sz w:val="16"/>
          <w:szCs w:val="16"/>
          <w:color w:val="auto"/>
        </w:rPr>
      </w:pPr>
      <w:r>
        <w:rPr>
          <w:rFonts w:ascii="Arial" w:cs="Arial" w:eastAsia="Arial" w:hAnsi="Arial"/>
          <w:sz w:val="16"/>
          <w:szCs w:val="16"/>
          <w:u w:val="single" w:color="auto"/>
          <w:color w:val="auto"/>
        </w:rPr>
        <w:t>Authorization of the Shares</w:t>
      </w:r>
      <w:r>
        <w:rPr>
          <w:rFonts w:ascii="Arial" w:cs="Arial" w:eastAsia="Arial" w:hAnsi="Arial"/>
          <w:sz w:val="16"/>
          <w:szCs w:val="16"/>
          <w:color w:val="auto"/>
        </w:rPr>
        <w:t>. The Shares have been duly authorized for issuance and sale pursuant to this Agreement and, when issued and delivered by the Company against payment therefor pursuant to this Agreement, will be validly issued, fully paid and nonassessable, and the issuance and sale of the Shares is not subject to any preemptive rights, rights of first refusal or other similar rights to subscribe for or purchase the Shares.</w:t>
      </w:r>
    </w:p>
    <w:p>
      <w:pPr>
        <w:spacing w:after="0" w:line="40" w:lineRule="exact"/>
        <w:rPr>
          <w:rFonts w:ascii="Arial" w:cs="Arial" w:eastAsia="Arial" w:hAnsi="Arial"/>
          <w:sz w:val="16"/>
          <w:szCs w:val="16"/>
          <w:color w:val="auto"/>
        </w:rPr>
      </w:pPr>
    </w:p>
    <w:p>
      <w:pPr>
        <w:ind w:right="40" w:firstLine="436"/>
        <w:spacing w:after="0" w:line="263" w:lineRule="auto"/>
        <w:tabs>
          <w:tab w:leader="none" w:pos="695"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No Applicable Registration or Other Similar Rights</w:t>
      </w:r>
      <w:r>
        <w:rPr>
          <w:rFonts w:ascii="Arial" w:cs="Arial" w:eastAsia="Arial" w:hAnsi="Arial"/>
          <w:sz w:val="18"/>
          <w:szCs w:val="18"/>
          <w:color w:val="auto"/>
        </w:rPr>
        <w:t>. There are no persons with registration or other similar rights to have any equity or debt securities registered for sale under the Registration Statement or included in the offering contemplated by this Agreement, except for such rights as have been duly waived.</w:t>
      </w:r>
    </w:p>
    <w:p>
      <w:pPr>
        <w:spacing w:after="0" w:line="75" w:lineRule="exact"/>
        <w:rPr>
          <w:rFonts w:ascii="Arial" w:cs="Arial" w:eastAsia="Arial" w:hAnsi="Arial"/>
          <w:sz w:val="18"/>
          <w:szCs w:val="18"/>
          <w:color w:val="auto"/>
        </w:rPr>
      </w:pPr>
    </w:p>
    <w:p>
      <w:pPr>
        <w:ind w:right="340" w:firstLine="436"/>
        <w:spacing w:after="0" w:line="342" w:lineRule="auto"/>
        <w:tabs>
          <w:tab w:leader="none" w:pos="655" w:val="left"/>
        </w:tabs>
        <w:numPr>
          <w:ilvl w:val="0"/>
          <w:numId w:val="6"/>
        </w:numPr>
        <w:rPr>
          <w:rFonts w:ascii="Arial" w:cs="Arial" w:eastAsia="Arial" w:hAnsi="Arial"/>
          <w:sz w:val="16"/>
          <w:szCs w:val="16"/>
          <w:color w:val="auto"/>
        </w:rPr>
      </w:pPr>
      <w:r>
        <w:rPr>
          <w:rFonts w:ascii="Arial" w:cs="Arial" w:eastAsia="Arial" w:hAnsi="Arial"/>
          <w:sz w:val="16"/>
          <w:szCs w:val="16"/>
          <w:u w:val="single" w:color="auto"/>
          <w:color w:val="auto"/>
        </w:rPr>
        <w:t>No Material Adverse Change</w:t>
      </w:r>
      <w:r>
        <w:rPr>
          <w:rFonts w:ascii="Arial" w:cs="Arial" w:eastAsia="Arial" w:hAnsi="Arial"/>
          <w:sz w:val="16"/>
          <w:szCs w:val="16"/>
          <w:color w:val="auto"/>
        </w:rPr>
        <w:t>. Except as otherwise disclosed in the Registration Statement and the Prospectus, subsequent to the respective dates as of which information is given in the Registration Statement and the Prospectus: (i) there has been no material adverse change, or</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9" w:name="page10"/>
    <w:bookmarkEnd w:id="9"/>
    <w:p>
      <w:pPr>
        <w:ind w:left="4" w:right="38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development that would reasonably be expected to result in a material adverse change, in (A) the condition, financial or otherwise, or in the earnings, business, properties, operations, operating results, assets, liabilities or prospects, whether or not arising from transactions in the ordinary course of business, of the Company and its subsidiaries, considered as one entity or (B) the ability of the Company to consummate the transactions contemplated by this Agreement or perform its obligations hereunder (any such change being referred to herein as a “</w:t>
      </w:r>
      <w:r>
        <w:rPr>
          <w:rFonts w:ascii="Arial" w:cs="Arial" w:eastAsia="Arial" w:hAnsi="Arial"/>
          <w:sz w:val="16"/>
          <w:szCs w:val="16"/>
          <w:b w:val="1"/>
          <w:bCs w:val="1"/>
          <w:color w:val="auto"/>
        </w:rPr>
        <w:t>Material Adverse Change</w:t>
      </w:r>
      <w:r>
        <w:rPr>
          <w:rFonts w:ascii="Arial" w:cs="Arial" w:eastAsia="Arial" w:hAnsi="Arial"/>
          <w:sz w:val="16"/>
          <w:szCs w:val="16"/>
          <w:color w:val="auto"/>
        </w:rPr>
        <w:t>”);</w:t>
      </w:r>
    </w:p>
    <w:p>
      <w:pPr>
        <w:spacing w:after="0" w:line="1" w:lineRule="exact"/>
        <w:rPr>
          <w:sz w:val="20"/>
          <w:szCs w:val="20"/>
          <w:color w:val="auto"/>
        </w:rPr>
      </w:pPr>
    </w:p>
    <w:p>
      <w:pPr>
        <w:ind w:left="4" w:hanging="4"/>
        <w:spacing w:after="0" w:line="268" w:lineRule="auto"/>
        <w:tabs>
          <w:tab w:leader="none" w:pos="269"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Company and its subsidiaries, considered as one entity, have not incurred any material liability or obligation, indirect, direct or contingent, including without limitation any losses or interference with their business from fire, explosion, flood, earthquakes, accident or other calamity, whether or not covered by insurance, or from any strike, labor dispute or court or governmental action, order or decree, that are material, individually or in the aggregate, to the Company and its subsidiaries, considered as one entity, and have not entered into any transactions not in the ordinary course of business; and (iii) there has not been any material decrease in the capital stock or any material increase in any short-term or long-term indebtedness of the Company or its subsidiaries and there has been no dividend or distribution of any kind declared, paid or made by the Company or, except for dividends paid to the Company or other subsidiaries, by any of the Company’s subsidiaries on any class of capital stock, or any repurchase or redemption by the Company or any of its subsidiaries of any class of capital stock.</w:t>
      </w:r>
    </w:p>
    <w:p>
      <w:pPr>
        <w:spacing w:after="0" w:line="75" w:lineRule="exact"/>
        <w:rPr>
          <w:rFonts w:ascii="Arial" w:cs="Arial" w:eastAsia="Arial" w:hAnsi="Arial"/>
          <w:sz w:val="17"/>
          <w:szCs w:val="17"/>
          <w:color w:val="auto"/>
        </w:rPr>
      </w:pPr>
    </w:p>
    <w:p>
      <w:pPr>
        <w:ind w:left="4" w:firstLine="436"/>
        <w:spacing w:after="0" w:line="273" w:lineRule="auto"/>
        <w:tabs>
          <w:tab w:leader="none" w:pos="749" w:val="left"/>
        </w:tabs>
        <w:numPr>
          <w:ilvl w:val="1"/>
          <w:numId w:val="7"/>
        </w:numPr>
        <w:rPr>
          <w:rFonts w:ascii="Arial" w:cs="Arial" w:eastAsia="Arial" w:hAnsi="Arial"/>
          <w:sz w:val="17"/>
          <w:szCs w:val="17"/>
          <w:color w:val="auto"/>
        </w:rPr>
      </w:pPr>
      <w:r>
        <w:rPr>
          <w:rFonts w:ascii="Arial" w:cs="Arial" w:eastAsia="Arial" w:hAnsi="Arial"/>
          <w:sz w:val="17"/>
          <w:szCs w:val="17"/>
          <w:u w:val="single" w:color="auto"/>
          <w:color w:val="auto"/>
        </w:rPr>
        <w:t>Independent Accountants</w:t>
      </w:r>
      <w:r>
        <w:rPr>
          <w:rFonts w:ascii="Arial" w:cs="Arial" w:eastAsia="Arial" w:hAnsi="Arial"/>
          <w:sz w:val="17"/>
          <w:szCs w:val="17"/>
          <w:color w:val="auto"/>
        </w:rPr>
        <w:t>. The independent registered public accounting firms which have expressed their opinions with respect to the financial statements (which term as used in this Agreement includes the related notes thereto) filed with the Commission or incorporated by reference as a part of the Registration Statement and included in the Prospectus are (i) independent public or certified public accountants as required by the Securities Act and the Exchange Act, (ii) in compliance with the applicable requirements relating to the qualification of accountants under Rule 2-01 of Regulation S-X; and (iii) registered public accounting firms as defined by the Public Company Accounting Oversight Board (the “</w:t>
      </w:r>
      <w:r>
        <w:rPr>
          <w:rFonts w:ascii="Arial" w:cs="Arial" w:eastAsia="Arial" w:hAnsi="Arial"/>
          <w:sz w:val="17"/>
          <w:szCs w:val="17"/>
          <w:b w:val="1"/>
          <w:bCs w:val="1"/>
          <w:color w:val="auto"/>
        </w:rPr>
        <w:t>PCAOB</w:t>
      </w:r>
      <w:r>
        <w:rPr>
          <w:rFonts w:ascii="Arial" w:cs="Arial" w:eastAsia="Arial" w:hAnsi="Arial"/>
          <w:sz w:val="17"/>
          <w:szCs w:val="17"/>
          <w:color w:val="auto"/>
        </w:rPr>
        <w:t>”) whose registration has not been suspended or revoked and who has not requested such registration to be withdrawn.</w:t>
      </w:r>
    </w:p>
    <w:p>
      <w:pPr>
        <w:spacing w:after="0" w:line="69" w:lineRule="exact"/>
        <w:rPr>
          <w:rFonts w:ascii="Arial" w:cs="Arial" w:eastAsia="Arial" w:hAnsi="Arial"/>
          <w:sz w:val="17"/>
          <w:szCs w:val="17"/>
          <w:color w:val="auto"/>
        </w:rPr>
      </w:pPr>
    </w:p>
    <w:p>
      <w:pPr>
        <w:ind w:left="4" w:right="80" w:firstLine="436"/>
        <w:spacing w:after="0" w:line="287" w:lineRule="auto"/>
        <w:tabs>
          <w:tab w:leader="none" w:pos="699" w:val="left"/>
        </w:tabs>
        <w:numPr>
          <w:ilvl w:val="1"/>
          <w:numId w:val="7"/>
        </w:numPr>
        <w:rPr>
          <w:rFonts w:ascii="Arial" w:cs="Arial" w:eastAsia="Arial" w:hAnsi="Arial"/>
          <w:sz w:val="16"/>
          <w:szCs w:val="16"/>
          <w:color w:val="auto"/>
        </w:rPr>
      </w:pPr>
      <w:r>
        <w:rPr>
          <w:rFonts w:ascii="Arial" w:cs="Arial" w:eastAsia="Arial" w:hAnsi="Arial"/>
          <w:sz w:val="16"/>
          <w:szCs w:val="16"/>
          <w:u w:val="single" w:color="auto"/>
          <w:color w:val="auto"/>
        </w:rPr>
        <w:t>Financial Statements</w:t>
      </w:r>
      <w:r>
        <w:rPr>
          <w:rFonts w:ascii="Arial" w:cs="Arial" w:eastAsia="Arial" w:hAnsi="Arial"/>
          <w:sz w:val="16"/>
          <w:szCs w:val="16"/>
          <w:color w:val="auto"/>
        </w:rPr>
        <w:t>. The financial statements filed with the Commission as a part of the Registration Statement and the Prospectus present fairly, in all material respects, the consolidated financial position of the Company and its subsidiaries as of the dates indicated and the results of their operations, changes in stockholders’ equity and cash flows for the periods specified. Such financial statements have been prepared in conformity with generally accepted accounting principles as applied in the United States applied on a consistent basis throughout the periods involved, except as may be expressly stated in the related notes thereto. The interactive data in eXtensible Business Reporting Language included or incorporated by reference in the Registration Statement fairly presents the information called for in all material respects and has been prepared in accordance with the Commission’s rules and guidelines applicable thereto. No other financial statements or supporting schedules are required to be included in the Registration Statement or the Prospectus. The pro forma consolidated financial statements of the Company and its subsidiaries and the related notes thereto, if any, included in the Registration Statement or the Prospectus present fairly, in all material respects, the information contained therein, have been prepared in accordance with the Commission’s rules and guidelines with respect to pro forma financial statements and have been properly presented on the bases described therein, and the assumptions used in the preparation thereof are reasonable and the adjustments used therein are appropriate to give effect to the transactions and circumstances referred to therein. The financial</w:t>
      </w:r>
    </w:p>
    <w:p>
      <w:pPr>
        <w:spacing w:after="0" w:line="10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4"/>
          </w:cols>
          <w:pgMar w:left="436" w:top="274" w:right="459" w:bottom="1440" w:gutter="0" w:footer="0" w:header="0"/>
        </w:sectPr>
      </w:pPr>
    </w:p>
    <w:bookmarkStart w:id="10" w:name="page11"/>
    <w:bookmarkEnd w:id="10"/>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data set forth in each of the Registration Statement and the Prospectus present fairly, in all materials respects, the information set forth therein on a basis consistent with that of the audited financial statements contained in the Registration Statement and the Prospectus. All disclosures contained in the Registration Statement and the Prospectus that constitute non-GAAP financial measures (as defined by the rules and regulations under the Securities Act and the Exchange Act), if any, comply with Regulation G under the Exchange Act and Item 10 of Regulation S-K under the Securities Act, as applicable. To the Company’s knowledge, no person who has been suspended or barred from being associated with a registered public accounting firm, or who has failed to comply with any sanction pursuant to Rule 5300 promulgated by the PCAOB, has participated in or otherwise aided the preparation of, or audited, the financial statements, supporting schedules or other financial data filed with the Commission as a part of the Registration Statement and the Prospectus.</w:t>
      </w:r>
    </w:p>
    <w:p>
      <w:pPr>
        <w:spacing w:after="0" w:line="84" w:lineRule="exact"/>
        <w:rPr>
          <w:sz w:val="20"/>
          <w:szCs w:val="20"/>
          <w:color w:val="auto"/>
        </w:rPr>
      </w:pPr>
    </w:p>
    <w:p>
      <w:pPr>
        <w:ind w:right="60" w:firstLine="436"/>
        <w:spacing w:after="0" w:line="290" w:lineRule="auto"/>
        <w:tabs>
          <w:tab w:leader="none" w:pos="695" w:val="left"/>
        </w:tabs>
        <w:numPr>
          <w:ilvl w:val="0"/>
          <w:numId w:val="8"/>
        </w:numPr>
        <w:rPr>
          <w:rFonts w:ascii="Arial" w:cs="Arial" w:eastAsia="Arial" w:hAnsi="Arial"/>
          <w:sz w:val="16"/>
          <w:szCs w:val="16"/>
          <w:color w:val="auto"/>
        </w:rPr>
      </w:pPr>
      <w:r>
        <w:rPr>
          <w:rFonts w:ascii="Arial" w:cs="Arial" w:eastAsia="Arial" w:hAnsi="Arial"/>
          <w:sz w:val="16"/>
          <w:szCs w:val="16"/>
          <w:u w:val="single" w:color="auto"/>
          <w:color w:val="auto"/>
        </w:rPr>
        <w:t>Company’s Accounting System</w:t>
      </w:r>
      <w:r>
        <w:rPr>
          <w:rFonts w:ascii="Arial" w:cs="Arial" w:eastAsia="Arial" w:hAnsi="Arial"/>
          <w:sz w:val="16"/>
          <w:szCs w:val="16"/>
          <w:color w:val="auto"/>
        </w:rPr>
        <w:t>. The Company and each of its subsidiaries make and keep accurate books and records and maintain a system of internal accounting controls sufficient to provide reasonable assurance that: (i) transactions are executed in accordance with management’s general or specific authorization; (ii) transactions are recorded as necessary to permit preparation of financial statements in conformity with generally accepted accounting principles as applied in the United States and to maintain accountability for assets; (iii) access to assets is permitted only in accordance with management’s general or specific authorization; (iv) the recorded accountability for assets is compared with existing assets at reasonable intervals and appropriate action is taken with respect to any differences; and (v) the interactive data in eXtensible Business Reporting Language included or incorporated by reference in the Registration Statement and the Prospectus fairly presents the information called for in all material respects and is prepared in accordance with the Commission’s rules and guidelines applicable thereto.</w:t>
      </w:r>
    </w:p>
    <w:p>
      <w:pPr>
        <w:spacing w:after="0" w:line="57" w:lineRule="exact"/>
        <w:rPr>
          <w:rFonts w:ascii="Arial" w:cs="Arial" w:eastAsia="Arial" w:hAnsi="Arial"/>
          <w:sz w:val="16"/>
          <w:szCs w:val="16"/>
          <w:color w:val="auto"/>
        </w:rPr>
      </w:pPr>
    </w:p>
    <w:p>
      <w:pPr>
        <w:jc w:val="both"/>
        <w:ind w:right="140" w:firstLine="436"/>
        <w:spacing w:after="0" w:line="287" w:lineRule="auto"/>
        <w:tabs>
          <w:tab w:leader="none" w:pos="695" w:val="left"/>
        </w:tabs>
        <w:numPr>
          <w:ilvl w:val="0"/>
          <w:numId w:val="8"/>
        </w:numPr>
        <w:rPr>
          <w:rFonts w:ascii="Arial" w:cs="Arial" w:eastAsia="Arial" w:hAnsi="Arial"/>
          <w:sz w:val="16"/>
          <w:szCs w:val="16"/>
          <w:color w:val="auto"/>
        </w:rPr>
      </w:pPr>
      <w:r>
        <w:rPr>
          <w:rFonts w:ascii="Arial" w:cs="Arial" w:eastAsia="Arial" w:hAnsi="Arial"/>
          <w:sz w:val="16"/>
          <w:szCs w:val="16"/>
          <w:u w:val="single" w:color="auto"/>
          <w:color w:val="auto"/>
        </w:rPr>
        <w:t>Incorporation and Good Standing of the Company</w:t>
      </w:r>
      <w:r>
        <w:rPr>
          <w:rFonts w:ascii="Arial" w:cs="Arial" w:eastAsia="Arial" w:hAnsi="Arial"/>
          <w:sz w:val="16"/>
          <w:szCs w:val="16"/>
          <w:i w:val="1"/>
          <w:iCs w:val="1"/>
          <w:color w:val="auto"/>
        </w:rPr>
        <w:t>.</w:t>
      </w:r>
      <w:r>
        <w:rPr>
          <w:rFonts w:ascii="Arial" w:cs="Arial" w:eastAsia="Arial" w:hAnsi="Arial"/>
          <w:sz w:val="16"/>
          <w:szCs w:val="16"/>
          <w:color w:val="auto"/>
        </w:rPr>
        <w:t xml:space="preserve"> The Company has been duly incorporated and is validly existing as a corporation in good standing under the laws of the jurisdiction of its incorporation and has the corporate power and authority to own, lease and operate its properties and to conduct its business as described in the Registration Statement and the Prospectus and to enter into and perform its obligations under this Agreement.</w:t>
      </w:r>
    </w:p>
    <w:p>
      <w:pPr>
        <w:spacing w:after="0" w:line="2" w:lineRule="exact"/>
        <w:rPr>
          <w:rFonts w:ascii="Arial" w:cs="Arial" w:eastAsia="Arial" w:hAnsi="Arial"/>
          <w:sz w:val="16"/>
          <w:szCs w:val="16"/>
          <w:color w:val="auto"/>
        </w:rPr>
      </w:pPr>
    </w:p>
    <w:p>
      <w:pPr>
        <w:jc w:val="both"/>
        <w:ind w:right="40"/>
        <w:spacing w:after="0" w:line="302" w:lineRule="auto"/>
        <w:rPr>
          <w:rFonts w:ascii="Arial" w:cs="Arial" w:eastAsia="Arial" w:hAnsi="Arial"/>
          <w:sz w:val="16"/>
          <w:szCs w:val="16"/>
          <w:color w:val="auto"/>
        </w:rPr>
      </w:pPr>
      <w:r>
        <w:rPr>
          <w:rFonts w:ascii="Arial" w:cs="Arial" w:eastAsia="Arial" w:hAnsi="Arial"/>
          <w:sz w:val="16"/>
          <w:szCs w:val="16"/>
          <w:color w:val="auto"/>
        </w:rPr>
        <w:t>The Company is duly qualified as a foreign corporation to transact business and is in good standing in the State of California and each other jurisdiction in which such qualification is required, whether by reason of the ownership or leasing of property or the conduct of business, except where the failure to so qualify or to be in good standing, individually or in the aggregate, would not reasonably be expected to result in a Material Adverse Change.</w:t>
      </w:r>
    </w:p>
    <w:p>
      <w:pPr>
        <w:spacing w:after="0" w:line="47" w:lineRule="exact"/>
        <w:rPr>
          <w:rFonts w:ascii="Arial" w:cs="Arial" w:eastAsia="Arial" w:hAnsi="Arial"/>
          <w:sz w:val="16"/>
          <w:szCs w:val="16"/>
          <w:color w:val="auto"/>
        </w:rPr>
      </w:pPr>
    </w:p>
    <w:p>
      <w:pPr>
        <w:ind w:right="40" w:firstLine="436"/>
        <w:spacing w:after="0" w:line="254" w:lineRule="auto"/>
        <w:tabs>
          <w:tab w:leader="none" w:pos="695"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Subsidiaries.</w:t>
      </w:r>
      <w:r>
        <w:rPr>
          <w:rFonts w:ascii="Arial" w:cs="Arial" w:eastAsia="Arial" w:hAnsi="Arial"/>
          <w:sz w:val="18"/>
          <w:szCs w:val="18"/>
          <w:color w:val="auto"/>
        </w:rPr>
        <w:t xml:space="preserve"> Each of the Company’s “subsidiaries” (for purposes of this Agreement, as defined in Rule 405 under the Securities Act) has been duly incorporated or organized, as the case may be, and is validly existing as a corporation, partnership or limited liability company, as applicable, in good standing under the laws of the jurisdiction of its incorporation or organization and has the power and authority (corporate or other) to own, lease and operate its properties and to conduct its business as described in the Registration Statement and the Prospectus in all material respects. Each of the Company’s subsidiaries is duly qualified as a foreign corporation, partnership or limited liability company, as applicable, to transact business and is in good standing in each jurisdiction in which such qualification is required, whether by reason of the ownership or leasing of property or the conduct of business, except where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11" w:name="page12"/>
    <w:bookmarkEnd w:id="11"/>
    <w:p>
      <w:pPr>
        <w:ind w:left="4" w:right="4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failure to so qualify or be in good standing would not reasonably be expected, individually or in the aggregate, to result in a Material Adverse Change. All of the issued and outstanding capital stock or other equity or ownership interests of each of the Company’s subsidiaries have been duly authorized and validly issued, are fully paid and nonassessable and are owned by the Company, directly or through subsidiaries, free and clear of any security interest, mortgage, pledge, lien, encumbrance or adverse claim. None of the outstanding capital stock or equity interest in any subsidiary was issued in violation of preemptive or similar rights of any security holder of such subsidiary. The constitutive or organizational documents of each of the subsidiaries comply in all material respects with the requirements of applicable laws of its jurisdiction of incorporation or organization and are in full force and effect. The Company does not own or control, directly or indirectly, any corporation, association or other entity other than (i) TempestTx, Inc.,</w:t>
      </w:r>
    </w:p>
    <w:p>
      <w:pPr>
        <w:spacing w:after="0" w:line="2" w:lineRule="exact"/>
        <w:rPr>
          <w:sz w:val="20"/>
          <w:szCs w:val="20"/>
          <w:color w:val="auto"/>
        </w:rPr>
      </w:pPr>
    </w:p>
    <w:p>
      <w:pPr>
        <w:ind w:left="264" w:hanging="264"/>
        <w:spacing w:after="0"/>
        <w:tabs>
          <w:tab w:leader="none" w:pos="264"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subsidiaries listed on Exhibit 21.1 to the Company’s most recent annual report on Form 10-K and (iii) such other entities omitted from Exhibit</w:t>
      </w:r>
    </w:p>
    <w:p>
      <w:pPr>
        <w:spacing w:after="0" w:line="32" w:lineRule="exact"/>
        <w:rPr>
          <w:rFonts w:ascii="Arial" w:cs="Arial" w:eastAsia="Arial" w:hAnsi="Arial"/>
          <w:sz w:val="16"/>
          <w:szCs w:val="16"/>
          <w:color w:val="auto"/>
        </w:rPr>
      </w:pPr>
    </w:p>
    <w:p>
      <w:pPr>
        <w:ind w:left="4" w:right="140"/>
        <w:spacing w:after="0" w:line="260" w:lineRule="auto"/>
        <w:rPr>
          <w:rFonts w:ascii="Arial" w:cs="Arial" w:eastAsia="Arial" w:hAnsi="Arial"/>
          <w:sz w:val="16"/>
          <w:szCs w:val="16"/>
          <w:color w:val="auto"/>
        </w:rPr>
      </w:pPr>
      <w:r>
        <w:rPr>
          <w:rFonts w:ascii="Arial" w:cs="Arial" w:eastAsia="Arial" w:hAnsi="Arial"/>
          <w:sz w:val="18"/>
          <w:szCs w:val="18"/>
          <w:color w:val="auto"/>
        </w:rPr>
        <w:t>21.1 which, when such omitted entities are considered in the aggregate as a single subsidiary, would not constitute a “significant subsidiary” within the meaning of Rule 1-02(w) of Regulation S-X.</w:t>
      </w:r>
    </w:p>
    <w:p>
      <w:pPr>
        <w:spacing w:after="0" w:line="77" w:lineRule="exact"/>
        <w:rPr>
          <w:rFonts w:ascii="Arial" w:cs="Arial" w:eastAsia="Arial" w:hAnsi="Arial"/>
          <w:sz w:val="16"/>
          <w:szCs w:val="16"/>
          <w:color w:val="auto"/>
        </w:rPr>
      </w:pPr>
    </w:p>
    <w:p>
      <w:pPr>
        <w:ind w:left="4" w:firstLine="436"/>
        <w:spacing w:after="0" w:line="269" w:lineRule="auto"/>
        <w:tabs>
          <w:tab w:leader="none" w:pos="669" w:val="left"/>
        </w:tabs>
        <w:numPr>
          <w:ilvl w:val="1"/>
          <w:numId w:val="9"/>
        </w:numPr>
        <w:rPr>
          <w:rFonts w:ascii="Arial" w:cs="Arial" w:eastAsia="Arial" w:hAnsi="Arial"/>
          <w:sz w:val="17"/>
          <w:szCs w:val="17"/>
          <w:color w:val="auto"/>
        </w:rPr>
      </w:pPr>
      <w:r>
        <w:rPr>
          <w:rFonts w:ascii="Arial" w:cs="Arial" w:eastAsia="Arial" w:hAnsi="Arial"/>
          <w:sz w:val="17"/>
          <w:szCs w:val="17"/>
          <w:u w:val="single" w:color="auto"/>
          <w:color w:val="auto"/>
        </w:rPr>
        <w:t>Capitalization and Other Capital Stock Matters</w:t>
      </w:r>
      <w:r>
        <w:rPr>
          <w:rFonts w:ascii="Arial" w:cs="Arial" w:eastAsia="Arial" w:hAnsi="Arial"/>
          <w:sz w:val="17"/>
          <w:szCs w:val="17"/>
          <w:color w:val="auto"/>
        </w:rPr>
        <w:t>. The authorized, issued and outstanding capital stock of the Company is as set forth in the Registration Statement and the Prospectus (other than for subsequent issuances, if any, pursuant to employee benefit plans described in the Prospectus or upon the exercise of outstanding options or warrants, in each case described in the Registration Statement and the Prospectus). The Common Shares (including the Shares) conform in all material respects to the description thereof contained in the Prospectus. All of the issued and outstanding Common Shares have been duly authorized and validly issued, are fully paid and nonassessable and have been issued in compliance with all federal and state securities laws. None of the outstanding Common Shares was issued in violation of any preemptive rights, rights of first refusal or other similar rights to subscribe for or purchase securities of the Company that have not been duly waived or satisfied. There are no authorized or outstanding options, warrants, preemptive rights, rights of first refusal or other rights to purchase, or equity or debt securities convertible into or exchangeable or exercisable for, any capital stock of the Company or any of its subsidiaries other than those described in the Registration Statement and the Prospectus. The descriptions of the Company’s stock option, stock bonus and other stock plans or arrangements, and the options or other rights granted thereunder, set forth in the Registration Statement and the Prospectus accurately and fairly presents, in all material respects, the information required to be shown with respect to such plans, arrangements, options and rights.</w:t>
      </w:r>
    </w:p>
    <w:p>
      <w:pPr>
        <w:spacing w:after="0" w:line="70" w:lineRule="exact"/>
        <w:rPr>
          <w:rFonts w:ascii="Arial" w:cs="Arial" w:eastAsia="Arial" w:hAnsi="Arial"/>
          <w:sz w:val="17"/>
          <w:szCs w:val="17"/>
          <w:color w:val="auto"/>
        </w:rPr>
      </w:pPr>
    </w:p>
    <w:p>
      <w:pPr>
        <w:ind w:left="4" w:right="100" w:firstLine="436"/>
        <w:spacing w:after="0" w:line="257" w:lineRule="auto"/>
        <w:tabs>
          <w:tab w:leader="none" w:pos="679" w:val="left"/>
        </w:tabs>
        <w:numPr>
          <w:ilvl w:val="1"/>
          <w:numId w:val="9"/>
        </w:numPr>
        <w:rPr>
          <w:rFonts w:ascii="Arial" w:cs="Arial" w:eastAsia="Arial" w:hAnsi="Arial"/>
          <w:sz w:val="18"/>
          <w:szCs w:val="18"/>
          <w:color w:val="auto"/>
        </w:rPr>
      </w:pPr>
      <w:r>
        <w:rPr>
          <w:rFonts w:ascii="Arial" w:cs="Arial" w:eastAsia="Arial" w:hAnsi="Arial"/>
          <w:sz w:val="18"/>
          <w:szCs w:val="18"/>
          <w:u w:val="single" w:color="auto"/>
          <w:color w:val="auto"/>
        </w:rPr>
        <w:t>Stock Exchange Listing</w:t>
      </w:r>
      <w:r>
        <w:rPr>
          <w:rFonts w:ascii="Arial" w:cs="Arial" w:eastAsia="Arial" w:hAnsi="Arial"/>
          <w:sz w:val="18"/>
          <w:szCs w:val="18"/>
          <w:color w:val="auto"/>
        </w:rPr>
        <w:t>. The Common Shares are registered pursuant to Section 12(b) or 12(g) of the Exchange Act and are listed on the Principal Market, and the Company has taken no action designed to, or reasonably likely to have the effect of, terminating the registration of the Common Shares under the Exchange Act or delisting the Common Shares from the Principal Market, nor has the Company received any notification that the Commission or the Principal Market is contemplating terminating such registration or listing. To the Company’s knowledge, it is in compliance with all applicable listing requirements of the Principal Market.</w:t>
      </w:r>
    </w:p>
    <w:p>
      <w:pPr>
        <w:spacing w:after="0" w:line="79" w:lineRule="exact"/>
        <w:rPr>
          <w:rFonts w:ascii="Arial" w:cs="Arial" w:eastAsia="Arial" w:hAnsi="Arial"/>
          <w:sz w:val="18"/>
          <w:szCs w:val="18"/>
          <w:color w:val="auto"/>
        </w:rPr>
      </w:pPr>
    </w:p>
    <w:p>
      <w:pPr>
        <w:jc w:val="both"/>
        <w:ind w:left="4" w:firstLine="436"/>
        <w:spacing w:after="0" w:line="263" w:lineRule="auto"/>
        <w:tabs>
          <w:tab w:leader="none" w:pos="659" w:val="left"/>
        </w:tabs>
        <w:numPr>
          <w:ilvl w:val="1"/>
          <w:numId w:val="9"/>
        </w:numPr>
        <w:rPr>
          <w:rFonts w:ascii="Arial" w:cs="Arial" w:eastAsia="Arial" w:hAnsi="Arial"/>
          <w:sz w:val="18"/>
          <w:szCs w:val="18"/>
          <w:color w:val="auto"/>
        </w:rPr>
      </w:pPr>
      <w:r>
        <w:rPr>
          <w:rFonts w:ascii="Arial" w:cs="Arial" w:eastAsia="Arial" w:hAnsi="Arial"/>
          <w:sz w:val="18"/>
          <w:szCs w:val="18"/>
          <w:u w:val="single" w:color="auto"/>
          <w:color w:val="auto"/>
        </w:rPr>
        <w:t>Non-Contravention of Existing Instruments; No Further Authorizations or Approvals Required</w:t>
      </w:r>
      <w:r>
        <w:rPr>
          <w:rFonts w:ascii="Arial" w:cs="Arial" w:eastAsia="Arial" w:hAnsi="Arial"/>
          <w:sz w:val="18"/>
          <w:szCs w:val="18"/>
          <w:color w:val="auto"/>
        </w:rPr>
        <w:t>. Neither the Company nor any of its subsidiaries is in violation of its charter or by-laws, partnership agreement or operating agreement or similar organizational documents, as applicable, or is in default (or, with the giving of notice or lapse of time, would be in default)</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4"/>
          </w:cols>
          <w:pgMar w:left="436" w:top="274" w:right="459" w:bottom="1440" w:gutter="0" w:footer="0" w:header="0"/>
        </w:sectPr>
      </w:pPr>
    </w:p>
    <w:bookmarkStart w:id="12" w:name="page13"/>
    <w:bookmarkEnd w:id="12"/>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6"/>
          <w:szCs w:val="16"/>
          <w:b w:val="1"/>
          <w:bCs w:val="1"/>
          <w:color w:val="auto"/>
        </w:rPr>
        <w:t>Default</w:t>
      </w:r>
      <w:r>
        <w:rPr>
          <w:rFonts w:ascii="Arial" w:cs="Arial" w:eastAsia="Arial" w:hAnsi="Arial"/>
          <w:sz w:val="16"/>
          <w:szCs w:val="16"/>
          <w:color w:val="auto"/>
        </w:rPr>
        <w:t>”) under any indenture, loan, credit agreement, note, lease, license agreement, contract, franchise or other instrument (including, without limitation, any pledge agreement, security agreement, mortgage or other instrument or agreement evidencing, guaranteeing, securing or relating to indebtedness) to which the Company or any of its subsidiaries is a party or by which it or any of them may be bound, or to which any of their respective properties or assets are subject (each, an “</w:t>
      </w:r>
      <w:r>
        <w:rPr>
          <w:rFonts w:ascii="Arial" w:cs="Arial" w:eastAsia="Arial" w:hAnsi="Arial"/>
          <w:sz w:val="16"/>
          <w:szCs w:val="16"/>
          <w:b w:val="1"/>
          <w:bCs w:val="1"/>
          <w:color w:val="auto"/>
        </w:rPr>
        <w:t>Existing Instrument</w:t>
      </w:r>
      <w:r>
        <w:rPr>
          <w:rFonts w:ascii="Arial" w:cs="Arial" w:eastAsia="Arial" w:hAnsi="Arial"/>
          <w:sz w:val="16"/>
          <w:szCs w:val="16"/>
          <w:color w:val="auto"/>
        </w:rPr>
        <w:t>”), except for such Defaults as would not reasonably be expected, individually or in the aggregate, to result in a Material Adverse Change. The Company’s execution, delivery and performance of this Agreement, consummation of the transactions contemplated hereby and by the Registration Statement and the Prospectus and the issuance and sale of the Shares (including the use of proceeds from the sale of the Shares as described in the Registration Statement and the Prospectus under the caption “Use of Proceeds”) (i) have been duly authorized by all necessary corporate action and will not result in any violation of the provisions of the charter or by-laws, partnership agreement or operating agreement or similar organizational documents, as applicable, of the Company or any subsidiary (ii) will not conflict with or constitute a breach of, or Default or a Debt Repayment Triggering Event (as defined below) under, or result in the creation or imposition of any lien, charge or encumbrance upon any property or assets of the Company or any of its subsidiaries pursuant to, or require the consent of any other party to, any Existing Instrument and (iii) will not result in any violation of any law, administrative regulation or administrative or court decree applicable to the Company or any of its subsidiaries. No consent, approval, authorization or other order of, or registration or filing with, any court or other governmental or regulatory authority or agency, is required for the Company’s execution, delivery and performance of this Agreement and consummation of the transactions contemplated hereby and by the Registration Statement and the Prospectus, except such as have been obtained or made by the Company and are in full force and effect under the Securities Act and such as may be required under applicable state securities or blue sky laws or FINRA (as defined below). As used herein, a “</w:t>
      </w:r>
      <w:r>
        <w:rPr>
          <w:rFonts w:ascii="Arial" w:cs="Arial" w:eastAsia="Arial" w:hAnsi="Arial"/>
          <w:sz w:val="16"/>
          <w:szCs w:val="16"/>
          <w:b w:val="1"/>
          <w:bCs w:val="1"/>
          <w:color w:val="auto"/>
        </w:rPr>
        <w:t>Debt Repayment Triggering Event</w:t>
      </w:r>
      <w:r>
        <w:rPr>
          <w:rFonts w:ascii="Arial" w:cs="Arial" w:eastAsia="Arial" w:hAnsi="Arial"/>
          <w:sz w:val="16"/>
          <w:szCs w:val="16"/>
          <w:color w:val="auto"/>
        </w:rPr>
        <w:t>” means any event or condition which gives, or with the giving of notice or lapse of time would give, the holder of any note, debenture or other evidence of indebtedness (or any person acting on such holder’s behalf) the right to require the repurchase, redemption or repayment of all or a portion of such indebtedness by the Company or any of its subsidiaries.</w:t>
      </w:r>
    </w:p>
    <w:p>
      <w:pPr>
        <w:spacing w:after="0" w:line="65" w:lineRule="exact"/>
        <w:rPr>
          <w:sz w:val="20"/>
          <w:szCs w:val="20"/>
          <w:color w:val="auto"/>
        </w:rPr>
      </w:pPr>
    </w:p>
    <w:p>
      <w:pPr>
        <w:ind w:left="700" w:hanging="264"/>
        <w:spacing w:after="0"/>
        <w:tabs>
          <w:tab w:leader="none" w:pos="700" w:val="left"/>
        </w:tabs>
        <w:numPr>
          <w:ilvl w:val="0"/>
          <w:numId w:val="10"/>
        </w:numPr>
        <w:rPr>
          <w:rFonts w:ascii="Arial" w:cs="Arial" w:eastAsia="Arial" w:hAnsi="Arial"/>
          <w:sz w:val="17"/>
          <w:szCs w:val="17"/>
          <w:color w:val="auto"/>
        </w:rPr>
      </w:pPr>
      <w:r>
        <w:rPr>
          <w:rFonts w:ascii="Arial" w:cs="Arial" w:eastAsia="Arial" w:hAnsi="Arial"/>
          <w:sz w:val="17"/>
          <w:szCs w:val="17"/>
          <w:u w:val="single" w:color="auto"/>
          <w:color w:val="auto"/>
        </w:rPr>
        <w:t>No Material Actions or Proceedings</w:t>
      </w:r>
      <w:r>
        <w:rPr>
          <w:rFonts w:ascii="Arial" w:cs="Arial" w:eastAsia="Arial" w:hAnsi="Arial"/>
          <w:sz w:val="17"/>
          <w:szCs w:val="17"/>
          <w:color w:val="auto"/>
        </w:rPr>
        <w:t>. Except as otherwise disclosed in the Prospectus, there is no action, suit, proceeding, inquiry or</w:t>
      </w:r>
    </w:p>
    <w:p>
      <w:pPr>
        <w:spacing w:after="0" w:line="34" w:lineRule="exact"/>
        <w:rPr>
          <w:rFonts w:ascii="Arial" w:cs="Arial" w:eastAsia="Arial" w:hAnsi="Arial"/>
          <w:sz w:val="17"/>
          <w:szCs w:val="17"/>
          <w:color w:val="auto"/>
        </w:rPr>
      </w:pPr>
    </w:p>
    <w:p>
      <w:pPr>
        <w:ind w:right="140"/>
        <w:spacing w:after="0" w:line="273" w:lineRule="auto"/>
        <w:rPr>
          <w:rFonts w:ascii="Arial" w:cs="Arial" w:eastAsia="Arial" w:hAnsi="Arial"/>
          <w:sz w:val="17"/>
          <w:szCs w:val="17"/>
          <w:color w:val="auto"/>
        </w:rPr>
      </w:pPr>
      <w:r>
        <w:rPr>
          <w:rFonts w:ascii="Arial" w:cs="Arial" w:eastAsia="Arial" w:hAnsi="Arial"/>
          <w:sz w:val="17"/>
          <w:szCs w:val="17"/>
          <w:color w:val="auto"/>
        </w:rPr>
        <w:t>investigation brought by or before any legal or governmental entity now pending or, to the knowledge of the Company, threatened, against or affecting the Company or any of its subsidiaries, which would reasonably be expected, individually or in the aggregate, to result in a Material Adverse Change. No material labor dispute with the employees of the Company or any of its subsidiaries, or with the employees of any principal supplier, manufacturer, customer or contractor of the Company, exists or, to the knowledge of the Company, is threatened or imminent.</w:t>
      </w:r>
    </w:p>
    <w:p>
      <w:pPr>
        <w:spacing w:after="0" w:line="68" w:lineRule="exact"/>
        <w:rPr>
          <w:rFonts w:ascii="Arial" w:cs="Arial" w:eastAsia="Arial" w:hAnsi="Arial"/>
          <w:sz w:val="17"/>
          <w:szCs w:val="17"/>
          <w:color w:val="auto"/>
        </w:rPr>
      </w:pPr>
    </w:p>
    <w:p>
      <w:pPr>
        <w:ind w:right="160" w:firstLine="436"/>
        <w:spacing w:after="0" w:line="257" w:lineRule="auto"/>
        <w:tabs>
          <w:tab w:leader="none" w:pos="695"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Intellectual Property Rights</w:t>
      </w:r>
      <w:r>
        <w:rPr>
          <w:rFonts w:ascii="Arial" w:cs="Arial" w:eastAsia="Arial" w:hAnsi="Arial"/>
          <w:sz w:val="18"/>
          <w:szCs w:val="18"/>
          <w:color w:val="auto"/>
        </w:rPr>
        <w:t>. Except as otherwise disclosed in the Registration Statement or the Prospectus, the Company and its subsidiaries own, or have obtained valid and enforceable licenses for, the inventions, patent applications, patents, trademarks, trade names, service names, copyrights, trade secrets and other intellectual property described in the Registration Statement and the Prospectus as being owned or licensed by them or which are necessary for the conduct of their respective businesses as currently conducted or as currently proposed to be conducted (collectively, “</w:t>
      </w:r>
      <w:r>
        <w:rPr>
          <w:rFonts w:ascii="Arial" w:cs="Arial" w:eastAsia="Arial" w:hAnsi="Arial"/>
          <w:sz w:val="18"/>
          <w:szCs w:val="18"/>
          <w:b w:val="1"/>
          <w:bCs w:val="1"/>
          <w:color w:val="auto"/>
        </w:rPr>
        <w:t>Intellectual Property</w:t>
      </w:r>
      <w:r>
        <w:rPr>
          <w:rFonts w:ascii="Arial" w:cs="Arial" w:eastAsia="Arial" w:hAnsi="Arial"/>
          <w:sz w:val="18"/>
          <w:szCs w:val="18"/>
          <w:color w:val="auto"/>
        </w:rPr>
        <w:t>”) and the conduct of their</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0" w:right="459" w:bottom="1440" w:gutter="0" w:footer="0" w:header="0"/>
        </w:sectPr>
      </w:pPr>
    </w:p>
    <w:bookmarkStart w:id="13" w:name="page14"/>
    <w:bookmarkEnd w:id="13"/>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respective businesses does not and will not infringe, misappropriate or otherwise conflict in any material respect with any such rights of others. The Intellectual Property of the Company has not been adjudged by a court of competent jurisdiction to be invalid or unenforceable, in whole or in part, and the Company is unaware of any facts which would form a reasonable basis for any such adjudication. To the Company’s knowledge: (i) there are no third parties who have rights to any Intellectual Property, except for customary reversionary rights of third-party licensors with respect to Intellectual Property that is disclosed in the Registration Statement and the Prospectus as licensed to the Company or one or more of its subsidiaries; and (ii) there is no infringement by third parties of any Intellectual Property. There is no pending or, to the Company’s knowledge, threatened action, suit, proceeding or claim by others: (A) challenging the Company’s rights in or to any Intellectual Property, and the Company is unaware of any facts which would form a reasonable basis for any such action, suit, proceeding or claim; (B) challenging the validity, enforceability or scope of any Intellectual Property, and the Company is unaware of any facts which would form a reasonable basis for any such action, suit, proceeding or claim; or (C) asserting that the Company or any of its subsidiaries infringes or otherwise violates, or would, upon the commercialization of any product or service described in the Registration Statement or the Prospectus as under development, infringe or violate, any patent, trademark, trade name, service name, copyright, trade secret or other proprietary rights of others, and the Company is unaware of any facts which would form a reasonable basis for any such action, suit, proceeding or claim. The Company and its subsidiaries have complied with the terms of each agreement pursuant to which Intellectual Property has been licensed to the Company or any subsidiary, and all such agreements are in full force and effect. To the Company’s knowledge, there are no material defects in any of the patents or patent applications included in the Intellectual Property. The Company and its subsidiaries have taken all reasonable steps to protect, maintain and safeguard their Intellectual Property, including the execution of appropriate nondisclosure, confidentiality agreements and invention assignment agreements and invention assignments with their employees, and no employee of the Company is in or has been in violation of any term of any employment contract, patent disclosure agreement, invention assignment agreement, non-competition agreement, non-solicitation agreement, nondisclosure agreement, or any restrictive covenant to or with a former employer where the basis of such violation relates to such employee’s employment with the Company. The duty of candor and good faith as required by the United States Patent and Trademark Office during the prosecution of the United States patents and patent applications included in the Intellectual Property have been complied with; and in all foreign offices having similar requirements, all such requirements have been complied with. None of the Company owned Intellectual Property or technology (including information technology and outsourced arrangements) employed by the Company or its subsidiaries has been obtained or is being used by the Company or its subsidiary in violation of any contractual obligation binding on the Company or its subsidiaries or any of their respective officers, directors or employees or otherwise in violation of the rights of any persons. The product candidates described in the Registration Statement and the Prospectus as under development by the Company or any subsidiary fall within the scope of the claims of one or more patents owned by, or exclusively licensed to, the Company or any subsidiary.</w:t>
      </w:r>
    </w:p>
    <w:p>
      <w:pPr>
        <w:spacing w:after="0" w:line="279" w:lineRule="exact"/>
        <w:rPr>
          <w:sz w:val="20"/>
          <w:szCs w:val="20"/>
          <w:color w:val="auto"/>
        </w:rPr>
      </w:pPr>
    </w:p>
    <w:p>
      <w:pPr>
        <w:ind w:right="160" w:firstLine="436"/>
        <w:spacing w:after="0" w:line="259" w:lineRule="auto"/>
        <w:tabs>
          <w:tab w:leader="none" w:pos="735"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All Necessary Permits, etc</w:t>
      </w:r>
      <w:r>
        <w:rPr>
          <w:rFonts w:ascii="Arial" w:cs="Arial" w:eastAsia="Arial" w:hAnsi="Arial"/>
          <w:sz w:val="18"/>
          <w:szCs w:val="18"/>
          <w:color w:val="auto"/>
        </w:rPr>
        <w:t>. The Company and each subsidiary possess such valid and current certificates, authorizations, approvals, clearances, licenses, registrations, exemptions, or permits required by state, federal or foreign regulatory agencies or bodies to conduct, in all material respects, their respective businesses as currently conducted and as described in the Registration Statement or the Prospectus (collectively, “</w:t>
      </w:r>
      <w:r>
        <w:rPr>
          <w:rFonts w:ascii="Arial" w:cs="Arial" w:eastAsia="Arial" w:hAnsi="Arial"/>
          <w:sz w:val="18"/>
          <w:szCs w:val="18"/>
          <w:b w:val="1"/>
          <w:bCs w:val="1"/>
          <w:color w:val="auto"/>
        </w:rPr>
        <w:t>Permits</w:t>
      </w:r>
      <w:r>
        <w:rPr>
          <w:rFonts w:ascii="Arial" w:cs="Arial" w:eastAsia="Arial" w:hAnsi="Arial"/>
          <w:sz w:val="18"/>
          <w:szCs w:val="18"/>
          <w:color w:val="auto"/>
        </w:rPr>
        <w:t>”). Neither the Company nor any</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60"/>
          </w:cols>
          <w:pgMar w:left="440" w:top="274" w:right="499" w:bottom="1440" w:gutter="0" w:footer="0" w:header="0"/>
        </w:sectPr>
      </w:pPr>
    </w:p>
    <w:bookmarkStart w:id="14" w:name="page15"/>
    <w:bookmarkEnd w:id="14"/>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 its subsidiaries is in violation of, or in default under, any Permit or has received any notice of proceedings relating to the revocation or modification of, or non-compliance with, any such Permit. The Company and its subsidiaries have fulfilled and performed all of their material obligations with respect to such Permits, and no event has occurred which allows, or after notice or lapse of time would allow, revocation or termination thereof or results in any other material impairment of the rights of the holder of any such Permit.</w:t>
      </w:r>
    </w:p>
    <w:p>
      <w:pPr>
        <w:spacing w:after="0" w:line="79" w:lineRule="exact"/>
        <w:rPr>
          <w:sz w:val="20"/>
          <w:szCs w:val="20"/>
          <w:color w:val="auto"/>
        </w:rPr>
      </w:pPr>
    </w:p>
    <w:p>
      <w:pPr>
        <w:ind w:firstLine="436"/>
        <w:spacing w:after="0" w:line="272" w:lineRule="auto"/>
        <w:tabs>
          <w:tab w:leader="none" w:pos="695" w:val="left"/>
        </w:tabs>
        <w:numPr>
          <w:ilvl w:val="0"/>
          <w:numId w:val="12"/>
        </w:numPr>
        <w:rPr>
          <w:rFonts w:ascii="Arial" w:cs="Arial" w:eastAsia="Arial" w:hAnsi="Arial"/>
          <w:sz w:val="17"/>
          <w:szCs w:val="17"/>
          <w:color w:val="auto"/>
        </w:rPr>
      </w:pPr>
      <w:r>
        <w:rPr>
          <w:rFonts w:ascii="Arial" w:cs="Arial" w:eastAsia="Arial" w:hAnsi="Arial"/>
          <w:sz w:val="17"/>
          <w:szCs w:val="17"/>
          <w:u w:val="single" w:color="auto"/>
          <w:color w:val="auto"/>
        </w:rPr>
        <w:t>Title to Properties</w:t>
      </w:r>
      <w:r>
        <w:rPr>
          <w:rFonts w:ascii="Arial" w:cs="Arial" w:eastAsia="Arial" w:hAnsi="Arial"/>
          <w:sz w:val="17"/>
          <w:szCs w:val="17"/>
          <w:color w:val="auto"/>
        </w:rPr>
        <w:t xml:space="preserve">. Except as otherwise disclosed in the Prospectus, the Company and its subsidiaries has good and marketable title to all of the real and personal property and other assets reflected as owned in the financial statements referred to in </w:t>
      </w:r>
      <w:r>
        <w:rPr>
          <w:rFonts w:ascii="Arial" w:cs="Arial" w:eastAsia="Arial" w:hAnsi="Arial"/>
          <w:sz w:val="17"/>
          <w:szCs w:val="17"/>
          <w:u w:val="single" w:color="auto"/>
          <w:color w:val="auto"/>
        </w:rPr>
        <w:t>Section 2(n)</w:t>
      </w:r>
      <w:r>
        <w:rPr>
          <w:rFonts w:ascii="Arial" w:cs="Arial" w:eastAsia="Arial" w:hAnsi="Arial"/>
          <w:sz w:val="17"/>
          <w:szCs w:val="17"/>
          <w:color w:val="auto"/>
        </w:rPr>
        <w:t xml:space="preserve"> above (or elsewhere in the Registration Statement or the Prospectus), in each case free and clear of any security interests, mortgages, liens, encumbrances, equities, adverse claims and other defects, except such as would not reasonably be expected, individually or in the aggregate, to have a Material Adverse Change. The real property, improvements, equipment and personal property held under lease by the Company or of its subsidiary are held under valid and enforceable leases, with such exceptions as are not material and do not materially interfere with the use made or proposed to be made of such real property, improvements, equipment or personal property by the Company or such subsidiary.</w:t>
      </w:r>
    </w:p>
    <w:p>
      <w:pPr>
        <w:spacing w:after="0" w:line="69" w:lineRule="exact"/>
        <w:rPr>
          <w:rFonts w:ascii="Arial" w:cs="Arial" w:eastAsia="Arial" w:hAnsi="Arial"/>
          <w:sz w:val="17"/>
          <w:szCs w:val="17"/>
          <w:color w:val="auto"/>
        </w:rPr>
      </w:pPr>
    </w:p>
    <w:p>
      <w:pPr>
        <w:ind w:firstLine="436"/>
        <w:spacing w:after="0" w:line="296" w:lineRule="auto"/>
        <w:tabs>
          <w:tab w:leader="none" w:pos="695"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t>Tax Law Compliance</w:t>
      </w:r>
      <w:r>
        <w:rPr>
          <w:rFonts w:ascii="Arial" w:cs="Arial" w:eastAsia="Arial" w:hAnsi="Arial"/>
          <w:sz w:val="16"/>
          <w:szCs w:val="16"/>
          <w:color w:val="auto"/>
        </w:rPr>
        <w:t xml:space="preserve">. The Company and its subsidiaries have filed all necessary federal, state and foreign income and franchise tax returns or have properly requested extensions thereof and have paid all taxes required to be paid by any of them and, if due and payable, any related or similar assessment, fine or penalty levied against any of them except as may be being contested in good faith and by appropriate proceedings. The Company has made adequate charges, accruals and reserves in the applicable financial statements referred to in </w:t>
      </w:r>
      <w:r>
        <w:rPr>
          <w:rFonts w:ascii="Arial" w:cs="Arial" w:eastAsia="Arial" w:hAnsi="Arial"/>
          <w:sz w:val="16"/>
          <w:szCs w:val="16"/>
          <w:u w:val="single" w:color="auto"/>
          <w:color w:val="auto"/>
        </w:rPr>
        <w:t>Section 2(n)</w:t>
      </w:r>
      <w:r>
        <w:rPr>
          <w:rFonts w:ascii="Arial" w:cs="Arial" w:eastAsia="Arial" w:hAnsi="Arial"/>
          <w:sz w:val="16"/>
          <w:szCs w:val="16"/>
          <w:color w:val="auto"/>
        </w:rPr>
        <w:t xml:space="preserve"> above in respect of all federal, state and foreign income and franchise taxes for all periods as to which the tax liability of the Company or any of its subsidiaries has not been finally determined.</w:t>
      </w:r>
    </w:p>
    <w:p>
      <w:pPr>
        <w:spacing w:after="0" w:line="53" w:lineRule="exact"/>
        <w:rPr>
          <w:rFonts w:ascii="Arial" w:cs="Arial" w:eastAsia="Arial" w:hAnsi="Arial"/>
          <w:sz w:val="16"/>
          <w:szCs w:val="16"/>
          <w:color w:val="auto"/>
        </w:rPr>
      </w:pPr>
    </w:p>
    <w:p>
      <w:pPr>
        <w:ind w:right="260" w:firstLine="436"/>
        <w:spacing w:after="0" w:line="286" w:lineRule="auto"/>
        <w:tabs>
          <w:tab w:leader="none" w:pos="685" w:val="left"/>
        </w:tabs>
        <w:numPr>
          <w:ilvl w:val="0"/>
          <w:numId w:val="12"/>
        </w:numPr>
        <w:rPr>
          <w:rFonts w:ascii="Arial" w:cs="Arial" w:eastAsia="Arial" w:hAnsi="Arial"/>
          <w:sz w:val="17"/>
          <w:szCs w:val="17"/>
          <w:color w:val="auto"/>
        </w:rPr>
      </w:pPr>
      <w:r>
        <w:rPr>
          <w:rFonts w:ascii="Arial" w:cs="Arial" w:eastAsia="Arial" w:hAnsi="Arial"/>
          <w:sz w:val="17"/>
          <w:szCs w:val="17"/>
          <w:u w:val="single" w:color="auto"/>
          <w:color w:val="auto"/>
        </w:rPr>
        <w:t>Company Not an “Investment Company.”</w:t>
      </w:r>
      <w:r>
        <w:rPr>
          <w:rFonts w:ascii="Arial" w:cs="Arial" w:eastAsia="Arial" w:hAnsi="Arial"/>
          <w:sz w:val="17"/>
          <w:szCs w:val="17"/>
          <w:color w:val="auto"/>
        </w:rPr>
        <w:t xml:space="preserve"> The Company is not, and will not be, either after receipt of payment for the Shares or after the application of the proceeds therefrom as described under “Use of Proceeds” in the Registration Statement or the Prospectus, required to register as an “investment company” under the Investment Company Act of 1940, as amended (the </w:t>
      </w:r>
      <w:r>
        <w:rPr>
          <w:rFonts w:ascii="Arial" w:cs="Arial" w:eastAsia="Arial" w:hAnsi="Arial"/>
          <w:sz w:val="17"/>
          <w:szCs w:val="17"/>
          <w:b w:val="1"/>
          <w:bCs w:val="1"/>
          <w:color w:val="auto"/>
        </w:rPr>
        <w:t>“Investment Company Act</w:t>
      </w:r>
      <w:r>
        <w:rPr>
          <w:rFonts w:ascii="Arial" w:cs="Arial" w:eastAsia="Arial" w:hAnsi="Arial"/>
          <w:sz w:val="17"/>
          <w:szCs w:val="17"/>
          <w:color w:val="auto"/>
        </w:rPr>
        <w:t>”).</w:t>
      </w:r>
    </w:p>
    <w:p>
      <w:pPr>
        <w:spacing w:after="0" w:line="57" w:lineRule="exact"/>
        <w:rPr>
          <w:sz w:val="20"/>
          <w:szCs w:val="20"/>
          <w:color w:val="auto"/>
        </w:rPr>
      </w:pPr>
    </w:p>
    <w:p>
      <w:pPr>
        <w:ind w:firstLine="436"/>
        <w:spacing w:after="0" w:line="271" w:lineRule="auto"/>
        <w:tabs>
          <w:tab w:leader="none" w:pos="765" w:val="left"/>
        </w:tabs>
        <w:numPr>
          <w:ilvl w:val="0"/>
          <w:numId w:val="13"/>
        </w:numPr>
        <w:rPr>
          <w:rFonts w:ascii="Arial" w:cs="Arial" w:eastAsia="Arial" w:hAnsi="Arial"/>
          <w:sz w:val="17"/>
          <w:szCs w:val="17"/>
          <w:color w:val="auto"/>
        </w:rPr>
      </w:pPr>
      <w:r>
        <w:rPr>
          <w:rFonts w:ascii="Arial" w:cs="Arial" w:eastAsia="Arial" w:hAnsi="Arial"/>
          <w:sz w:val="17"/>
          <w:szCs w:val="17"/>
          <w:u w:val="single" w:color="auto"/>
          <w:color w:val="auto"/>
        </w:rPr>
        <w:t>Insurance</w:t>
      </w:r>
      <w:r>
        <w:rPr>
          <w:rFonts w:ascii="Arial" w:cs="Arial" w:eastAsia="Arial" w:hAnsi="Arial"/>
          <w:sz w:val="17"/>
          <w:szCs w:val="17"/>
          <w:color w:val="auto"/>
        </w:rPr>
        <w:t>. Each of the Company and its subsidiaries are insured by recognized, financially sound and reputable institutions with policies in such amounts and with such deductibles and covering such risks as are generally deemed adequate and customary for their businesses including, but not limited to, policies covering real and personal property owned or leased by the Company and its subsidiaries against theft, damage, destruction, acts of vandalism and earthquakes and policies covering the Company and its subsidiaries for product liability claims and clinical trial liability claims. The Company has no reason to believe that it or any of its subsidiaries will not be able (i) to renew its existing insurance coverage as and when such policies expire or (ii) to obtain comparable coverage from similar institutions as may be necessary or appropriate to conduct its business as now conducted and at a cost that would not reasonably be expected to result in a Material Adverse Change. Neither the Company nor any of its subsidiaries has been denied any insurance coverage which it has sought or for which it has applied.</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15" w:name="page16"/>
    <w:bookmarkEnd w:id="15"/>
    <w:p>
      <w:pPr>
        <w:ind w:left="-40" w:right="40" w:firstLine="436"/>
        <w:spacing w:after="0" w:line="257" w:lineRule="auto"/>
        <w:tabs>
          <w:tab w:leader="none" w:pos="745"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Price Stabilization or Manipulation; Compliance with Regulation M</w:t>
      </w:r>
      <w:r>
        <w:rPr>
          <w:rFonts w:ascii="Arial" w:cs="Arial" w:eastAsia="Arial" w:hAnsi="Arial"/>
          <w:sz w:val="18"/>
          <w:szCs w:val="18"/>
          <w:color w:val="auto"/>
        </w:rPr>
        <w:t>. Neither the Company nor any of its subsidiaries has taken, directly or indirectly, any action designed to or that would reasonably be expected to cause or result in stabilization or manipulation of the price of the Common Shares or of any “reference security” (as defined in Rule 100 of Regulation M under the Exchange Act (</w:t>
      </w:r>
      <w:r>
        <w:rPr>
          <w:rFonts w:ascii="Arial" w:cs="Arial" w:eastAsia="Arial" w:hAnsi="Arial"/>
          <w:sz w:val="18"/>
          <w:szCs w:val="18"/>
          <w:b w:val="1"/>
          <w:bCs w:val="1"/>
          <w:color w:val="auto"/>
        </w:rPr>
        <w:t>“Regulation M”</w:t>
      </w:r>
      <w:r>
        <w:rPr>
          <w:rFonts w:ascii="Arial" w:cs="Arial" w:eastAsia="Arial" w:hAnsi="Arial"/>
          <w:sz w:val="18"/>
          <w:szCs w:val="18"/>
          <w:color w:val="auto"/>
        </w:rPr>
        <w:t>)) with respect to the Common Shares, whether to facilitate the sale or resale of the Shares or otherwise, and has taken no action which would directly or indirectly violate Regulation M.</w:t>
      </w:r>
    </w:p>
    <w:p>
      <w:pPr>
        <w:spacing w:after="0" w:line="79" w:lineRule="exact"/>
        <w:rPr>
          <w:rFonts w:ascii="Arial" w:cs="Arial" w:eastAsia="Arial" w:hAnsi="Arial"/>
          <w:sz w:val="18"/>
          <w:szCs w:val="18"/>
          <w:color w:val="auto"/>
        </w:rPr>
      </w:pPr>
    </w:p>
    <w:p>
      <w:pPr>
        <w:ind w:left="-40" w:right="60" w:firstLine="436"/>
        <w:spacing w:after="0" w:line="342" w:lineRule="auto"/>
        <w:tabs>
          <w:tab w:leader="none" w:pos="725" w:val="left"/>
        </w:tabs>
        <w:numPr>
          <w:ilvl w:val="0"/>
          <w:numId w:val="14"/>
        </w:numPr>
        <w:rPr>
          <w:rFonts w:ascii="Arial" w:cs="Arial" w:eastAsia="Arial" w:hAnsi="Arial"/>
          <w:sz w:val="16"/>
          <w:szCs w:val="16"/>
          <w:color w:val="auto"/>
        </w:rPr>
      </w:pPr>
      <w:r>
        <w:rPr>
          <w:rFonts w:ascii="Arial" w:cs="Arial" w:eastAsia="Arial" w:hAnsi="Arial"/>
          <w:sz w:val="16"/>
          <w:szCs w:val="16"/>
          <w:u w:val="single" w:color="auto"/>
          <w:color w:val="auto"/>
        </w:rPr>
        <w:t>Related Party Transactions</w:t>
      </w:r>
      <w:r>
        <w:rPr>
          <w:rFonts w:ascii="Arial" w:cs="Arial" w:eastAsia="Arial" w:hAnsi="Arial"/>
          <w:sz w:val="16"/>
          <w:szCs w:val="16"/>
          <w:color w:val="auto"/>
        </w:rPr>
        <w:t>. There are no business relationships or related-party transactions involving the Company or any of its subsidiaries or any other person required to be described in the Registration Statement or the Prospectus which have not been described as required.</w:t>
      </w:r>
    </w:p>
    <w:p>
      <w:pPr>
        <w:spacing w:after="0" w:line="15" w:lineRule="exact"/>
        <w:rPr>
          <w:rFonts w:ascii="Arial" w:cs="Arial" w:eastAsia="Arial" w:hAnsi="Arial"/>
          <w:sz w:val="16"/>
          <w:szCs w:val="16"/>
          <w:color w:val="auto"/>
        </w:rPr>
      </w:pPr>
    </w:p>
    <w:p>
      <w:pPr>
        <w:ind w:left="-40" w:right="280" w:firstLine="436"/>
        <w:spacing w:after="0" w:line="279" w:lineRule="auto"/>
        <w:tabs>
          <w:tab w:leader="none" w:pos="745" w:val="left"/>
        </w:tabs>
        <w:numPr>
          <w:ilvl w:val="0"/>
          <w:numId w:val="14"/>
        </w:numPr>
        <w:rPr>
          <w:rFonts w:ascii="Arial" w:cs="Arial" w:eastAsia="Arial" w:hAnsi="Arial"/>
          <w:sz w:val="17"/>
          <w:szCs w:val="17"/>
          <w:color w:val="auto"/>
        </w:rPr>
      </w:pPr>
      <w:r>
        <w:rPr>
          <w:rFonts w:ascii="Arial" w:cs="Arial" w:eastAsia="Arial" w:hAnsi="Arial"/>
          <w:sz w:val="17"/>
          <w:szCs w:val="17"/>
          <w:u w:val="single" w:color="auto"/>
          <w:color w:val="auto"/>
        </w:rPr>
        <w:t>FINRA Matters</w:t>
      </w:r>
      <w:r>
        <w:rPr>
          <w:rFonts w:ascii="Arial" w:cs="Arial" w:eastAsia="Arial" w:hAnsi="Arial"/>
          <w:sz w:val="17"/>
          <w:szCs w:val="17"/>
          <w:color w:val="auto"/>
        </w:rPr>
        <w:t>. All of the information provided to the Agent or to counsel for the Agent by the Company, its counsel, its officers and directors and the holders of any securities (debt or equity) or options to acquire any securities of the Company in connection with the offering of the Shares is true, complete, correct and compliant with Financial Industry Regulatory Authority, Inc.’s (“</w:t>
      </w:r>
      <w:r>
        <w:rPr>
          <w:rFonts w:ascii="Arial" w:cs="Arial" w:eastAsia="Arial" w:hAnsi="Arial"/>
          <w:sz w:val="17"/>
          <w:szCs w:val="17"/>
          <w:b w:val="1"/>
          <w:bCs w:val="1"/>
          <w:color w:val="auto"/>
        </w:rPr>
        <w:t>FINRA</w:t>
      </w:r>
      <w:r>
        <w:rPr>
          <w:rFonts w:ascii="Arial" w:cs="Arial" w:eastAsia="Arial" w:hAnsi="Arial"/>
          <w:sz w:val="17"/>
          <w:szCs w:val="17"/>
          <w:color w:val="auto"/>
        </w:rPr>
        <w:t>”) rules and any letters, filings or other supplemental information provided to FINRA pursuant to FINRA Rules is true, complete and correct.</w:t>
      </w:r>
    </w:p>
    <w:p>
      <w:pPr>
        <w:spacing w:after="0" w:line="63" w:lineRule="exact"/>
        <w:rPr>
          <w:rFonts w:ascii="Arial" w:cs="Arial" w:eastAsia="Arial" w:hAnsi="Arial"/>
          <w:sz w:val="17"/>
          <w:szCs w:val="17"/>
          <w:color w:val="auto"/>
        </w:rPr>
      </w:pPr>
    </w:p>
    <w:p>
      <w:pPr>
        <w:ind w:left="-40" w:firstLine="436"/>
        <w:spacing w:after="0" w:line="259" w:lineRule="auto"/>
        <w:tabs>
          <w:tab w:leader="none" w:pos="725"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No Unlawful Contributions or Other Payments</w:t>
      </w:r>
      <w:r>
        <w:rPr>
          <w:rFonts w:ascii="Arial" w:cs="Arial" w:eastAsia="Arial" w:hAnsi="Arial"/>
          <w:sz w:val="18"/>
          <w:szCs w:val="18"/>
          <w:color w:val="auto"/>
        </w:rPr>
        <w:t>. Except as otherwise disclosed in the Prospectus, neither the Company nor any of its subsidiaries nor, to the Company’s knowledge, any employee or agent of the Company or any subsidiary, has made any contribution or other payment to any official of, or candidate for, any federal, state or foreign office in violation of any law or of the character required to be disclosed in the Registration Statement and the Prospectus.</w:t>
      </w:r>
    </w:p>
    <w:p>
      <w:pPr>
        <w:spacing w:after="0" w:line="78" w:lineRule="exact"/>
        <w:rPr>
          <w:rFonts w:ascii="Arial" w:cs="Arial" w:eastAsia="Arial" w:hAnsi="Arial"/>
          <w:sz w:val="18"/>
          <w:szCs w:val="18"/>
          <w:color w:val="auto"/>
        </w:rPr>
      </w:pPr>
    </w:p>
    <w:p>
      <w:pPr>
        <w:ind w:left="-40" w:right="20" w:firstLine="436"/>
        <w:spacing w:after="0" w:line="268" w:lineRule="auto"/>
        <w:tabs>
          <w:tab w:leader="none" w:pos="682" w:val="left"/>
        </w:tabs>
        <w:numPr>
          <w:ilvl w:val="0"/>
          <w:numId w:val="14"/>
        </w:numPr>
        <w:rPr>
          <w:rFonts w:ascii="Arial" w:cs="Arial" w:eastAsia="Arial" w:hAnsi="Arial"/>
          <w:sz w:val="17"/>
          <w:szCs w:val="17"/>
          <w:color w:val="auto"/>
        </w:rPr>
      </w:pPr>
      <w:r>
        <w:rPr>
          <w:rFonts w:ascii="Arial" w:cs="Arial" w:eastAsia="Arial" w:hAnsi="Arial"/>
          <w:sz w:val="17"/>
          <w:szCs w:val="17"/>
          <w:u w:val="single" w:color="auto"/>
          <w:color w:val="auto"/>
        </w:rPr>
        <w:t>Compliance with Environmental Laws</w:t>
      </w:r>
      <w:r>
        <w:rPr>
          <w:rFonts w:ascii="Arial" w:cs="Arial" w:eastAsia="Arial" w:hAnsi="Arial"/>
          <w:sz w:val="17"/>
          <w:szCs w:val="17"/>
          <w:color w:val="auto"/>
        </w:rPr>
        <w:t>. Except as described in the Prospectus and except as would not reasonably be expected, individually or in the aggregate, to result in a Material Adverse Change; (i) neither the Company nor any of its subsidiaries is in violation of any federal, state, local or foreign statute, law, rule, regulation, ordinance, code, policy or rule of common law or any judicial or administrative interpretation thereof, including any judicial or administrative order, consent, decree or judgment, relating to pollution or protection of human health, the environment (including, without limitation, ambient air, surface water, groundwater, land surface or subsurface strata) or wildlife, including, without limitation, laws and regulations relating to the release or threatened release of chemicals, pollutants, contaminants, wastes, toxic substances, hazardous substances, petroleum or petroleum products (collectively, “</w:t>
      </w:r>
      <w:r>
        <w:rPr>
          <w:rFonts w:ascii="Arial" w:cs="Arial" w:eastAsia="Arial" w:hAnsi="Arial"/>
          <w:sz w:val="17"/>
          <w:szCs w:val="17"/>
          <w:b w:val="1"/>
          <w:bCs w:val="1"/>
          <w:color w:val="auto"/>
        </w:rPr>
        <w:t>Hazardous Materials</w:t>
      </w:r>
      <w:r>
        <w:rPr>
          <w:rFonts w:ascii="Arial" w:cs="Arial" w:eastAsia="Arial" w:hAnsi="Arial"/>
          <w:sz w:val="17"/>
          <w:szCs w:val="17"/>
          <w:color w:val="auto"/>
        </w:rPr>
        <w:t>”) or to the manufacture, processing, distribution, use, treatment, storage, disposal, transport or handling of Hazardous Materials (collectively, “</w:t>
      </w:r>
      <w:r>
        <w:rPr>
          <w:rFonts w:ascii="Arial" w:cs="Arial" w:eastAsia="Arial" w:hAnsi="Arial"/>
          <w:sz w:val="17"/>
          <w:szCs w:val="17"/>
          <w:b w:val="1"/>
          <w:bCs w:val="1"/>
          <w:color w:val="auto"/>
        </w:rPr>
        <w:t>Environmental Laws</w:t>
      </w:r>
      <w:r>
        <w:rPr>
          <w:rFonts w:ascii="Arial" w:cs="Arial" w:eastAsia="Arial" w:hAnsi="Arial"/>
          <w:sz w:val="17"/>
          <w:szCs w:val="17"/>
          <w:color w:val="auto"/>
        </w:rPr>
        <w:t>”), (ii) the Company and its subsidiaries have all permits, authorizations and approvals required under any applicable Environmental Laws and are each in compliance with their requirements, (iii) there are no pending or threatened administrative, regulatory or judicial actions, suits, demands, demand letters, claims, liens, notices of noncompliance or violation, investigation or proceedings relating to any Environmental Law against the Company or any of its subsidiaries and (iv) there are no events or circumstances that might reasonably be expected to form the basis of an order for clean-up or remediation, or an action, suit or proceeding by any private party or governmental body or agency, against or affecting the Company or any of its subsidiaries relating to Hazardous Materials or any Environmental Laws.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40"/>
          </w:cols>
          <w:pgMar w:left="480" w:top="274" w:right="479" w:bottom="1440" w:gutter="0" w:footer="0" w:header="0"/>
        </w:sectPr>
      </w:pPr>
    </w:p>
    <w:bookmarkStart w:id="16" w:name="page17"/>
    <w:bookmarkEnd w:id="16"/>
    <w:p>
      <w:pPr>
        <w:ind w:left="4" w:right="20" w:firstLine="436"/>
        <w:spacing w:after="0" w:line="283" w:lineRule="auto"/>
        <w:tabs>
          <w:tab w:leader="none" w:pos="789" w:val="left"/>
        </w:tabs>
        <w:numPr>
          <w:ilvl w:val="1"/>
          <w:numId w:val="15"/>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ERISA Compliance</w:t>
      </w:r>
      <w:r>
        <w:rPr>
          <w:rFonts w:ascii="Arial" w:cs="Arial" w:eastAsia="Arial" w:hAnsi="Arial"/>
          <w:sz w:val="16"/>
          <w:szCs w:val="16"/>
          <w:color w:val="auto"/>
        </w:rPr>
        <w:t>. Except as otherwise disclosed in the Registration Statement or the Prospectus, the Company and its subsidiaries and any “employee benefit plan” (as defined under the Employee Retirement Income Security Act of 1974, as amended, and the regulations and published interpretations thereunder (collectively, “</w:t>
      </w:r>
      <w:r>
        <w:rPr>
          <w:rFonts w:ascii="Arial" w:cs="Arial" w:eastAsia="Arial" w:hAnsi="Arial"/>
          <w:sz w:val="16"/>
          <w:szCs w:val="16"/>
          <w:b w:val="1"/>
          <w:bCs w:val="1"/>
          <w:color w:val="auto"/>
        </w:rPr>
        <w:t>ERISA</w:t>
      </w:r>
      <w:r>
        <w:rPr>
          <w:rFonts w:ascii="Arial" w:cs="Arial" w:eastAsia="Arial" w:hAnsi="Arial"/>
          <w:sz w:val="16"/>
          <w:szCs w:val="16"/>
          <w:color w:val="auto"/>
        </w:rPr>
        <w:t>”)) established or maintained by the Company, its subsidiaries or their “ERISA Affiliates” (as defined below) are in compliance in all material respects with ERISA. “</w:t>
      </w:r>
      <w:r>
        <w:rPr>
          <w:rFonts w:ascii="Arial" w:cs="Arial" w:eastAsia="Arial" w:hAnsi="Arial"/>
          <w:sz w:val="16"/>
          <w:szCs w:val="16"/>
          <w:b w:val="1"/>
          <w:bCs w:val="1"/>
          <w:color w:val="auto"/>
        </w:rPr>
        <w:t>ERISA Affiliate</w:t>
      </w:r>
      <w:r>
        <w:rPr>
          <w:rFonts w:ascii="Arial" w:cs="Arial" w:eastAsia="Arial" w:hAnsi="Arial"/>
          <w:sz w:val="16"/>
          <w:szCs w:val="16"/>
          <w:color w:val="auto"/>
        </w:rPr>
        <w:t>” means, with respect to the Company or any of its subsidiaries, any member of any group of organizations described in Sections 414(b), (c), (m) or (o) of the Internal Revenue Code of 1986, as amended, and the regulations and published interpretations thereunder (the “</w:t>
      </w:r>
      <w:r>
        <w:rPr>
          <w:rFonts w:ascii="Arial" w:cs="Arial" w:eastAsia="Arial" w:hAnsi="Arial"/>
          <w:sz w:val="16"/>
          <w:szCs w:val="16"/>
          <w:b w:val="1"/>
          <w:bCs w:val="1"/>
          <w:color w:val="auto"/>
        </w:rPr>
        <w:t>Code</w:t>
      </w:r>
      <w:r>
        <w:rPr>
          <w:rFonts w:ascii="Arial" w:cs="Arial" w:eastAsia="Arial" w:hAnsi="Arial"/>
          <w:sz w:val="16"/>
          <w:szCs w:val="16"/>
          <w:color w:val="auto"/>
        </w:rPr>
        <w:t>”) of which the Company or such subsidiary is a member. No “reportable event” (as defined under ERISA) has occurred or is reasonably expected to occur with respect to any “employee benefit plan” established or maintained by the Company, its subsidiaries or any of their ERISA Affiliates. No “employee benefit plan” established or maintained by the Company, its subsidiaries or any of their ERISA Affiliates, if such “employee benefit plan” were terminated, would have any “amount of unfunded benefit liabilities” (as defined under ERISA). Neither the Company, its subsidiaries nor any of their ERISA Affiliates has incurred or reasonably expects to incur any liability under</w:t>
      </w:r>
    </w:p>
    <w:p>
      <w:pPr>
        <w:spacing w:after="0" w:line="4" w:lineRule="exact"/>
        <w:rPr>
          <w:rFonts w:ascii="Arial" w:cs="Arial" w:eastAsia="Arial" w:hAnsi="Arial"/>
          <w:sz w:val="16"/>
          <w:szCs w:val="16"/>
          <w:color w:val="auto"/>
        </w:rPr>
      </w:pPr>
    </w:p>
    <w:p>
      <w:pPr>
        <w:ind w:left="4" w:right="120" w:hanging="4"/>
        <w:spacing w:after="0" w:line="253" w:lineRule="auto"/>
        <w:tabs>
          <w:tab w:leader="none" w:pos="216" w:val="left"/>
        </w:tabs>
        <w:numPr>
          <w:ilvl w:val="0"/>
          <w:numId w:val="16"/>
        </w:numPr>
        <w:rPr>
          <w:rFonts w:ascii="Arial" w:cs="Arial" w:eastAsia="Arial" w:hAnsi="Arial"/>
          <w:sz w:val="18"/>
          <w:szCs w:val="18"/>
          <w:color w:val="auto"/>
        </w:rPr>
      </w:pPr>
      <w:r>
        <w:rPr>
          <w:rFonts w:ascii="Arial" w:cs="Arial" w:eastAsia="Arial" w:hAnsi="Arial"/>
          <w:sz w:val="18"/>
          <w:szCs w:val="18"/>
          <w:color w:val="auto"/>
        </w:rPr>
        <w:t>Title IV of ERISA with respect to termination of, or withdrawal from, any “employee benefit plan” or (ii) Sections 412, 4971, 4975 or 4980B of the Code. Each “employee benefit plan” established or maintained by the Company, its subsidiaries or any of their ERISA Affiliates that is intended to be qualified under Section 401(a) of the Code is so qualified and nothing has occurred, whether by action or failure to act, which would cause the loss of such qualification.</w:t>
      </w:r>
    </w:p>
    <w:p>
      <w:pPr>
        <w:spacing w:after="0" w:line="84" w:lineRule="exact"/>
        <w:rPr>
          <w:rFonts w:ascii="Arial" w:cs="Arial" w:eastAsia="Arial" w:hAnsi="Arial"/>
          <w:sz w:val="18"/>
          <w:szCs w:val="18"/>
          <w:color w:val="auto"/>
        </w:rPr>
      </w:pPr>
    </w:p>
    <w:p>
      <w:pPr>
        <w:ind w:left="4" w:firstLine="436"/>
        <w:spacing w:after="0" w:line="342" w:lineRule="auto"/>
        <w:tabs>
          <w:tab w:leader="none" w:pos="789" w:val="left"/>
        </w:tabs>
        <w:numPr>
          <w:ilvl w:val="1"/>
          <w:numId w:val="16"/>
        </w:numPr>
        <w:rPr>
          <w:rFonts w:ascii="Arial" w:cs="Arial" w:eastAsia="Arial" w:hAnsi="Arial"/>
          <w:sz w:val="16"/>
          <w:szCs w:val="16"/>
          <w:color w:val="auto"/>
        </w:rPr>
      </w:pPr>
      <w:r>
        <w:rPr>
          <w:rFonts w:ascii="Arial" w:cs="Arial" w:eastAsia="Arial" w:hAnsi="Arial"/>
          <w:sz w:val="16"/>
          <w:szCs w:val="16"/>
          <w:u w:val="single" w:color="auto"/>
          <w:color w:val="auto"/>
        </w:rPr>
        <w:t>Brokers</w:t>
      </w:r>
      <w:r>
        <w:rPr>
          <w:rFonts w:ascii="Arial" w:cs="Arial" w:eastAsia="Arial" w:hAnsi="Arial"/>
          <w:sz w:val="16"/>
          <w:szCs w:val="16"/>
          <w:color w:val="auto"/>
        </w:rPr>
        <w:t>. Except as otherwise disclosed in the Registration Statement or the Prospectus, there is no broker, finder or other party that is entitled to receive from the Company any brokerage or finder’s fee or other fee or commission as a result of any transactions contemplated by this Agreement.</w:t>
      </w:r>
    </w:p>
    <w:p>
      <w:pPr>
        <w:spacing w:after="0" w:line="15" w:lineRule="exact"/>
        <w:rPr>
          <w:rFonts w:ascii="Arial" w:cs="Arial" w:eastAsia="Arial" w:hAnsi="Arial"/>
          <w:sz w:val="16"/>
          <w:szCs w:val="16"/>
          <w:color w:val="auto"/>
        </w:rPr>
      </w:pPr>
    </w:p>
    <w:p>
      <w:pPr>
        <w:ind w:left="4" w:right="340" w:firstLine="436"/>
        <w:spacing w:after="0" w:line="263" w:lineRule="auto"/>
        <w:tabs>
          <w:tab w:leader="none" w:pos="709" w:val="left"/>
        </w:tabs>
        <w:numPr>
          <w:ilvl w:val="1"/>
          <w:numId w:val="16"/>
        </w:numPr>
        <w:rPr>
          <w:rFonts w:ascii="Arial" w:cs="Arial" w:eastAsia="Arial" w:hAnsi="Arial"/>
          <w:sz w:val="18"/>
          <w:szCs w:val="18"/>
          <w:color w:val="auto"/>
        </w:rPr>
      </w:pPr>
      <w:r>
        <w:rPr>
          <w:rFonts w:ascii="Arial" w:cs="Arial" w:eastAsia="Arial" w:hAnsi="Arial"/>
          <w:sz w:val="18"/>
          <w:szCs w:val="18"/>
          <w:u w:val="single" w:color="auto"/>
          <w:color w:val="auto"/>
        </w:rPr>
        <w:t>No Outstanding Loans or Other Extensions of Credit</w:t>
      </w:r>
      <w:r>
        <w:rPr>
          <w:rFonts w:ascii="Arial" w:cs="Arial" w:eastAsia="Arial" w:hAnsi="Arial"/>
          <w:sz w:val="18"/>
          <w:szCs w:val="18"/>
          <w:color w:val="auto"/>
        </w:rPr>
        <w:t>. The Company does not have any outstanding extension of credit, in the form of a personal loan, to or for any director or executive officer (or equivalent thereof) of the Company except for such extensions of credit as are expressly permitted by Section 13(k) of the Exchange Act.</w:t>
      </w:r>
    </w:p>
    <w:p>
      <w:pPr>
        <w:spacing w:after="0" w:line="75" w:lineRule="exact"/>
        <w:rPr>
          <w:rFonts w:ascii="Arial" w:cs="Arial" w:eastAsia="Arial" w:hAnsi="Arial"/>
          <w:sz w:val="18"/>
          <w:szCs w:val="18"/>
          <w:color w:val="auto"/>
        </w:rPr>
      </w:pPr>
    </w:p>
    <w:p>
      <w:pPr>
        <w:ind w:left="4" w:right="300" w:firstLine="436"/>
        <w:spacing w:after="0" w:line="342" w:lineRule="auto"/>
        <w:tabs>
          <w:tab w:leader="none" w:pos="709" w:val="left"/>
        </w:tabs>
        <w:numPr>
          <w:ilvl w:val="1"/>
          <w:numId w:val="16"/>
        </w:numPr>
        <w:rPr>
          <w:rFonts w:ascii="Arial" w:cs="Arial" w:eastAsia="Arial" w:hAnsi="Arial"/>
          <w:sz w:val="16"/>
          <w:szCs w:val="16"/>
          <w:color w:val="auto"/>
        </w:rPr>
      </w:pPr>
      <w:r>
        <w:rPr>
          <w:rFonts w:ascii="Arial" w:cs="Arial" w:eastAsia="Arial" w:hAnsi="Arial"/>
          <w:sz w:val="16"/>
          <w:szCs w:val="16"/>
          <w:u w:val="single" w:color="auto"/>
          <w:color w:val="auto"/>
        </w:rPr>
        <w:t>Compliance with Laws</w:t>
      </w:r>
      <w:r>
        <w:rPr>
          <w:rFonts w:ascii="Arial" w:cs="Arial" w:eastAsia="Arial" w:hAnsi="Arial"/>
          <w:sz w:val="16"/>
          <w:szCs w:val="16"/>
          <w:color w:val="auto"/>
        </w:rPr>
        <w:t>. The Company and its subsidiaries have been and are in compliance with all applicable laws, rules and regulations, except where failure to be so in compliance could not be expected, individually or in the aggregate, to result in a Material Adverse Change.</w:t>
      </w:r>
    </w:p>
    <w:p>
      <w:pPr>
        <w:spacing w:after="0" w:line="15" w:lineRule="exact"/>
        <w:rPr>
          <w:rFonts w:ascii="Arial" w:cs="Arial" w:eastAsia="Arial" w:hAnsi="Arial"/>
          <w:sz w:val="16"/>
          <w:szCs w:val="16"/>
          <w:color w:val="auto"/>
        </w:rPr>
      </w:pPr>
    </w:p>
    <w:p>
      <w:pPr>
        <w:ind w:left="4" w:right="40" w:firstLine="436"/>
        <w:spacing w:after="0" w:line="279" w:lineRule="auto"/>
        <w:tabs>
          <w:tab w:leader="none" w:pos="789" w:val="left"/>
        </w:tabs>
        <w:numPr>
          <w:ilvl w:val="1"/>
          <w:numId w:val="16"/>
        </w:numPr>
        <w:rPr>
          <w:rFonts w:ascii="Arial" w:cs="Arial" w:eastAsia="Arial" w:hAnsi="Arial"/>
          <w:sz w:val="17"/>
          <w:szCs w:val="17"/>
          <w:color w:val="auto"/>
        </w:rPr>
      </w:pPr>
      <w:r>
        <w:rPr>
          <w:rFonts w:ascii="Arial" w:cs="Arial" w:eastAsia="Arial" w:hAnsi="Arial"/>
          <w:sz w:val="17"/>
          <w:szCs w:val="17"/>
          <w:u w:val="single" w:color="auto"/>
          <w:color w:val="auto"/>
        </w:rPr>
        <w:t>Dividend Restrictions</w:t>
      </w:r>
      <w:r>
        <w:rPr>
          <w:rFonts w:ascii="Arial" w:cs="Arial" w:eastAsia="Arial" w:hAnsi="Arial"/>
          <w:sz w:val="17"/>
          <w:szCs w:val="17"/>
          <w:color w:val="auto"/>
        </w:rPr>
        <w:t>. Except as disclosed in the Prospectus, no subsidiary of the Company is prohibited or restricted, directly or indirectly, from paying dividends to the Company, or from making any other distribution with respect to such subsidiary’s equity securities or from repaying to the Company or any other subsidiary of the Company any amounts that may from time to time become due under any loans or advances to such subsidiary from the Company or from transferring any property or assets to the Company or to any other subsidiary.</w:t>
      </w:r>
    </w:p>
    <w:p>
      <w:pPr>
        <w:spacing w:after="0" w:line="104"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84"/>
          </w:cols>
          <w:pgMar w:left="436" w:top="274" w:right="479" w:bottom="1440" w:gutter="0" w:footer="0" w:header="0"/>
        </w:sectPr>
      </w:pPr>
    </w:p>
    <w:bookmarkStart w:id="17" w:name="page18"/>
    <w:bookmarkEnd w:id="17"/>
    <w:p>
      <w:pPr>
        <w:ind w:left="4" w:right="40" w:firstLine="436"/>
        <w:spacing w:after="0" w:line="284" w:lineRule="auto"/>
        <w:tabs>
          <w:tab w:leader="none" w:pos="709" w:val="left"/>
        </w:tabs>
        <w:numPr>
          <w:ilvl w:val="1"/>
          <w:numId w:val="17"/>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Anti-Corruption and Anti-Bribery Laws</w:t>
      </w:r>
      <w:r>
        <w:rPr>
          <w:rFonts w:ascii="Arial" w:cs="Arial" w:eastAsia="Arial" w:hAnsi="Arial"/>
          <w:sz w:val="16"/>
          <w:szCs w:val="16"/>
          <w:color w:val="auto"/>
        </w:rPr>
        <w:t>. Neither the Company nor any of its subsidiaries nor any director, officer, or employee of the Company or any of its subsidiaries, nor to the knowledge of the Company, any agent, Affiliate or other person acting on behalf of the Company or any of its subsidiaries has, in the course of its actions for, or on behalf of, the Company or any of its subsidiaries (i) used any corporate funds for any unlawful contribution, gift, entertainment or other unlawful expenses relating to political activity; (ii) made or taken any act in furtherance of an offer, promise, or authorization of any direct or indirect unlawful payment or benefit to any foreign or domestic government official or employee, including of any government-owned or controlled entity or public international organization, or any political party, party official, or candidate for political office;</w:t>
      </w:r>
    </w:p>
    <w:p>
      <w:pPr>
        <w:spacing w:after="0" w:line="4" w:lineRule="exact"/>
        <w:rPr>
          <w:rFonts w:ascii="Arial" w:cs="Arial" w:eastAsia="Arial" w:hAnsi="Arial"/>
          <w:sz w:val="16"/>
          <w:szCs w:val="16"/>
          <w:color w:val="auto"/>
        </w:rPr>
      </w:pPr>
    </w:p>
    <w:p>
      <w:pPr>
        <w:ind w:left="4" w:right="60" w:hanging="4"/>
        <w:spacing w:after="0" w:line="292" w:lineRule="auto"/>
        <w:tabs>
          <w:tab w:leader="none" w:pos="319" w:val="left"/>
        </w:tabs>
        <w:numPr>
          <w:ilvl w:val="0"/>
          <w:numId w:val="18"/>
        </w:numPr>
        <w:rPr>
          <w:rFonts w:ascii="Arial" w:cs="Arial" w:eastAsia="Arial" w:hAnsi="Arial"/>
          <w:sz w:val="16"/>
          <w:szCs w:val="16"/>
          <w:color w:val="auto"/>
        </w:rPr>
      </w:pPr>
      <w:r>
        <w:rPr>
          <w:rFonts w:ascii="Arial" w:cs="Arial" w:eastAsia="Arial" w:hAnsi="Arial"/>
          <w:sz w:val="16"/>
          <w:szCs w:val="16"/>
          <w:color w:val="auto"/>
        </w:rPr>
        <w:t>violated or is in violation of any provision of the U.S. Foreign Corrupt Practices Act of 1977, as amended (the “</w:t>
      </w:r>
      <w:r>
        <w:rPr>
          <w:rFonts w:ascii="Arial" w:cs="Arial" w:eastAsia="Arial" w:hAnsi="Arial"/>
          <w:sz w:val="16"/>
          <w:szCs w:val="16"/>
          <w:b w:val="1"/>
          <w:bCs w:val="1"/>
          <w:color w:val="auto"/>
        </w:rPr>
        <w:t>FCPA</w:t>
      </w:r>
      <w:r>
        <w:rPr>
          <w:rFonts w:ascii="Arial" w:cs="Arial" w:eastAsia="Arial" w:hAnsi="Arial"/>
          <w:sz w:val="16"/>
          <w:szCs w:val="16"/>
          <w:color w:val="auto"/>
        </w:rPr>
        <w:t>”), the UK Bribery Act 2010, or any other applicable anti-bribery or anti-corruption law; or (iv) made, offered, authorized, requested, or taken an act in furtherance of any unlawful bribe, rebate, payoff, influence payment, kickback or other unlawful payment or benefit. The Company and its subsidiaries and, to the knowledge of the Company, the Company’s Affiliates have conducted their respective businesses in compliance with the FCPA and have instituted and maintain policies and procedures designed to ensure, and which are reasonably expected to continue to ensure, continued compliance therewith.</w:t>
      </w:r>
    </w:p>
    <w:p>
      <w:pPr>
        <w:spacing w:after="0" w:line="54" w:lineRule="exact"/>
        <w:rPr>
          <w:rFonts w:ascii="Arial" w:cs="Arial" w:eastAsia="Arial" w:hAnsi="Arial"/>
          <w:sz w:val="16"/>
          <w:szCs w:val="16"/>
          <w:color w:val="auto"/>
        </w:rPr>
      </w:pPr>
    </w:p>
    <w:p>
      <w:pPr>
        <w:ind w:left="4" w:right="40" w:firstLine="436"/>
        <w:spacing w:after="0" w:line="273" w:lineRule="auto"/>
        <w:tabs>
          <w:tab w:leader="none" w:pos="889" w:val="left"/>
        </w:tabs>
        <w:numPr>
          <w:ilvl w:val="1"/>
          <w:numId w:val="18"/>
        </w:numPr>
        <w:rPr>
          <w:rFonts w:ascii="Arial" w:cs="Arial" w:eastAsia="Arial" w:hAnsi="Arial"/>
          <w:sz w:val="17"/>
          <w:szCs w:val="17"/>
          <w:color w:val="auto"/>
        </w:rPr>
      </w:pPr>
      <w:r>
        <w:rPr>
          <w:rFonts w:ascii="Arial" w:cs="Arial" w:eastAsia="Arial" w:hAnsi="Arial"/>
          <w:sz w:val="17"/>
          <w:szCs w:val="17"/>
          <w:u w:val="single" w:color="auto"/>
          <w:color w:val="auto"/>
        </w:rPr>
        <w:t>Money Laundering Laws</w:t>
      </w:r>
      <w:r>
        <w:rPr>
          <w:rFonts w:ascii="Arial" w:cs="Arial" w:eastAsia="Arial" w:hAnsi="Arial"/>
          <w:sz w:val="17"/>
          <w:szCs w:val="17"/>
          <w:color w:val="auto"/>
        </w:rPr>
        <w:t>. The operations of the Company and its subsidiaries are, and have been conducted at all times, in compliance with applicable financial recordkeeping and reporting requirements of the Currency and Foreign Transactions Reporting Act of 1970, as amended, the money laundering statutes of all applicable jurisdictions, the rules and regulations thereunder and any related or similar applicable rules, regulations or guidelines, issued, administered or enforced by any governmental agency (collectively, the “</w:t>
      </w:r>
      <w:r>
        <w:rPr>
          <w:rFonts w:ascii="Arial" w:cs="Arial" w:eastAsia="Arial" w:hAnsi="Arial"/>
          <w:sz w:val="17"/>
          <w:szCs w:val="17"/>
          <w:b w:val="1"/>
          <w:bCs w:val="1"/>
          <w:color w:val="auto"/>
        </w:rPr>
        <w:t>Money Laundering Laws</w:t>
      </w:r>
      <w:r>
        <w:rPr>
          <w:rFonts w:ascii="Arial" w:cs="Arial" w:eastAsia="Arial" w:hAnsi="Arial"/>
          <w:sz w:val="17"/>
          <w:szCs w:val="17"/>
          <w:color w:val="auto"/>
        </w:rPr>
        <w:t>”) and no action, suit or proceeding by or before any court or governmental agency, authority or body or any arbitrator involving the Company or any of its subsidiaries with respect to the Money Laundering Laws is pending or, to the knowledge of the Company, threatened.</w:t>
      </w:r>
    </w:p>
    <w:p>
      <w:pPr>
        <w:spacing w:after="0" w:line="69" w:lineRule="exact"/>
        <w:rPr>
          <w:rFonts w:ascii="Arial" w:cs="Arial" w:eastAsia="Arial" w:hAnsi="Arial"/>
          <w:sz w:val="17"/>
          <w:szCs w:val="17"/>
          <w:color w:val="auto"/>
        </w:rPr>
      </w:pPr>
    </w:p>
    <w:p>
      <w:pPr>
        <w:ind w:left="4" w:firstLine="436"/>
        <w:spacing w:after="0" w:line="286" w:lineRule="auto"/>
        <w:tabs>
          <w:tab w:leader="none" w:pos="789" w:val="left"/>
        </w:tabs>
        <w:numPr>
          <w:ilvl w:val="1"/>
          <w:numId w:val="18"/>
        </w:numPr>
        <w:rPr>
          <w:rFonts w:ascii="Arial" w:cs="Arial" w:eastAsia="Arial" w:hAnsi="Arial"/>
          <w:sz w:val="16"/>
          <w:szCs w:val="16"/>
          <w:color w:val="auto"/>
        </w:rPr>
      </w:pPr>
      <w:r>
        <w:rPr>
          <w:rFonts w:ascii="Arial" w:cs="Arial" w:eastAsia="Arial" w:hAnsi="Arial"/>
          <w:sz w:val="16"/>
          <w:szCs w:val="16"/>
          <w:u w:val="single" w:color="auto"/>
          <w:color w:val="auto"/>
        </w:rPr>
        <w:t>Clinical Data and Regulatory Compliance</w:t>
      </w:r>
      <w:r>
        <w:rPr>
          <w:rFonts w:ascii="Arial" w:cs="Arial" w:eastAsia="Arial" w:hAnsi="Arial"/>
          <w:sz w:val="16"/>
          <w:szCs w:val="16"/>
          <w:color w:val="auto"/>
        </w:rPr>
        <w:t>. The preclinical tests and clinical trials, and other studies (collectively, “studies”) that are described in, or the results of which are referred to in, the Registration Statement or the Prospectus were and, if still pending, are being conducted in all material respects in accordance with all applicable laws and regulations, including, without limitation, the Federal Food, Drug and Cosmetic Act and its implementing regulations at 21 C.F.R. Parts 50, 54, 56, 58, and 312, with the protocols, procedures and controls designed and approved for such studies and with standard medical and scientific research procedures; each description of the results of such studies is accurate and complete in all material respects and fairly presents the data derived from such studies, and the Company and its subsidiaries have no knowledge of any other studies the results of which are inconsistent with, or otherwise call into question, the results described or referred to in the Registration Statement or the Prospectus; the Company and its subsidiaries have made all such filings and obtained all such approvals or exemptions as may be required by the Food and Drug Administration of the U.S. Department of Health and Human Services or any committee thereof or from any other U.S. or foreign government or drug or medical device regulatory agency, or health care facility Institutional Review Board (collectively, the “</w:t>
      </w:r>
      <w:r>
        <w:rPr>
          <w:rFonts w:ascii="Arial" w:cs="Arial" w:eastAsia="Arial" w:hAnsi="Arial"/>
          <w:sz w:val="16"/>
          <w:szCs w:val="16"/>
          <w:b w:val="1"/>
          <w:bCs w:val="1"/>
          <w:color w:val="auto"/>
        </w:rPr>
        <w:t>Regulatory Agencies</w:t>
      </w:r>
      <w:r>
        <w:rPr>
          <w:rFonts w:ascii="Arial" w:cs="Arial" w:eastAsia="Arial" w:hAnsi="Arial"/>
          <w:sz w:val="16"/>
          <w:szCs w:val="16"/>
          <w:color w:val="auto"/>
        </w:rPr>
        <w:t>”); neither the Company nor any of its subsidiaries has received any notice of, or correspondence from, any Regulatory Agency requiring the termination, suspension or modification of any clinical trials that are described or referred to in the Registration Statement or the Prospectus; and the Company and its subsidiaries have each operated and currently are in compliance in all material respects with all applicable rules, regulations and policies of the Regulatory Agencies.</w:t>
      </w:r>
    </w:p>
    <w:p>
      <w:pPr>
        <w:spacing w:after="0" w:line="10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4"/>
          </w:cols>
          <w:pgMar w:left="436" w:top="274" w:right="459" w:bottom="1440" w:gutter="0" w:footer="0" w:header="0"/>
        </w:sectPr>
      </w:pPr>
    </w:p>
    <w:bookmarkStart w:id="18" w:name="page19"/>
    <w:bookmarkEnd w:id="18"/>
    <w:p>
      <w:pPr>
        <w:ind w:firstLine="436"/>
        <w:spacing w:after="0" w:line="287" w:lineRule="auto"/>
        <w:tabs>
          <w:tab w:leader="none" w:pos="785" w:val="left"/>
        </w:tabs>
        <w:numPr>
          <w:ilvl w:val="0"/>
          <w:numId w:val="19"/>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Sanctions.</w:t>
      </w:r>
      <w:r>
        <w:rPr>
          <w:rFonts w:ascii="Arial" w:cs="Arial" w:eastAsia="Arial" w:hAnsi="Arial"/>
          <w:sz w:val="16"/>
          <w:szCs w:val="16"/>
          <w:color w:val="auto"/>
        </w:rPr>
        <w:t xml:space="preserve"> Neither the Company nor any of its subsidiaries, directors, officers, or employees, nor, to the knowledge of the Company, after due inquiry, any agent, Affiliate or other person acting on behalf of the Company or any of its subsidiaries is currently the subject or the target of any U.S. sanctions administered by the Office of Foreign Assets Control of the U.S. Department of the Treasury or the U.S. Department of State, the United Nations Security Council, the European Union, Her Majesty’s Treasury of the United Kingdom, or other relevant sanctions authority (collectively, “</w:t>
      </w:r>
      <w:r>
        <w:rPr>
          <w:rFonts w:ascii="Arial" w:cs="Arial" w:eastAsia="Arial" w:hAnsi="Arial"/>
          <w:sz w:val="16"/>
          <w:szCs w:val="16"/>
          <w:b w:val="1"/>
          <w:bCs w:val="1"/>
          <w:color w:val="auto"/>
        </w:rPr>
        <w:t>Sanctions</w:t>
      </w:r>
      <w:r>
        <w:rPr>
          <w:rFonts w:ascii="Arial" w:cs="Arial" w:eastAsia="Arial" w:hAnsi="Arial"/>
          <w:sz w:val="16"/>
          <w:szCs w:val="16"/>
          <w:color w:val="auto"/>
        </w:rPr>
        <w:t>”); nor is the Company or any of its subsidiaries located, organized or resident in a country or territory that is the subject or the target of Sanctions, including, without limitation, Crimea, Cuba, Iran, North Korea, and Syria (collectively, “</w:t>
      </w:r>
      <w:r>
        <w:rPr>
          <w:rFonts w:ascii="Arial" w:cs="Arial" w:eastAsia="Arial" w:hAnsi="Arial"/>
          <w:sz w:val="16"/>
          <w:szCs w:val="16"/>
          <w:b w:val="1"/>
          <w:bCs w:val="1"/>
          <w:color w:val="auto"/>
        </w:rPr>
        <w:t>Sanctioned Countries</w:t>
      </w:r>
      <w:r>
        <w:rPr>
          <w:rFonts w:ascii="Arial" w:cs="Arial" w:eastAsia="Arial" w:hAnsi="Arial"/>
          <w:sz w:val="16"/>
          <w:szCs w:val="16"/>
          <w:color w:val="auto"/>
        </w:rPr>
        <w:t>”); and the Company will not directly or indirectly use the proceeds of this offering, or lend, contribute or otherwise make available such proceeds to any subsidiary, or any joint venture partner or other person or entity, for the purpose of financing the activities of or business with any person, or in any country or territory, that at the time of such financing, is the subject or the target of Sanctions or in any other manner that will result in a violation by any person (including any person participating in the transaction whether as underwriter, advisor, investor or otherwise) of applicable Sanctions. For the past five years, the Company and its subsidiaries have not knowingly engaged in and are not now knowingly engaged in any dealings or transactions with any person that at the time of the dealing or transaction is or was the subject or the target of Sanctions or with any Sanctioned Country.</w:t>
      </w:r>
    </w:p>
    <w:p>
      <w:pPr>
        <w:spacing w:after="0" w:line="59" w:lineRule="exact"/>
        <w:rPr>
          <w:rFonts w:ascii="Arial" w:cs="Arial" w:eastAsia="Arial" w:hAnsi="Arial"/>
          <w:sz w:val="16"/>
          <w:szCs w:val="16"/>
          <w:color w:val="auto"/>
        </w:rPr>
      </w:pPr>
    </w:p>
    <w:p>
      <w:pPr>
        <w:ind w:right="240" w:firstLine="436"/>
        <w:spacing w:after="0" w:line="277" w:lineRule="auto"/>
        <w:tabs>
          <w:tab w:leader="none" w:pos="785"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Sarbanes-Oxley</w:t>
      </w:r>
      <w:r>
        <w:rPr>
          <w:rFonts w:ascii="Arial" w:cs="Arial" w:eastAsia="Arial" w:hAnsi="Arial"/>
          <w:sz w:val="18"/>
          <w:szCs w:val="18"/>
          <w:color w:val="auto"/>
        </w:rPr>
        <w:t>. The Company is in compliance, in all material respects, with all applicable provisions of the Sarbanes-Oxley Act of 2002 and the rules and regulations promulgated thereunder.</w:t>
      </w:r>
    </w:p>
    <w:p>
      <w:pPr>
        <w:spacing w:after="0" w:line="62" w:lineRule="exact"/>
        <w:rPr>
          <w:rFonts w:ascii="Arial" w:cs="Arial" w:eastAsia="Arial" w:hAnsi="Arial"/>
          <w:sz w:val="18"/>
          <w:szCs w:val="18"/>
          <w:color w:val="auto"/>
        </w:rPr>
      </w:pPr>
    </w:p>
    <w:p>
      <w:pPr>
        <w:jc w:val="both"/>
        <w:ind w:firstLine="436"/>
        <w:spacing w:after="0" w:line="263" w:lineRule="auto"/>
        <w:tabs>
          <w:tab w:leader="none" w:pos="785"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Duties, Transfer Taxes, Etc</w:t>
      </w:r>
      <w:r>
        <w:rPr>
          <w:rFonts w:ascii="Arial" w:cs="Arial" w:eastAsia="Arial" w:hAnsi="Arial"/>
          <w:sz w:val="18"/>
          <w:szCs w:val="18"/>
          <w:color w:val="auto"/>
        </w:rPr>
        <w:t>. No stamp or other issuance or transfer taxes or duties and no capital gains, income, withholding or other taxes are payable by the Agent in the United States or any political subdivision or taxing authority thereof or therein in connection with the execution, delivery or performance of this Agreement by the Company or the sale and delivery by the Company of the Shares.</w:t>
      </w:r>
    </w:p>
    <w:p>
      <w:pPr>
        <w:spacing w:after="0" w:line="75" w:lineRule="exact"/>
        <w:rPr>
          <w:rFonts w:ascii="Arial" w:cs="Arial" w:eastAsia="Arial" w:hAnsi="Arial"/>
          <w:sz w:val="18"/>
          <w:szCs w:val="18"/>
          <w:color w:val="auto"/>
        </w:rPr>
      </w:pPr>
    </w:p>
    <w:p>
      <w:pPr>
        <w:ind w:right="20" w:firstLine="436"/>
        <w:spacing w:after="0" w:line="287" w:lineRule="auto"/>
        <w:tabs>
          <w:tab w:leader="none" w:pos="725" w:val="left"/>
        </w:tabs>
        <w:numPr>
          <w:ilvl w:val="0"/>
          <w:numId w:val="19"/>
        </w:numPr>
        <w:rPr>
          <w:rFonts w:ascii="Arial" w:cs="Arial" w:eastAsia="Arial" w:hAnsi="Arial"/>
          <w:sz w:val="16"/>
          <w:szCs w:val="16"/>
          <w:color w:val="auto"/>
        </w:rPr>
      </w:pPr>
      <w:r>
        <w:rPr>
          <w:rFonts w:ascii="Arial" w:cs="Arial" w:eastAsia="Arial" w:hAnsi="Arial"/>
          <w:sz w:val="16"/>
          <w:szCs w:val="16"/>
          <w:u w:val="single" w:color="auto"/>
          <w:color w:val="auto"/>
        </w:rPr>
        <w:t>Cybersecurity</w:t>
      </w:r>
      <w:r>
        <w:rPr>
          <w:rFonts w:ascii="Arial" w:cs="Arial" w:eastAsia="Arial" w:hAnsi="Arial"/>
          <w:sz w:val="16"/>
          <w:szCs w:val="16"/>
          <w:color w:val="auto"/>
        </w:rPr>
        <w:t>. The Company’s and its subsidiaries’ information technology assets and equipment, computers, systems, networks, hardware, software, websites, applications, and databases (collectively, “</w:t>
      </w:r>
      <w:r>
        <w:rPr>
          <w:rFonts w:ascii="Arial" w:cs="Arial" w:eastAsia="Arial" w:hAnsi="Arial"/>
          <w:sz w:val="16"/>
          <w:szCs w:val="16"/>
          <w:b w:val="1"/>
          <w:bCs w:val="1"/>
          <w:color w:val="auto"/>
        </w:rPr>
        <w:t>IT Systems</w:t>
      </w:r>
      <w:r>
        <w:rPr>
          <w:rFonts w:ascii="Arial" w:cs="Arial" w:eastAsia="Arial" w:hAnsi="Arial"/>
          <w:sz w:val="16"/>
          <w:szCs w:val="16"/>
          <w:color w:val="auto"/>
        </w:rPr>
        <w:t>”) are adequate for, and operate and perform in all material respects as required in connection with the operation of the business of the Company and its subsidiaries as currently conducted, to the knowledge of the Company, free and clear of all material bugs, errors, defects, Trojan horses, time bombs, malware and other corruptants. The Company and its subsidiaries have implemented and maintained commercially reasonable physical, technical and administrative controls, policies, procedures, and safeguards to maintain and protect their material confidential information and the integrity, continuous operation, redundancy and security of all IT Systems and data, including “Personal Data,” used in connection with their businesses. “</w:t>
      </w:r>
      <w:r>
        <w:rPr>
          <w:rFonts w:ascii="Arial" w:cs="Arial" w:eastAsia="Arial" w:hAnsi="Arial"/>
          <w:sz w:val="16"/>
          <w:szCs w:val="16"/>
          <w:b w:val="1"/>
          <w:bCs w:val="1"/>
          <w:color w:val="auto"/>
        </w:rPr>
        <w:t>Personal Data</w:t>
      </w:r>
      <w:r>
        <w:rPr>
          <w:rFonts w:ascii="Arial" w:cs="Arial" w:eastAsia="Arial" w:hAnsi="Arial"/>
          <w:sz w:val="16"/>
          <w:szCs w:val="16"/>
          <w:color w:val="auto"/>
        </w:rPr>
        <w:t>” means (i) a natural person’s name, street address, telephone number, e-mail address, photograph, social security number or tax identification number, driver’s license number, passport number, credit card number, bank information, or customer or account number; (ii) any information which would qualify as “personally identifying information” under the Federal Trade Commission Act, as amended; (iii) “personal data” as defined by GDPR (as defined below); (iv) any information which would qualify as “protected health information” under the Health Insurance Portability and Accountability Act of 1996, as amended by the Health Information Technology for</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4" w:right="459" w:bottom="1440" w:gutter="0" w:footer="0" w:header="0"/>
        </w:sectPr>
      </w:pPr>
    </w:p>
    <w:bookmarkStart w:id="19" w:name="page20"/>
    <w:bookmarkEnd w:id="19"/>
    <w:p>
      <w:pPr>
        <w:ind w:right="6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Economic and Clinical Health Act (collectively, “</w:t>
      </w:r>
      <w:r>
        <w:rPr>
          <w:rFonts w:ascii="Arial" w:cs="Arial" w:eastAsia="Arial" w:hAnsi="Arial"/>
          <w:sz w:val="18"/>
          <w:szCs w:val="18"/>
          <w:b w:val="1"/>
          <w:bCs w:val="1"/>
          <w:color w:val="auto"/>
        </w:rPr>
        <w:t>HIPAA”</w:t>
      </w:r>
      <w:r>
        <w:rPr>
          <w:rFonts w:ascii="Arial" w:cs="Arial" w:eastAsia="Arial" w:hAnsi="Arial"/>
          <w:sz w:val="18"/>
          <w:szCs w:val="18"/>
          <w:color w:val="auto"/>
        </w:rPr>
        <w:t>); and (v) any other piece of information that allows the identification of such natural person, or his or her family, or permits the collection or analysis of any data related to an identified person’s health or sexual orientation. To the knowledge of the Company, there have been no breaches, violations, outages or unauthorized uses of or accesses to same, except for those that have been remedied without material cost or liability or the duty to notify any other person, nor any incidents under internal review or investigations relating to the same. The Company and its subsidiaries are presently in material compliance with all applicable laws or statutes and all judgments, orders, rules and regulations of any court or arbitrator or governmental or regulatory authority, internal policies and contractual obligations relating to the privacy and security of IT Systems and Personal Data and to the protection of such IT Systems and Personal Data from unauthorized use, access, misappropriation or modification.</w:t>
      </w:r>
    </w:p>
    <w:p>
      <w:pPr>
        <w:spacing w:after="0" w:line="88" w:lineRule="exact"/>
        <w:rPr>
          <w:sz w:val="20"/>
          <w:szCs w:val="20"/>
          <w:color w:val="auto"/>
        </w:rPr>
      </w:pPr>
    </w:p>
    <w:p>
      <w:pPr>
        <w:ind w:firstLine="436"/>
        <w:spacing w:after="0" w:line="268" w:lineRule="auto"/>
        <w:tabs>
          <w:tab w:leader="none" w:pos="745" w:val="left"/>
        </w:tabs>
        <w:numPr>
          <w:ilvl w:val="0"/>
          <w:numId w:val="20"/>
        </w:numPr>
        <w:rPr>
          <w:rFonts w:ascii="Arial" w:cs="Arial" w:eastAsia="Arial" w:hAnsi="Arial"/>
          <w:sz w:val="17"/>
          <w:szCs w:val="17"/>
          <w:color w:val="auto"/>
        </w:rPr>
      </w:pPr>
      <w:r>
        <w:rPr>
          <w:rFonts w:ascii="Arial" w:cs="Arial" w:eastAsia="Arial" w:hAnsi="Arial"/>
          <w:sz w:val="17"/>
          <w:szCs w:val="17"/>
          <w:u w:val="single" w:color="auto"/>
          <w:color w:val="auto"/>
        </w:rPr>
        <w:t>Compliance with Privacy Laws</w:t>
      </w:r>
      <w:r>
        <w:rPr>
          <w:rFonts w:ascii="Arial" w:cs="Arial" w:eastAsia="Arial" w:hAnsi="Arial"/>
          <w:sz w:val="17"/>
          <w:szCs w:val="17"/>
          <w:color w:val="auto"/>
        </w:rPr>
        <w:t>. The Company and its subsidiaries are, and at all prior times were, in material compliance with all applicable state and federal data privacy and security laws and regulations, including without limitation HIPAA, and the Company and its subsidiaries have taken commercially reasonable actions to prepare to comply with, and since May 25, 2018, have been and currently are in compliance with, if and to the extent applicable, the European Union General Data Protection Regulation (“</w:t>
      </w:r>
      <w:r>
        <w:rPr>
          <w:rFonts w:ascii="Arial" w:cs="Arial" w:eastAsia="Arial" w:hAnsi="Arial"/>
          <w:sz w:val="17"/>
          <w:szCs w:val="17"/>
          <w:b w:val="1"/>
          <w:bCs w:val="1"/>
          <w:color w:val="auto"/>
        </w:rPr>
        <w:t>GDPR</w:t>
      </w:r>
      <w:r>
        <w:rPr>
          <w:rFonts w:ascii="Arial" w:cs="Arial" w:eastAsia="Arial" w:hAnsi="Arial"/>
          <w:sz w:val="17"/>
          <w:szCs w:val="17"/>
          <w:color w:val="auto"/>
        </w:rPr>
        <w:t>”) (EU 2016/679) in all material respects (collectively, the “</w:t>
      </w:r>
      <w:r>
        <w:rPr>
          <w:rFonts w:ascii="Arial" w:cs="Arial" w:eastAsia="Arial" w:hAnsi="Arial"/>
          <w:sz w:val="17"/>
          <w:szCs w:val="17"/>
          <w:b w:val="1"/>
          <w:bCs w:val="1"/>
          <w:color w:val="auto"/>
        </w:rPr>
        <w:t>Privacy</w:t>
      </w:r>
      <w:r>
        <w:rPr>
          <w:rFonts w:ascii="Arial" w:cs="Arial" w:eastAsia="Arial" w:hAnsi="Arial"/>
          <w:sz w:val="17"/>
          <w:szCs w:val="17"/>
          <w:color w:val="auto"/>
        </w:rPr>
        <w:t xml:space="preserve"> </w:t>
      </w:r>
      <w:r>
        <w:rPr>
          <w:rFonts w:ascii="Arial" w:cs="Arial" w:eastAsia="Arial" w:hAnsi="Arial"/>
          <w:sz w:val="17"/>
          <w:szCs w:val="17"/>
          <w:b w:val="1"/>
          <w:bCs w:val="1"/>
          <w:color w:val="auto"/>
        </w:rPr>
        <w:t>Laws</w:t>
      </w:r>
      <w:r>
        <w:rPr>
          <w:rFonts w:ascii="Arial" w:cs="Arial" w:eastAsia="Arial" w:hAnsi="Arial"/>
          <w:sz w:val="17"/>
          <w:szCs w:val="17"/>
          <w:color w:val="auto"/>
        </w:rPr>
        <w:t>”) To ensure compliance with the Privacy Laws, the Company and its subsidiaries have in place, comply with, and take appropriate steps</w:t>
      </w:r>
      <w:r>
        <w:rPr>
          <w:rFonts w:ascii="Arial" w:cs="Arial" w:eastAsia="Arial" w:hAnsi="Arial"/>
          <w:sz w:val="17"/>
          <w:szCs w:val="17"/>
          <w:b w:val="1"/>
          <w:bCs w:val="1"/>
          <w:color w:val="auto"/>
        </w:rPr>
        <w:t xml:space="preserve"> </w:t>
      </w:r>
      <w:r>
        <w:rPr>
          <w:rFonts w:ascii="Arial" w:cs="Arial" w:eastAsia="Arial" w:hAnsi="Arial"/>
          <w:sz w:val="17"/>
          <w:szCs w:val="17"/>
          <w:color w:val="auto"/>
        </w:rPr>
        <w:t>reasonably designed to ensure compliance in all material respects with their policies and procedures relating to data privacy and security and the collection, storage, use, disclosure, handling, and analysis of Personal Data (the “</w:t>
      </w:r>
      <w:r>
        <w:rPr>
          <w:rFonts w:ascii="Arial" w:cs="Arial" w:eastAsia="Arial" w:hAnsi="Arial"/>
          <w:sz w:val="17"/>
          <w:szCs w:val="17"/>
          <w:b w:val="1"/>
          <w:bCs w:val="1"/>
          <w:color w:val="auto"/>
        </w:rPr>
        <w:t>Policies</w:t>
      </w:r>
      <w:r>
        <w:rPr>
          <w:rFonts w:ascii="Arial" w:cs="Arial" w:eastAsia="Arial" w:hAnsi="Arial"/>
          <w:sz w:val="17"/>
          <w:szCs w:val="17"/>
          <w:color w:val="auto"/>
        </w:rPr>
        <w:t>”). The Company and its subsidiaries have at all times made all disclosures to users or customers required by applicable laws and regulatory rules or requirements, and none of such disclosures made or contained in any Policy have, to the knowledge of the Company, been inaccurate or in violation of any applicable laws and regulatory rules or requirements in any material respect. The Company further certifies that neither it nor any subsidiary: (i) has received notice of any actual or potential liability under or relating to, or actual or potential violation of, any of the Privacy Laws, and has no knowledge of any event or condition that would reasonably be expected to result in any such notice; (ii) is currently conducting or paying for, in whole or in part, any investigation, remediation, or other corrective action pursuant to any Privacy Law; or (iii) is a party to any order, decree, or agreement that imposes any obligation or liability by any governmental or regulatory authority under any Privacy Law.</w:t>
      </w:r>
    </w:p>
    <w:p>
      <w:pPr>
        <w:spacing w:after="0" w:line="76" w:lineRule="exact"/>
        <w:rPr>
          <w:rFonts w:ascii="Arial" w:cs="Arial" w:eastAsia="Arial" w:hAnsi="Arial"/>
          <w:sz w:val="17"/>
          <w:szCs w:val="17"/>
          <w:color w:val="auto"/>
        </w:rPr>
      </w:pPr>
    </w:p>
    <w:p>
      <w:pPr>
        <w:ind w:right="740" w:firstLine="436"/>
        <w:spacing w:after="0" w:line="277" w:lineRule="auto"/>
        <w:tabs>
          <w:tab w:leader="none" w:pos="705"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Other Sales Agreements</w:t>
      </w:r>
      <w:r>
        <w:rPr>
          <w:rFonts w:ascii="Arial" w:cs="Arial" w:eastAsia="Arial" w:hAnsi="Arial"/>
          <w:sz w:val="18"/>
          <w:szCs w:val="18"/>
          <w:color w:val="auto"/>
        </w:rPr>
        <w:t>. The Company is not a party to any agreement with an agent or underwriter for any other “at the market” or continuous equity transaction.</w:t>
      </w:r>
    </w:p>
    <w:p>
      <w:pPr>
        <w:spacing w:after="0" w:line="62" w:lineRule="exact"/>
        <w:rPr>
          <w:rFonts w:ascii="Arial" w:cs="Arial" w:eastAsia="Arial" w:hAnsi="Arial"/>
          <w:sz w:val="18"/>
          <w:szCs w:val="18"/>
          <w:color w:val="auto"/>
        </w:rPr>
      </w:pPr>
    </w:p>
    <w:p>
      <w:pPr>
        <w:ind w:firstLine="436"/>
        <w:spacing w:after="0" w:line="272" w:lineRule="auto"/>
        <w:tabs>
          <w:tab w:leader="none" w:pos="785" w:val="left"/>
        </w:tabs>
        <w:numPr>
          <w:ilvl w:val="0"/>
          <w:numId w:val="20"/>
        </w:numPr>
        <w:rPr>
          <w:rFonts w:ascii="Arial" w:cs="Arial" w:eastAsia="Arial" w:hAnsi="Arial"/>
          <w:sz w:val="17"/>
          <w:szCs w:val="17"/>
          <w:color w:val="auto"/>
        </w:rPr>
      </w:pPr>
      <w:r>
        <w:rPr>
          <w:rFonts w:ascii="Arial" w:cs="Arial" w:eastAsia="Arial" w:hAnsi="Arial"/>
          <w:sz w:val="17"/>
          <w:szCs w:val="17"/>
          <w:u w:val="single" w:color="auto"/>
          <w:color w:val="auto"/>
        </w:rPr>
        <w:t>Compliance with Health Care Laws</w:t>
      </w:r>
      <w:r>
        <w:rPr>
          <w:rFonts w:ascii="Arial" w:cs="Arial" w:eastAsia="Arial" w:hAnsi="Arial"/>
          <w:sz w:val="17"/>
          <w:szCs w:val="17"/>
          <w:color w:val="auto"/>
        </w:rPr>
        <w:t>. The Company and its subsidiaries are, and at all times have been, in compliance with all Health Care Laws. For purposes of this Agreement, “Health Care Laws” means: (i) the Federal Food, Drug, and Cosmetic Act (21 U.S.C. Section 301 et seq.), the Public Health Service Act (42 U.S.C. Section 201 et seq.), and the regulations promulgated thereunder; (ii) all applicable federal and state health care fraud and abuse laws, including, without limitation, the federal Anti-Kickback Statute (42 U.S.C. Section 1320a-7b(b)), the federal Civil False Claims Act (31 U.S.C. Section 3729 et seq.), the criminal false statements law (42 U.S.C. Section 1320a-7b(a)), 18 U.S.C. Sections 286 and 287, the health care fraud criminal provisions under the U.S. Health Insurance Portability and Accountability Act of 1996 (“</w:t>
      </w:r>
      <w:r>
        <w:rPr>
          <w:rFonts w:ascii="Arial" w:cs="Arial" w:eastAsia="Arial" w:hAnsi="Arial"/>
          <w:sz w:val="17"/>
          <w:szCs w:val="17"/>
          <w:b w:val="1"/>
          <w:bCs w:val="1"/>
          <w:color w:val="auto"/>
        </w:rPr>
        <w:t>HIPAA</w:t>
      </w:r>
      <w:r>
        <w:rPr>
          <w:rFonts w:ascii="Arial" w:cs="Arial" w:eastAsia="Arial" w:hAnsi="Arial"/>
          <w:sz w:val="17"/>
          <w:szCs w:val="17"/>
          <w:color w:val="auto"/>
        </w:rPr>
        <w:t>”) (42 U.S.C. Section 1320d et seq.), the civil monetary penalties law (42 U.S.C. Section</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80"/>
          </w:cols>
          <w:pgMar w:left="440" w:top="270" w:right="479" w:bottom="1440" w:gutter="0" w:footer="0" w:header="0"/>
        </w:sectPr>
      </w:pPr>
    </w:p>
    <w:bookmarkStart w:id="20" w:name="page21"/>
    <w:bookmarkEnd w:id="20"/>
    <w:p>
      <w:pPr>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1320a-7a), the exclusion law (42 U.S.C. Section 1320a-7), the Physician Payments Sunshine Act (42 U.S.C. Section 1320-7h), and the rules and regulations promulgated thereunder by the Food and Drug Administration; (iii) HIPAA, as amended by the Health Information Technology for Economic and Clinical Health Act (42 U.S.C. Section 17921 et seq.); (iv) licensure, quality, safety and accreditation requirements under applicable federal, state, local or foreign laws or regulatory bodies; and (v) all other local, state, federal, national, supranational and foreign laws, relating to the regulation of the Company or its subsidiaries, and (vi) the directives and regulations promulgated pursuant to such statutes and any state or non-U.S. counterpart thereof. Neither the Company nor any of its subsidiaries has received written notice of any claim, action, suit, proceeding, hearing, enforcement, investigation, arbitration or other action from any court or arbitrator or governmental or regulatory authority or third party alleging that any product operation or activity is in violation of any Health Care Laws nor, to the Company’s knowledge, is any such claim, action, suit, proceeding, hearing, enforcement, investigation, arbitration or other action threatened related to any Health Care Laws. The Company and its subsidiaries have filed, maintained or submitted all material reports, documents, forms, notices, applications, records, claims, submissions and supplements or amendments as required by any Health Care Laws, and all such reports, documents, forms, notices, applications, records, claims, submissions and supplements or amendments were complete and accurate on the date filed in all material respects (or were corrected or supplemented by a subsequent submission). Neither the Company nor any of its subsidiaries is a party to any corporate integrity agreements, monitoring agreements, consent decrees, settlement orders, or similar agreements with or imposed by any governmental or regulatory authority related to a violation of Health Care Laws. Additionally, neither the Company, any of its subsidiaries nor, to its knowledge, any of their respective employees, officers, directors, or agents has been excluded, suspended or debarred from participation in any U.S. federal health care program or human clinical research or, to the knowledge of the Company, is subject to a governmental inquiry, investigation, proceeding, or other similar action that could reasonably be expected to result in debarment, suspension, or exclusion.</w:t>
      </w:r>
    </w:p>
    <w:p>
      <w:pPr>
        <w:spacing w:after="0" w:line="190" w:lineRule="exact"/>
        <w:rPr>
          <w:sz w:val="20"/>
          <w:szCs w:val="20"/>
          <w:color w:val="auto"/>
        </w:rPr>
      </w:pPr>
    </w:p>
    <w:p>
      <w:pPr>
        <w:ind w:right="180" w:firstLine="440"/>
        <w:spacing w:after="0" w:line="263" w:lineRule="auto"/>
        <w:rPr>
          <w:sz w:val="20"/>
          <w:szCs w:val="20"/>
          <w:color w:val="auto"/>
        </w:rPr>
      </w:pPr>
      <w:r>
        <w:rPr>
          <w:rFonts w:ascii="Arial" w:cs="Arial" w:eastAsia="Arial" w:hAnsi="Arial"/>
          <w:sz w:val="18"/>
          <w:szCs w:val="18"/>
          <w:color w:val="auto"/>
        </w:rPr>
        <w:t>Any certificate signed by any officer or representative of the Company or any of its subsidiaries and delivered to the Agent or counsel for the Agent in connection with an issuance of Shares shall be deemed a representation and warranty by the Company to the Agent as to the matters covered thereby on the date of such certificate.</w:t>
      </w:r>
    </w:p>
    <w:p>
      <w:pPr>
        <w:spacing w:after="0" w:line="184" w:lineRule="exact"/>
        <w:rPr>
          <w:sz w:val="20"/>
          <w:szCs w:val="20"/>
          <w:color w:val="auto"/>
        </w:rPr>
      </w:pPr>
    </w:p>
    <w:p>
      <w:pPr>
        <w:ind w:right="140" w:firstLine="440"/>
        <w:spacing w:after="0" w:line="342" w:lineRule="auto"/>
        <w:rPr>
          <w:sz w:val="20"/>
          <w:szCs w:val="20"/>
          <w:color w:val="auto"/>
        </w:rPr>
      </w:pPr>
      <w:r>
        <w:rPr>
          <w:rFonts w:ascii="Arial" w:cs="Arial" w:eastAsia="Arial" w:hAnsi="Arial"/>
          <w:sz w:val="16"/>
          <w:szCs w:val="16"/>
          <w:color w:val="auto"/>
        </w:rPr>
        <w:t xml:space="preserve">The Company acknowledges that the Agent and, for purposes of the opinions to be delivered pursuant to </w:t>
      </w:r>
      <w:r>
        <w:rPr>
          <w:rFonts w:ascii="Arial" w:cs="Arial" w:eastAsia="Arial" w:hAnsi="Arial"/>
          <w:sz w:val="16"/>
          <w:szCs w:val="16"/>
          <w:u w:val="single" w:color="auto"/>
          <w:color w:val="auto"/>
        </w:rPr>
        <w:t>Section 4(o)</w:t>
      </w:r>
      <w:r>
        <w:rPr>
          <w:rFonts w:ascii="Arial" w:cs="Arial" w:eastAsia="Arial" w:hAnsi="Arial"/>
          <w:sz w:val="16"/>
          <w:szCs w:val="16"/>
          <w:color w:val="auto"/>
        </w:rPr>
        <w:t xml:space="preserve"> hereof, counsel to the Company and counsel to the Agent, will rely upon the accuracy and truthfulness of the foregoing representations and hereby consents to such reliance.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 ISSUANCE AND SALE OF COMMON SHARES</w:t>
      </w:r>
    </w:p>
    <w:p>
      <w:pPr>
        <w:spacing w:after="0" w:line="121" w:lineRule="exact"/>
        <w:rPr>
          <w:sz w:val="20"/>
          <w:szCs w:val="20"/>
          <w:color w:val="auto"/>
        </w:rPr>
      </w:pPr>
    </w:p>
    <w:p>
      <w:pPr>
        <w:ind w:right="40" w:firstLine="436"/>
        <w:spacing w:after="0" w:line="259" w:lineRule="auto"/>
        <w:tabs>
          <w:tab w:leader="none" w:pos="685"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Sale of Securities</w:t>
      </w:r>
      <w:r>
        <w:rPr>
          <w:rFonts w:ascii="Arial" w:cs="Arial" w:eastAsia="Arial" w:hAnsi="Arial"/>
          <w:sz w:val="18"/>
          <w:szCs w:val="18"/>
          <w:color w:val="auto"/>
        </w:rPr>
        <w:t>. On the basis of the representations, warranties and agreements herein contained, but subject to the terms and conditions herein set forth, the Company and the Agent agree that the Company may from time to time seek to sell Shares through the Agent, acting as sales agent, or directly to the Agent, acting as principal, as follows, with an aggregate Sales Price of up to the Maximum Program Amount, based on and in accordance with Issuance Notices as the Company may deliver, during the Agency Period.</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80"/>
          </w:cols>
          <w:pgMar w:left="440" w:top="274" w:right="479" w:bottom="1440" w:gutter="0" w:footer="0" w:header="0"/>
        </w:sectPr>
      </w:pPr>
    </w:p>
    <w:bookmarkStart w:id="21" w:name="page22"/>
    <w:bookmarkEnd w:id="21"/>
    <w:p>
      <w:pPr>
        <w:ind w:left="704" w:hanging="264"/>
        <w:spacing w:after="0"/>
        <w:tabs>
          <w:tab w:leader="none" w:pos="704"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Mechanics of Issuances</w:t>
      </w:r>
      <w:r>
        <w:rPr>
          <w:rFonts w:ascii="Arial" w:cs="Arial" w:eastAsia="Arial" w:hAnsi="Arial"/>
          <w:sz w:val="18"/>
          <w:szCs w:val="18"/>
          <w:color w:val="auto"/>
        </w:rPr>
        <w:t>.</w:t>
      </w:r>
    </w:p>
    <w:p>
      <w:pPr>
        <w:spacing w:after="0" w:line="117" w:lineRule="exact"/>
        <w:rPr>
          <w:sz w:val="20"/>
          <w:szCs w:val="20"/>
          <w:color w:val="auto"/>
        </w:rPr>
      </w:pPr>
    </w:p>
    <w:p>
      <w:pPr>
        <w:ind w:left="4" w:right="260" w:firstLine="436"/>
        <w:spacing w:after="0" w:line="287" w:lineRule="auto"/>
        <w:tabs>
          <w:tab w:leader="none" w:pos="659" w:val="left"/>
        </w:tabs>
        <w:numPr>
          <w:ilvl w:val="1"/>
          <w:numId w:val="23"/>
        </w:numPr>
        <w:rPr>
          <w:rFonts w:ascii="Arial" w:cs="Arial" w:eastAsia="Arial" w:hAnsi="Arial"/>
          <w:sz w:val="16"/>
          <w:szCs w:val="16"/>
          <w:color w:val="auto"/>
        </w:rPr>
      </w:pPr>
      <w:r>
        <w:rPr>
          <w:rFonts w:ascii="Arial" w:cs="Arial" w:eastAsia="Arial" w:hAnsi="Arial"/>
          <w:sz w:val="16"/>
          <w:szCs w:val="16"/>
          <w:u w:val="single" w:color="auto"/>
          <w:color w:val="auto"/>
        </w:rPr>
        <w:t>Issuance Notice</w:t>
      </w:r>
      <w:r>
        <w:rPr>
          <w:rFonts w:ascii="Arial" w:cs="Arial" w:eastAsia="Arial" w:hAnsi="Arial"/>
          <w:sz w:val="16"/>
          <w:szCs w:val="16"/>
          <w:color w:val="auto"/>
        </w:rPr>
        <w:t xml:space="preserve">. Upon the terms and subject to the conditions set forth herein, on any Trading Day during the Agency Period on which the conditions set forth in </w:t>
      </w:r>
      <w:r>
        <w:rPr>
          <w:rFonts w:ascii="Arial" w:cs="Arial" w:eastAsia="Arial" w:hAnsi="Arial"/>
          <w:sz w:val="16"/>
          <w:szCs w:val="16"/>
          <w:u w:val="single" w:color="auto"/>
          <w:color w:val="auto"/>
        </w:rPr>
        <w:t>Section 5(a)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5(b)</w:t>
      </w:r>
      <w:r>
        <w:rPr>
          <w:rFonts w:ascii="Arial" w:cs="Arial" w:eastAsia="Arial" w:hAnsi="Arial"/>
          <w:sz w:val="16"/>
          <w:szCs w:val="16"/>
          <w:color w:val="auto"/>
        </w:rPr>
        <w:t xml:space="preserve"> shall have been satisfied, the Company may exercise its right to request an issuance of Shares by delivering to the Agent an Issuance Notice; </w:t>
      </w:r>
      <w:r>
        <w:rPr>
          <w:rFonts w:ascii="Arial" w:cs="Arial" w:eastAsia="Arial" w:hAnsi="Arial"/>
          <w:sz w:val="16"/>
          <w:szCs w:val="16"/>
          <w:i w:val="1"/>
          <w:iCs w:val="1"/>
          <w:color w:val="auto"/>
        </w:rPr>
        <w:t>provided, however</w:t>
      </w:r>
      <w:r>
        <w:rPr>
          <w:rFonts w:ascii="Arial" w:cs="Arial" w:eastAsia="Arial" w:hAnsi="Arial"/>
          <w:sz w:val="16"/>
          <w:szCs w:val="16"/>
          <w:color w:val="auto"/>
        </w:rPr>
        <w:t>, that (A) in no event may the Company deliver an Issuance Notice to the extent that</w:t>
      </w:r>
    </w:p>
    <w:p>
      <w:pPr>
        <w:spacing w:after="0" w:line="2" w:lineRule="exact"/>
        <w:rPr>
          <w:rFonts w:ascii="Arial" w:cs="Arial" w:eastAsia="Arial" w:hAnsi="Arial"/>
          <w:sz w:val="16"/>
          <w:szCs w:val="16"/>
          <w:color w:val="auto"/>
        </w:rPr>
      </w:pPr>
    </w:p>
    <w:p>
      <w:pPr>
        <w:ind w:left="4" w:right="120" w:hanging="4"/>
        <w:spacing w:after="0" w:line="252" w:lineRule="auto"/>
        <w:tabs>
          <w:tab w:leader="none" w:pos="229"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sum of (x) the aggregate Sales Price of the requested Issuance Amount, plus (y) the aggregate Sales Price of all Shares issued under all previous Issuance Notices effected pursuant to this Agreement, would exceed the Maximum Program Amount; and (B) prior to delivery of any Issuance Notice, the period set forth for any previous Issuance Notice shall have expired or been terminated. An Issuance Notice shall be considered delivered on the Trading Day that it is received by e-mail to the persons set forth in Schedule A hereto and confirmed by the Company by telephone (including a voicemail message to the persons so identified), with the understanding that, with adequate prior written notice, the Agent may modify the list of such persons from time to time.</w:t>
      </w:r>
    </w:p>
    <w:p>
      <w:pPr>
        <w:spacing w:after="0" w:line="85" w:lineRule="exact"/>
        <w:rPr>
          <w:rFonts w:ascii="Arial" w:cs="Arial" w:eastAsia="Arial" w:hAnsi="Arial"/>
          <w:sz w:val="18"/>
          <w:szCs w:val="18"/>
          <w:color w:val="auto"/>
        </w:rPr>
      </w:pPr>
    </w:p>
    <w:p>
      <w:pPr>
        <w:ind w:left="4" w:firstLine="436"/>
        <w:spacing w:after="0" w:line="296" w:lineRule="auto"/>
        <w:tabs>
          <w:tab w:leader="none" w:pos="709" w:val="left"/>
        </w:tabs>
        <w:numPr>
          <w:ilvl w:val="1"/>
          <w:numId w:val="24"/>
        </w:numPr>
        <w:rPr>
          <w:rFonts w:ascii="Arial" w:cs="Arial" w:eastAsia="Arial" w:hAnsi="Arial"/>
          <w:sz w:val="16"/>
          <w:szCs w:val="16"/>
          <w:color w:val="auto"/>
        </w:rPr>
      </w:pPr>
      <w:r>
        <w:rPr>
          <w:rFonts w:ascii="Arial" w:cs="Arial" w:eastAsia="Arial" w:hAnsi="Arial"/>
          <w:sz w:val="16"/>
          <w:szCs w:val="16"/>
          <w:u w:val="single" w:color="auto"/>
          <w:color w:val="auto"/>
        </w:rPr>
        <w:t>Agent Efforts</w:t>
      </w:r>
      <w:r>
        <w:rPr>
          <w:rFonts w:ascii="Arial" w:cs="Arial" w:eastAsia="Arial" w:hAnsi="Arial"/>
          <w:sz w:val="16"/>
          <w:szCs w:val="16"/>
          <w:color w:val="auto"/>
        </w:rPr>
        <w:t>. Upon the terms and subject to the conditions set forth in this Agreement, upon the receipt of an Issuance Notice, the Agent will use its commercially reasonable efforts consistent with its normal sales and trading practices to place the Shares with respect to which the Agent has agreed to act as sales agent, subject to, and in accordance with the information specified in, the Issuance Notice, unless the sale of the Shares described therein has been suspended, cancelled or otherwise terminated in accordance with the terms of this Agreement. For the avoidance of doubt, the parties to this Agreement may modify an Issuance Notice at any time provided they both agree in writing to any such modification.</w:t>
      </w:r>
    </w:p>
    <w:p>
      <w:pPr>
        <w:spacing w:after="0" w:line="53" w:lineRule="exact"/>
        <w:rPr>
          <w:rFonts w:ascii="Arial" w:cs="Arial" w:eastAsia="Arial" w:hAnsi="Arial"/>
          <w:sz w:val="16"/>
          <w:szCs w:val="16"/>
          <w:color w:val="auto"/>
        </w:rPr>
      </w:pPr>
    </w:p>
    <w:p>
      <w:pPr>
        <w:ind w:left="764" w:hanging="324"/>
        <w:spacing w:after="0"/>
        <w:tabs>
          <w:tab w:leader="none" w:pos="764" w:val="left"/>
        </w:tabs>
        <w:numPr>
          <w:ilvl w:val="1"/>
          <w:numId w:val="24"/>
        </w:numPr>
        <w:rPr>
          <w:rFonts w:ascii="Arial" w:cs="Arial" w:eastAsia="Arial" w:hAnsi="Arial"/>
          <w:sz w:val="16"/>
          <w:szCs w:val="16"/>
          <w:color w:val="auto"/>
        </w:rPr>
      </w:pPr>
      <w:r>
        <w:rPr>
          <w:rFonts w:ascii="Arial" w:cs="Arial" w:eastAsia="Arial" w:hAnsi="Arial"/>
          <w:sz w:val="16"/>
          <w:szCs w:val="16"/>
          <w:u w:val="single" w:color="auto"/>
          <w:color w:val="auto"/>
        </w:rPr>
        <w:t>Method of Offer and Sale</w:t>
      </w:r>
      <w:r>
        <w:rPr>
          <w:rFonts w:ascii="Arial" w:cs="Arial" w:eastAsia="Arial" w:hAnsi="Arial"/>
          <w:sz w:val="16"/>
          <w:szCs w:val="16"/>
          <w:color w:val="auto"/>
        </w:rPr>
        <w:t>. The Shares may be offered and sold (A) in privately negotiated transactions with the consent of the Company;</w:t>
      </w:r>
    </w:p>
    <w:p>
      <w:pPr>
        <w:spacing w:after="0" w:line="46" w:lineRule="exact"/>
        <w:rPr>
          <w:sz w:val="20"/>
          <w:szCs w:val="20"/>
          <w:color w:val="auto"/>
        </w:rPr>
      </w:pPr>
    </w:p>
    <w:p>
      <w:pPr>
        <w:ind w:left="4" w:right="100" w:hanging="4"/>
        <w:spacing w:after="0" w:line="295" w:lineRule="auto"/>
        <w:tabs>
          <w:tab w:leader="none" w:pos="289" w:val="left"/>
        </w:tabs>
        <w:numPr>
          <w:ilvl w:val="0"/>
          <w:numId w:val="25"/>
        </w:numPr>
        <w:rPr>
          <w:rFonts w:ascii="Arial" w:cs="Arial" w:eastAsia="Arial" w:hAnsi="Arial"/>
          <w:sz w:val="16"/>
          <w:szCs w:val="16"/>
          <w:color w:val="auto"/>
        </w:rPr>
      </w:pPr>
      <w:r>
        <w:rPr>
          <w:rFonts w:ascii="Arial" w:cs="Arial" w:eastAsia="Arial" w:hAnsi="Arial"/>
          <w:sz w:val="16"/>
          <w:szCs w:val="16"/>
          <w:color w:val="auto"/>
        </w:rPr>
        <w:t>as block transactions; or (C) by any other method permitted by law deemed to be an “at the market offering” as defined in Rule 415(a)(4) under the Securities Act, including sales made directly on the Principal Market or sales made into any other existing trading market of the Common Shares. Nothing in this Agreement shall be deemed to require either party to agree to the method of offer and sale specified in the preceding sentence, and (except as specified in clauses (A) and (B) above) the method of placement of any Shares by the Agent shall be at the Agent’s discretion.</w:t>
      </w:r>
    </w:p>
    <w:p>
      <w:pPr>
        <w:spacing w:after="0" w:line="53" w:lineRule="exact"/>
        <w:rPr>
          <w:rFonts w:ascii="Arial" w:cs="Arial" w:eastAsia="Arial" w:hAnsi="Arial"/>
          <w:sz w:val="16"/>
          <w:szCs w:val="16"/>
          <w:color w:val="auto"/>
        </w:rPr>
      </w:pPr>
    </w:p>
    <w:p>
      <w:pPr>
        <w:ind w:left="4" w:right="60" w:firstLine="436"/>
        <w:spacing w:after="0" w:line="286" w:lineRule="auto"/>
        <w:tabs>
          <w:tab w:leader="none" w:pos="749" w:val="left"/>
        </w:tabs>
        <w:numPr>
          <w:ilvl w:val="1"/>
          <w:numId w:val="25"/>
        </w:numPr>
        <w:rPr>
          <w:rFonts w:ascii="Arial" w:cs="Arial" w:eastAsia="Arial" w:hAnsi="Arial"/>
          <w:sz w:val="17"/>
          <w:szCs w:val="17"/>
          <w:color w:val="auto"/>
        </w:rPr>
      </w:pPr>
      <w:r>
        <w:rPr>
          <w:rFonts w:ascii="Arial" w:cs="Arial" w:eastAsia="Arial" w:hAnsi="Arial"/>
          <w:sz w:val="17"/>
          <w:szCs w:val="17"/>
          <w:u w:val="single" w:color="auto"/>
          <w:color w:val="auto"/>
        </w:rPr>
        <w:t>Confirmation to the Company</w:t>
      </w:r>
      <w:r>
        <w:rPr>
          <w:rFonts w:ascii="Arial" w:cs="Arial" w:eastAsia="Arial" w:hAnsi="Arial"/>
          <w:sz w:val="17"/>
          <w:szCs w:val="17"/>
          <w:color w:val="auto"/>
        </w:rPr>
        <w:t>. If acting as sales agent hereunder, the Agent will provide written confirmation to the Company no later than the opening of the Trading Day next following the Trading Day on which it has placed Shares hereunder setting forth the number of shares sold on such Trading Day, the corresponding Sales Price and the Issuance Price payable to the Company in respect thereof.</w:t>
      </w:r>
    </w:p>
    <w:p>
      <w:pPr>
        <w:spacing w:after="0" w:line="57" w:lineRule="exact"/>
        <w:rPr>
          <w:rFonts w:ascii="Arial" w:cs="Arial" w:eastAsia="Arial" w:hAnsi="Arial"/>
          <w:sz w:val="17"/>
          <w:szCs w:val="17"/>
          <w:color w:val="auto"/>
        </w:rPr>
      </w:pPr>
    </w:p>
    <w:p>
      <w:pPr>
        <w:ind w:left="4" w:right="20" w:firstLine="436"/>
        <w:spacing w:after="0" w:line="275" w:lineRule="auto"/>
        <w:tabs>
          <w:tab w:leader="none" w:pos="699" w:val="left"/>
        </w:tabs>
        <w:numPr>
          <w:ilvl w:val="1"/>
          <w:numId w:val="25"/>
        </w:numPr>
        <w:rPr>
          <w:rFonts w:ascii="Arial" w:cs="Arial" w:eastAsia="Arial" w:hAnsi="Arial"/>
          <w:sz w:val="17"/>
          <w:szCs w:val="17"/>
          <w:color w:val="auto"/>
        </w:rPr>
      </w:pPr>
      <w:r>
        <w:rPr>
          <w:rFonts w:ascii="Arial" w:cs="Arial" w:eastAsia="Arial" w:hAnsi="Arial"/>
          <w:sz w:val="17"/>
          <w:szCs w:val="17"/>
          <w:u w:val="single" w:color="auto"/>
          <w:color w:val="auto"/>
        </w:rPr>
        <w:t>Settlement</w:t>
      </w:r>
      <w:r>
        <w:rPr>
          <w:rFonts w:ascii="Arial" w:cs="Arial" w:eastAsia="Arial" w:hAnsi="Arial"/>
          <w:sz w:val="17"/>
          <w:szCs w:val="17"/>
          <w:color w:val="auto"/>
        </w:rPr>
        <w:t xml:space="preserve">. Each issuance of Shares will be settled on the applicable Settlement Date for such issuance of Shares and, subject to the provisions of </w:t>
      </w:r>
      <w:r>
        <w:rPr>
          <w:rFonts w:ascii="Arial" w:cs="Arial" w:eastAsia="Arial" w:hAnsi="Arial"/>
          <w:sz w:val="17"/>
          <w:szCs w:val="17"/>
          <w:u w:val="single" w:color="auto"/>
          <w:color w:val="auto"/>
        </w:rPr>
        <w:t>Section 5</w:t>
      </w:r>
      <w:r>
        <w:rPr>
          <w:rFonts w:ascii="Arial" w:cs="Arial" w:eastAsia="Arial" w:hAnsi="Arial"/>
          <w:sz w:val="17"/>
          <w:szCs w:val="17"/>
          <w:color w:val="auto"/>
        </w:rPr>
        <w:t>, on or before each Settlement Date, the Company will, or will cause its transfer agent to, electronically transfer the Shares being sold by crediting the Agent or its designee’s account at The Depository Trust Company through its Deposit/Withdrawal At Custodian (DWAC) System, or by such other means of delivery as may be mutually agreed upon by the parties hereto and, upon receipt of such Shares, which in all cases shall be freely tradable, transferable, registered shares in good deliverable form,</w:t>
      </w:r>
    </w:p>
    <w:p>
      <w:pPr>
        <w:spacing w:after="0" w:line="10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84"/>
          </w:cols>
          <w:pgMar w:left="436" w:top="274" w:right="479" w:bottom="1440" w:gutter="0" w:footer="0" w:header="0"/>
        </w:sectPr>
      </w:pPr>
    </w:p>
    <w:bookmarkStart w:id="22" w:name="page23"/>
    <w:bookmarkEnd w:id="22"/>
    <w:p>
      <w:pPr>
        <w:ind w:right="1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Agent will deliver, by wire transfer of immediately available funds, the related Issuance Price in same day funds delivered to an account designated by the Company prior to the Settlement Date. The Company may sell Shares to the Agent as principal at a price agreed upon at each relevant time Shares are sold pursuant to this Agreement (each, a “</w:t>
      </w:r>
      <w:r>
        <w:rPr>
          <w:rFonts w:ascii="Arial" w:cs="Arial" w:eastAsia="Arial" w:hAnsi="Arial"/>
          <w:sz w:val="18"/>
          <w:szCs w:val="18"/>
          <w:b w:val="1"/>
          <w:bCs w:val="1"/>
          <w:color w:val="auto"/>
        </w:rPr>
        <w:t>Time of Sale</w:t>
      </w:r>
      <w:r>
        <w:rPr>
          <w:rFonts w:ascii="Arial" w:cs="Arial" w:eastAsia="Arial" w:hAnsi="Arial"/>
          <w:sz w:val="18"/>
          <w:szCs w:val="18"/>
          <w:color w:val="auto"/>
        </w:rPr>
        <w:t>”).</w:t>
      </w:r>
    </w:p>
    <w:p>
      <w:pPr>
        <w:spacing w:after="0" w:line="76" w:lineRule="exact"/>
        <w:rPr>
          <w:sz w:val="20"/>
          <w:szCs w:val="20"/>
          <w:color w:val="auto"/>
        </w:rPr>
      </w:pPr>
    </w:p>
    <w:p>
      <w:pPr>
        <w:ind w:firstLine="436"/>
        <w:spacing w:after="0" w:line="287" w:lineRule="auto"/>
        <w:tabs>
          <w:tab w:leader="none" w:pos="745" w:val="left"/>
        </w:tabs>
        <w:numPr>
          <w:ilvl w:val="0"/>
          <w:numId w:val="26"/>
        </w:numPr>
        <w:rPr>
          <w:rFonts w:ascii="Arial" w:cs="Arial" w:eastAsia="Arial" w:hAnsi="Arial"/>
          <w:sz w:val="16"/>
          <w:szCs w:val="16"/>
          <w:color w:val="auto"/>
        </w:rPr>
      </w:pPr>
      <w:r>
        <w:rPr>
          <w:rFonts w:ascii="Arial" w:cs="Arial" w:eastAsia="Arial" w:hAnsi="Arial"/>
          <w:sz w:val="16"/>
          <w:szCs w:val="16"/>
          <w:u w:val="single" w:color="auto"/>
          <w:color w:val="auto"/>
        </w:rPr>
        <w:t>Suspension or Termination of Sales</w:t>
      </w:r>
      <w:r>
        <w:rPr>
          <w:rFonts w:ascii="Arial" w:cs="Arial" w:eastAsia="Arial" w:hAnsi="Arial"/>
          <w:sz w:val="16"/>
          <w:szCs w:val="16"/>
          <w:color w:val="auto"/>
        </w:rPr>
        <w:t xml:space="preserve">. Consistent with standard market settlement practices, the Company or the Agent may, upon notice to the other party hereto in writing or by telephone (confirmed immediately by verifiable email), suspend any sale of Shares, and the period set forth in an Issuance Notice shall immediately terminate;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(A) such suspension and termination shall not affect or impair either party’s obligations with respect to any Shares placed or sold hereunder prior to the receipt of such notice; (B) if the Company suspends or terminates any sale of Shares after the Agent confirms such sale to the Company, the Company shall still be obligated to comply with </w:t>
      </w:r>
      <w:r>
        <w:rPr>
          <w:rFonts w:ascii="Arial" w:cs="Arial" w:eastAsia="Arial" w:hAnsi="Arial"/>
          <w:sz w:val="16"/>
          <w:szCs w:val="16"/>
          <w:u w:val="single" w:color="auto"/>
          <w:color w:val="auto"/>
        </w:rPr>
        <w:t>Section 3(b)(v)</w:t>
      </w:r>
      <w:r>
        <w:rPr>
          <w:rFonts w:ascii="Arial" w:cs="Arial" w:eastAsia="Arial" w:hAnsi="Arial"/>
          <w:sz w:val="16"/>
          <w:szCs w:val="16"/>
          <w:color w:val="auto"/>
        </w:rPr>
        <w:t xml:space="preserve"> with respect to such Shares; and (C) if the Company defaults in its obligation to deliver Shares on a Settlement Date, the Company agrees that it will hold the Agent harmless against any loss, claim, damage or expense (including, without limitation, penalties, interest and reasonable legal fees and expenses), as incurred, arising out of or in connection with such default by the Company. The parties hereto acknowledge and agree that, in performing its obligations under this Agreement, the Agent may borrow Common Shares from stock lenders in the event that the Company has not delivered Shares to settle sales as required by subsection (v) above, and may use the Shares to settle or close out such borrowings. The Company agrees that no such notice shall be effective against the Agent unless it is made to the persons identified in writing by the Agent pursuant to </w:t>
      </w:r>
      <w:r>
        <w:rPr>
          <w:rFonts w:ascii="Arial" w:cs="Arial" w:eastAsia="Arial" w:hAnsi="Arial"/>
          <w:sz w:val="16"/>
          <w:szCs w:val="16"/>
          <w:u w:val="single" w:color="auto"/>
          <w:color w:val="auto"/>
        </w:rPr>
        <w:t>Section 3(b)(i)</w:t>
      </w:r>
      <w:r>
        <w:rPr>
          <w:rFonts w:ascii="Arial" w:cs="Arial" w:eastAsia="Arial" w:hAnsi="Arial"/>
          <w:sz w:val="16"/>
          <w:szCs w:val="16"/>
          <w:color w:val="auto"/>
        </w:rPr>
        <w:t>.</w:t>
      </w:r>
    </w:p>
    <w:p>
      <w:pPr>
        <w:spacing w:after="0" w:line="63" w:lineRule="exact"/>
        <w:rPr>
          <w:rFonts w:ascii="Arial" w:cs="Arial" w:eastAsia="Arial" w:hAnsi="Arial"/>
          <w:sz w:val="16"/>
          <w:szCs w:val="16"/>
          <w:color w:val="auto"/>
        </w:rPr>
      </w:pPr>
    </w:p>
    <w:p>
      <w:pPr>
        <w:ind w:firstLine="436"/>
        <w:spacing w:after="0" w:line="259" w:lineRule="auto"/>
        <w:tabs>
          <w:tab w:leader="none" w:pos="795"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No Guarantee of Placement, Etc.</w:t>
      </w:r>
      <w:r>
        <w:rPr>
          <w:rFonts w:ascii="Arial" w:cs="Arial" w:eastAsia="Arial" w:hAnsi="Arial"/>
          <w:sz w:val="18"/>
          <w:szCs w:val="18"/>
          <w:color w:val="auto"/>
        </w:rPr>
        <w:t xml:space="preserve"> The Company acknowledges and agrees that (A) there can be no assurance that the Agent will be successful in placing Shares; (B) the Agent will incur no liability or obligation to the Company or any other Person if it does not sell Shares; and (C) the Agent shall be under no obligation to purchase Shares on a principal basis pursuant to this Agreement, except as otherwise specifically agreed by the Agent and the Company.</w:t>
      </w:r>
    </w:p>
    <w:p>
      <w:pPr>
        <w:spacing w:after="0" w:line="78" w:lineRule="exact"/>
        <w:rPr>
          <w:rFonts w:ascii="Arial" w:cs="Arial" w:eastAsia="Arial" w:hAnsi="Arial"/>
          <w:sz w:val="18"/>
          <w:szCs w:val="18"/>
          <w:color w:val="auto"/>
        </w:rPr>
      </w:pPr>
    </w:p>
    <w:p>
      <w:pPr>
        <w:ind w:right="220" w:firstLine="436"/>
        <w:spacing w:after="0" w:line="263" w:lineRule="auto"/>
        <w:tabs>
          <w:tab w:leader="none" w:pos="845"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Material Non-Public Information.</w:t>
      </w:r>
      <w:r>
        <w:rPr>
          <w:rFonts w:ascii="Arial" w:cs="Arial" w:eastAsia="Arial" w:hAnsi="Arial"/>
          <w:sz w:val="18"/>
          <w:szCs w:val="18"/>
          <w:color w:val="auto"/>
        </w:rPr>
        <w:t xml:space="preserve"> Notwithstanding any other provision of this Agreement, the Company and the Agent agree that the Company shall not deliver any Issuance Notice to the Agent, and the Agent shall not be obligated to place any Shares, during any period in which the Company is in possession of material non-public information.</w:t>
      </w:r>
    </w:p>
    <w:p>
      <w:pPr>
        <w:spacing w:after="0" w:line="76" w:lineRule="exact"/>
        <w:rPr>
          <w:sz w:val="20"/>
          <w:szCs w:val="20"/>
          <w:color w:val="auto"/>
        </w:rPr>
      </w:pPr>
    </w:p>
    <w:p>
      <w:pPr>
        <w:jc w:val="both"/>
        <w:ind w:right="20" w:firstLine="436"/>
        <w:spacing w:after="0" w:line="263" w:lineRule="auto"/>
        <w:tabs>
          <w:tab w:leader="none" w:pos="685"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Fees</w:t>
      </w:r>
      <w:r>
        <w:rPr>
          <w:rFonts w:ascii="Arial" w:cs="Arial" w:eastAsia="Arial" w:hAnsi="Arial"/>
          <w:sz w:val="18"/>
          <w:szCs w:val="18"/>
          <w:color w:val="auto"/>
        </w:rPr>
        <w:t xml:space="preserve">. As compensation for services rendered, the Company shall pay to the Agent, on the applicable Settlement Date, the Selling Commission for the applicable Issuance Amount (including with respect to any suspended or terminated sale pursuant to </w:t>
      </w:r>
      <w:r>
        <w:rPr>
          <w:rFonts w:ascii="Arial" w:cs="Arial" w:eastAsia="Arial" w:hAnsi="Arial"/>
          <w:sz w:val="18"/>
          <w:szCs w:val="18"/>
          <w:u w:val="single" w:color="auto"/>
          <w:color w:val="auto"/>
        </w:rPr>
        <w:t>Section 3(b)(vi))</w:t>
      </w:r>
      <w:r>
        <w:rPr>
          <w:rFonts w:ascii="Arial" w:cs="Arial" w:eastAsia="Arial" w:hAnsi="Arial"/>
          <w:sz w:val="18"/>
          <w:szCs w:val="18"/>
          <w:color w:val="auto"/>
        </w:rPr>
        <w:t xml:space="preserve"> by the Agent deducting the Selling Commission from the applicable Issuance Amount.</w:t>
      </w:r>
    </w:p>
    <w:p>
      <w:pPr>
        <w:spacing w:after="0" w:line="75" w:lineRule="exact"/>
        <w:rPr>
          <w:rFonts w:ascii="Arial" w:cs="Arial" w:eastAsia="Arial" w:hAnsi="Arial"/>
          <w:sz w:val="18"/>
          <w:szCs w:val="18"/>
          <w:color w:val="auto"/>
        </w:rPr>
      </w:pPr>
    </w:p>
    <w:p>
      <w:pPr>
        <w:ind w:firstLine="436"/>
        <w:spacing w:after="0" w:line="296" w:lineRule="auto"/>
        <w:tabs>
          <w:tab w:leader="none" w:pos="695" w:val="left"/>
        </w:tabs>
        <w:numPr>
          <w:ilvl w:val="0"/>
          <w:numId w:val="27"/>
        </w:numPr>
        <w:rPr>
          <w:rFonts w:ascii="Arial" w:cs="Arial" w:eastAsia="Arial" w:hAnsi="Arial"/>
          <w:sz w:val="16"/>
          <w:szCs w:val="16"/>
          <w:color w:val="auto"/>
        </w:rPr>
      </w:pPr>
      <w:r>
        <w:rPr>
          <w:rFonts w:ascii="Arial" w:cs="Arial" w:eastAsia="Arial" w:hAnsi="Arial"/>
          <w:sz w:val="16"/>
          <w:szCs w:val="16"/>
          <w:u w:val="single" w:color="auto"/>
          <w:color w:val="auto"/>
        </w:rPr>
        <w:t>Expenses</w:t>
      </w:r>
      <w:r>
        <w:rPr>
          <w:rFonts w:ascii="Arial" w:cs="Arial" w:eastAsia="Arial" w:hAnsi="Arial"/>
          <w:sz w:val="16"/>
          <w:szCs w:val="16"/>
          <w:color w:val="auto"/>
        </w:rPr>
        <w:t>. The Company agrees to pay all costs, fees and expenses incurred in connection with the performance of its obligations hereunder and in connection with the transactions contemplated hereby, including without limitation (i) all expenses incident to the issuance and delivery of the Shares (including all printing and engraving costs); (ii) all fees and expenses of the registrar and transfer agent of the Shares; (iii) all necessary issue, transfer and other stamp taxes in connection with the issuance and sale of the Shares; (iv) all fees and expenses of the Company’s counsel, independent public or certified public accountants and other advisors; (v) all costs and expenses incurred in connection with the preparation, printing, filing, shipping</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80"/>
          </w:cols>
          <w:pgMar w:left="440" w:top="274" w:right="479" w:bottom="1440" w:gutter="0" w:footer="0" w:header="0"/>
        </w:sectPr>
      </w:pPr>
    </w:p>
    <w:bookmarkStart w:id="23" w:name="page24"/>
    <w:bookmarkEnd w:id="23"/>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and distribution of the Registration Statement (including financial statements, exhibits, schedules, consents and certificates of experts), the Prospectus, any Free Writing Prospectus (prepared by or on behalf of, used by, or referred to by the Company), and all amendments and supplements thereto, and this Agreement; (vi) all filing fees, attorneys’ fees and expenses incurred by the Company or the Agent in connection with qualifying or registering (or obtaining exemptions from the qualification or registration of) all or any part of the Shares for offer and sale under the state securities or blue sky laws or the provincial securities laws of Canada, and, if requested by the Agent, preparing and printing a “</w:t>
      </w:r>
      <w:r>
        <w:rPr>
          <w:rFonts w:ascii="Arial" w:cs="Arial" w:eastAsia="Arial" w:hAnsi="Arial"/>
          <w:sz w:val="16"/>
          <w:szCs w:val="16"/>
          <w:b w:val="1"/>
          <w:bCs w:val="1"/>
          <w:color w:val="auto"/>
        </w:rPr>
        <w:t>Blue Sky Survey</w:t>
      </w:r>
      <w:r>
        <w:rPr>
          <w:rFonts w:ascii="Arial" w:cs="Arial" w:eastAsia="Arial" w:hAnsi="Arial"/>
          <w:sz w:val="16"/>
          <w:szCs w:val="16"/>
          <w:color w:val="auto"/>
        </w:rPr>
        <w:t xml:space="preserve">” or memorandum and a “Canadian wrapper,” and any supplements thereto, advising the Agent of such qualifications, registrations, determinations and exemptions; (vii) the reasonable fees and disbursements of the Agent’s counsel, including the reasonable fees and expenses of counsel for the Agent in connection with, FINRA review, if any, and approval of the Agent’s participation in the offering and distribution of the Shares; (viii) the filing fees incident to FINRA review, if any; (ix) all fees, expenses and disbursements relating to background checks of the Company’s directors, director nominees and executive officers (x) the costs and expenses of the Company relating to investor presentations on any “road show” undertaken in connection with the marketing of the offering of the Shares, including, without limitation, expenses associated with the preparation or dissemination of any electronic road show, expenses associated with the production of road show slides and graphics, fees and expenses of any consultants engaged in connection with the road show presentations with the prior approval of the Company, travel and lodging expenses of the representatives, employees and officers of the Company and of the Agent and any such consultants, and the cost of any aircraft chartered in connection with the road show; and (xi) the fees and expenses associated with listing the Shares on the Principal Market. The fees and disbursements of Agent’s counsel pursuant to subsections (vi) and (vii) above shall not exceed (A) $75,000 in connection with entering into this Agreement and (B) $15,000 in connection with each Triggering Event Date (as defined below) on which the Company is required to provide a certificate pursuant to </w:t>
      </w:r>
      <w:r>
        <w:rPr>
          <w:rFonts w:ascii="Arial" w:cs="Arial" w:eastAsia="Arial" w:hAnsi="Arial"/>
          <w:sz w:val="16"/>
          <w:szCs w:val="16"/>
          <w:u w:val="single" w:color="auto"/>
          <w:color w:val="auto"/>
        </w:rPr>
        <w:t>Section 4(o</w:t>
      </w:r>
      <w:r>
        <w:rPr>
          <w:rFonts w:ascii="Arial" w:cs="Arial" w:eastAsia="Arial" w:hAnsi="Arial"/>
          <w:sz w:val="16"/>
          <w:szCs w:val="16"/>
          <w:color w:val="auto"/>
        </w:rPr>
        <w: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 ADDITIONAL COVENANTS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Company covenants and agrees with the Agent as follows, in addition to any other covenants and agreements made elsewhere in this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103" w:lineRule="exact"/>
        <w:rPr>
          <w:sz w:val="20"/>
          <w:szCs w:val="20"/>
          <w:color w:val="auto"/>
        </w:rPr>
      </w:pPr>
    </w:p>
    <w:p>
      <w:pPr>
        <w:ind w:right="20" w:firstLine="436"/>
        <w:spacing w:after="0" w:line="291" w:lineRule="auto"/>
        <w:tabs>
          <w:tab w:leader="none" w:pos="685" w:val="left"/>
        </w:tabs>
        <w:numPr>
          <w:ilvl w:val="0"/>
          <w:numId w:val="28"/>
        </w:numPr>
        <w:rPr>
          <w:rFonts w:ascii="Arial" w:cs="Arial" w:eastAsia="Arial" w:hAnsi="Arial"/>
          <w:sz w:val="16"/>
          <w:szCs w:val="16"/>
          <w:color w:val="auto"/>
        </w:rPr>
      </w:pPr>
      <w:r>
        <w:rPr>
          <w:rFonts w:ascii="Arial" w:cs="Arial" w:eastAsia="Arial" w:hAnsi="Arial"/>
          <w:sz w:val="16"/>
          <w:szCs w:val="16"/>
          <w:u w:val="single" w:color="auto"/>
          <w:color w:val="auto"/>
        </w:rPr>
        <w:t>Exchange Act Compliance</w:t>
      </w:r>
      <w:r>
        <w:rPr>
          <w:rFonts w:ascii="Arial" w:cs="Arial" w:eastAsia="Arial" w:hAnsi="Arial"/>
          <w:sz w:val="16"/>
          <w:szCs w:val="16"/>
          <w:color w:val="auto"/>
        </w:rPr>
        <w:t>. During the Agency Period, the Company shall (i) file, on a timely basis, with the Commission all reports and documents required to be filed under Section 13, 14 or 15 of the Exchange Act in the manner and within the time periods required by the Exchange Act; and (ii) either (A) include in its quarterly reports on Form 10-Q and its annual reports on Form 10-K, a summary detailing, for the relevant reporting period, (1) the number of Shares sold through the Agent pursuant to this Agreement and (2) the net proceeds received by the Company from such sales or (B) prepare a prospectus supplement containing, or include in such other filing permitted by the Securities Act or Exchange Act (each an “</w:t>
      </w:r>
      <w:r>
        <w:rPr>
          <w:rFonts w:ascii="Arial" w:cs="Arial" w:eastAsia="Arial" w:hAnsi="Arial"/>
          <w:sz w:val="16"/>
          <w:szCs w:val="16"/>
          <w:b w:val="1"/>
          <w:bCs w:val="1"/>
          <w:color w:val="auto"/>
        </w:rPr>
        <w:t>Interim</w:t>
      </w:r>
      <w:r>
        <w:rPr>
          <w:rFonts w:ascii="Arial" w:cs="Arial" w:eastAsia="Arial" w:hAnsi="Arial"/>
          <w:sz w:val="16"/>
          <w:szCs w:val="16"/>
          <w:color w:val="auto"/>
        </w:rPr>
        <w:t xml:space="preserve"> </w:t>
      </w:r>
      <w:r>
        <w:rPr>
          <w:rFonts w:ascii="Arial" w:cs="Arial" w:eastAsia="Arial" w:hAnsi="Arial"/>
          <w:sz w:val="16"/>
          <w:szCs w:val="16"/>
          <w:b w:val="1"/>
          <w:bCs w:val="1"/>
          <w:color w:val="auto"/>
        </w:rPr>
        <w:t>Prospectus Supplement</w:t>
      </w:r>
      <w:r>
        <w:rPr>
          <w:rFonts w:ascii="Arial" w:cs="Arial" w:eastAsia="Arial" w:hAnsi="Arial"/>
          <w:sz w:val="16"/>
          <w:szCs w:val="16"/>
          <w:color w:val="auto"/>
        </w:rPr>
        <w:t>”), such summary information and, at least once a quarter and subject to this Section 4, file such Interim Prospectus Supplement</w:t>
      </w:r>
      <w:r>
        <w:rPr>
          <w:rFonts w:ascii="Arial" w:cs="Arial" w:eastAsia="Arial" w:hAnsi="Arial"/>
          <w:sz w:val="16"/>
          <w:szCs w:val="16"/>
          <w:b w:val="1"/>
          <w:bCs w:val="1"/>
          <w:color w:val="auto"/>
        </w:rPr>
        <w:t xml:space="preserve"> </w:t>
      </w:r>
      <w:r>
        <w:rPr>
          <w:rFonts w:ascii="Arial" w:cs="Arial" w:eastAsia="Arial" w:hAnsi="Arial"/>
          <w:sz w:val="16"/>
          <w:szCs w:val="16"/>
          <w:color w:val="auto"/>
        </w:rPr>
        <w:t>pursuant to Rule 424(b) under the Securities Act (and within the time periods required by Rule 424(b) and Rule 430B under the Securities Act).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20"/>
          </w:cols>
          <w:pgMar w:left="440" w:top="274" w:right="439" w:bottom="1440" w:gutter="0" w:footer="0" w:header="0"/>
        </w:sectPr>
      </w:pPr>
    </w:p>
    <w:bookmarkStart w:id="24" w:name="page25"/>
    <w:bookmarkEnd w:id="24"/>
    <w:p>
      <w:pPr>
        <w:ind w:firstLine="436"/>
        <w:spacing w:after="0" w:line="287" w:lineRule="auto"/>
        <w:tabs>
          <w:tab w:leader="none" w:pos="695" w:val="left"/>
        </w:tabs>
        <w:numPr>
          <w:ilvl w:val="0"/>
          <w:numId w:val="29"/>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Securities Act Compliance</w:t>
      </w:r>
      <w:r>
        <w:rPr>
          <w:rFonts w:ascii="Arial" w:cs="Arial" w:eastAsia="Arial" w:hAnsi="Arial"/>
          <w:sz w:val="16"/>
          <w:szCs w:val="16"/>
          <w:color w:val="auto"/>
        </w:rPr>
        <w:t>. After the date of this Agreement, the Company shall promptly advise the Agent in writing (i) of the receipt of any comments of, or requests for additional or supplemental information from, the Commission; (ii) of the time and date of any filing of any post-effective amendment to the Registration Statement, any Rule 462(b) Registration Statement or any amendment or supplement to the Prospectus or any Free Writing Prospectus; (iii) of the time and date that any post-effective amendment to the Registration Statement or any Rule 462(b) Registration Statement becomes effective; and (iv) of the issuance by the Commission of any stop order suspending the effectiveness of the Registration Statement or any post-effective amendment thereto, any Rule 462(b) Registration Statement or any amendment or supplement to the Prospectus or of any order preventing or suspending the use of any Free Writing Prospectus or the Prospectus, or of any proceedings to remove, suspend or terminate from listing or quotation the Common Shares from any securities exchange upon which they are listed for trading or included or designated for quotation, or of the threatening or initiation of any proceedings for any of such purposes. If the Commission shall enter any such stop order at any time, the Company will use its reasonable efforts to obtain the lifting of such order as soon as practicable. Additionally, the Company agrees that it shall comply with the provisions of Rule 424(b) and Rule 433, as applicable, under the Securities Act and will use its reasonable efforts to confirm that any filings made by the Company under such Rule 424(b) or Rule 433 were received in a timely manner by the Commission.</w:t>
      </w:r>
    </w:p>
    <w:p>
      <w:pPr>
        <w:spacing w:after="0" w:line="59" w:lineRule="exact"/>
        <w:rPr>
          <w:rFonts w:ascii="Arial" w:cs="Arial" w:eastAsia="Arial" w:hAnsi="Arial"/>
          <w:sz w:val="16"/>
          <w:szCs w:val="16"/>
          <w:color w:val="auto"/>
        </w:rPr>
      </w:pPr>
    </w:p>
    <w:p>
      <w:pPr>
        <w:ind w:right="100" w:firstLine="436"/>
        <w:spacing w:after="0" w:line="288" w:lineRule="auto"/>
        <w:tabs>
          <w:tab w:leader="none" w:pos="685" w:val="left"/>
        </w:tabs>
        <w:numPr>
          <w:ilvl w:val="0"/>
          <w:numId w:val="29"/>
        </w:numPr>
        <w:rPr>
          <w:rFonts w:ascii="Arial" w:cs="Arial" w:eastAsia="Arial" w:hAnsi="Arial"/>
          <w:sz w:val="16"/>
          <w:szCs w:val="16"/>
          <w:color w:val="auto"/>
        </w:rPr>
      </w:pPr>
      <w:r>
        <w:rPr>
          <w:rFonts w:ascii="Arial" w:cs="Arial" w:eastAsia="Arial" w:hAnsi="Arial"/>
          <w:sz w:val="16"/>
          <w:szCs w:val="16"/>
          <w:u w:val="single" w:color="auto"/>
          <w:color w:val="auto"/>
        </w:rPr>
        <w:t>Amendments and Supplements to the Prospectus and Other Securities Act Matters</w:t>
      </w:r>
      <w:r>
        <w:rPr>
          <w:rFonts w:ascii="Arial" w:cs="Arial" w:eastAsia="Arial" w:hAnsi="Arial"/>
          <w:sz w:val="16"/>
          <w:szCs w:val="16"/>
          <w:color w:val="auto"/>
        </w:rPr>
        <w:t>. If any event shall occur or condition exist as a result of which it is necessary to amend or supplement the Prospectus so that the Prospectus does not include an untrue statement of a material fact or omit to state a material fact necessary in order to make the statements therein, in the light of the circumstances when the Prospectus is delivered to a purchaser, not misleading, or if in the opinion of the Agent or counsel for the Agent it is otherwise necessary to amend or supplement the Prospectus to comply with applicable law, including the Securities Act, the Company agrees (subject to Sections 4(d) and 4(f)) to promptly prepare, file with the Commission and furnish at its own expense to the Agent, amendments or supplements to the Prospectus so that the statements in the Prospectus as so amended or supplemented will not include an untrue statement of a material fact or omit to state a material fact necessary in order to make the statements therein, in the light of the circumstances when the Prospectus is delivered to a purchaser, not misleading or so that the Prospectus, as amended or supplemented, will comply with applicable law including the Securities Act. Neither the Agent’s consent to, or delivery of, any such amendment or supplement shall constitute a waiver of any of the Company’s obligations under Sections 4(d) and 4(f).</w:t>
      </w:r>
    </w:p>
    <w:p>
      <w:pPr>
        <w:spacing w:after="0" w:line="60" w:lineRule="exact"/>
        <w:rPr>
          <w:rFonts w:ascii="Arial" w:cs="Arial" w:eastAsia="Arial" w:hAnsi="Arial"/>
          <w:sz w:val="16"/>
          <w:szCs w:val="16"/>
          <w:color w:val="auto"/>
        </w:rPr>
      </w:pPr>
    </w:p>
    <w:p>
      <w:pPr>
        <w:ind w:right="80" w:firstLine="436"/>
        <w:spacing w:after="0" w:line="254" w:lineRule="auto"/>
        <w:tabs>
          <w:tab w:leader="none" w:pos="695"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Agent’s Review of Proposed Amendments and Supplements</w:t>
      </w:r>
      <w:r>
        <w:rPr>
          <w:rFonts w:ascii="Arial" w:cs="Arial" w:eastAsia="Arial" w:hAnsi="Arial"/>
          <w:sz w:val="18"/>
          <w:szCs w:val="18"/>
          <w:color w:val="auto"/>
        </w:rPr>
        <w:t>. Prior to amending or supplementing the Registration Statement (including any registration statement filed under Rule 462(b) under the Securities Act) or the Prospectus (excluding any amendment or supplement through incorporation of any report filed under the Exchange Act), the Company shall furnish to the Agent for review, a reasonable amount of time prior to the proposed time of filing or use thereof, a copy of each such proposed amendment or supplement, and, if such proposed amendment or supplement relates to the matters contemplated by this Agreement, the Company shall not file or use any such proposed amendment or supplement without the Agent’s prior consent, and to file with the Commission within the applicable period specified in Rule 424(b) under the Securities Act any prospectus required to be filed pursuant to such Rule.</w:t>
      </w:r>
    </w:p>
    <w:p>
      <w:pPr>
        <w:spacing w:after="0" w:line="86" w:lineRule="exact"/>
        <w:rPr>
          <w:rFonts w:ascii="Arial" w:cs="Arial" w:eastAsia="Arial" w:hAnsi="Arial"/>
          <w:sz w:val="18"/>
          <w:szCs w:val="18"/>
          <w:color w:val="auto"/>
        </w:rPr>
      </w:pPr>
    </w:p>
    <w:p>
      <w:pPr>
        <w:jc w:val="both"/>
        <w:ind w:right="80" w:firstLine="436"/>
        <w:spacing w:after="0" w:line="259" w:lineRule="auto"/>
        <w:tabs>
          <w:tab w:leader="none" w:pos="685"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Use of Free Writing Prospectus</w:t>
      </w:r>
      <w:r>
        <w:rPr>
          <w:rFonts w:ascii="Arial" w:cs="Arial" w:eastAsia="Arial" w:hAnsi="Arial"/>
          <w:sz w:val="18"/>
          <w:szCs w:val="18"/>
          <w:color w:val="auto"/>
        </w:rPr>
        <w:t>. Neither the Company nor the Agent has prepared, used, referred to or distributed, or will prepare, use, refer to or distribute, without the other party’s prior written consent, any “written communication” that constitutes a “free writing prospectus” as such terms are defined in Rule 405 under the Securities Act with respect to the offering contemplated by this Agreement (any such free writing prospectus being referred to herein as a “</w:t>
      </w:r>
      <w:r>
        <w:rPr>
          <w:rFonts w:ascii="Arial" w:cs="Arial" w:eastAsia="Arial" w:hAnsi="Arial"/>
          <w:sz w:val="18"/>
          <w:szCs w:val="18"/>
          <w:b w:val="1"/>
          <w:bCs w:val="1"/>
          <w:color w:val="auto"/>
        </w:rPr>
        <w:t>Free Writing Prospectus</w:t>
      </w:r>
      <w:r>
        <w:rPr>
          <w:rFonts w:ascii="Arial" w:cs="Arial" w:eastAsia="Arial" w:hAnsi="Arial"/>
          <w:sz w:val="18"/>
          <w:szCs w:val="18"/>
          <w:color w:val="auto"/>
        </w:rPr>
        <w:t>”).</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20"/>
          </w:cols>
          <w:pgMar w:left="440" w:top="274" w:right="439" w:bottom="1440" w:gutter="0" w:footer="0" w:header="0"/>
        </w:sectPr>
      </w:pPr>
    </w:p>
    <w:bookmarkStart w:id="25" w:name="page26"/>
    <w:bookmarkEnd w:id="25"/>
    <w:p>
      <w:pPr>
        <w:ind w:firstLine="436"/>
        <w:spacing w:after="0" w:line="285" w:lineRule="auto"/>
        <w:tabs>
          <w:tab w:leader="none" w:pos="665" w:val="left"/>
        </w:tabs>
        <w:numPr>
          <w:ilvl w:val="0"/>
          <w:numId w:val="30"/>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Free Writing Prospectuses</w:t>
      </w:r>
      <w:r>
        <w:rPr>
          <w:rFonts w:ascii="Arial" w:cs="Arial" w:eastAsia="Arial" w:hAnsi="Arial"/>
          <w:sz w:val="16"/>
          <w:szCs w:val="16"/>
          <w:color w:val="auto"/>
        </w:rPr>
        <w:t xml:space="preserve">. The Company shall furnish to the Agent for review, a reasonable amount of time prior to the proposed time of filing or use thereof, a copy of each proposed free writing prospectus or any amendment or supplement thereto to be prepared by or on behalf of, used by, or referred to by the Company and the Company shall not file, use or refer to any proposed free writing prospectus or any amendment or supplement thereto without the Agent’s consent. The Company shall furnish to the Agent, without charge, as many copies of any free writing prospectus prepared by or on behalf of, or used by the Company, as the Agent may reasonably request. If at any time when a prospectus is required by the Securities Act (including, without limitation, pursuant to Rule 173(d)) to be delivered in connection with sales of the Shares (but in any event if at any time through and including the date of this Agreement) there occurred or occurs an event or development as a result of which any free writing prospectus prepared by or on behalf of, used by, or referred to by the Company conflicted or would conflict with the information contained in the Registration Statement or included or would include an untrue statement of a material fact or omitted or would omit to state a material fact necessary in order to make the statements therein, in the light of the circumstances prevailing at that subsequent time, not misleading, the Company shall promptly amend or supplement such free writing prospectus to eliminate or correct such conflict or so that the statements in such free writing prospectus as so amended or supplemented will not include an untrue statement of a material fact or omit to state a material fact necessary in order to make the statements therein, in the light of the circumstances prevailing at such subsequent time, not misleading, as the case may be; </w:t>
      </w:r>
      <w:r>
        <w:rPr>
          <w:rFonts w:ascii="Arial" w:cs="Arial" w:eastAsia="Arial" w:hAnsi="Arial"/>
          <w:sz w:val="16"/>
          <w:szCs w:val="16"/>
          <w:i w:val="1"/>
          <w:iCs w:val="1"/>
          <w:color w:val="auto"/>
        </w:rPr>
        <w:t>provided, however</w:t>
      </w:r>
      <w:r>
        <w:rPr>
          <w:rFonts w:ascii="Arial" w:cs="Arial" w:eastAsia="Arial" w:hAnsi="Arial"/>
          <w:sz w:val="16"/>
          <w:szCs w:val="16"/>
          <w:color w:val="auto"/>
        </w:rPr>
        <w:t>, that prior to amending or supplementing any such free writing prospectus, the Company shall furnish to the Agent for review, a reasonable amount of time prior to the proposed time of filing or use thereof, a copy of such proposed amended or supplemented free writing prospectus and the Company shall not file, use or refer to any such amended or supplemented free writing prospectus without the Agent’s consent.</w:t>
      </w:r>
    </w:p>
    <w:p>
      <w:pPr>
        <w:spacing w:after="0" w:line="68" w:lineRule="exact"/>
        <w:rPr>
          <w:rFonts w:ascii="Arial" w:cs="Arial" w:eastAsia="Arial" w:hAnsi="Arial"/>
          <w:sz w:val="16"/>
          <w:szCs w:val="16"/>
          <w:color w:val="auto"/>
        </w:rPr>
      </w:pPr>
    </w:p>
    <w:p>
      <w:pPr>
        <w:ind w:right="220" w:firstLine="436"/>
        <w:spacing w:after="0" w:line="263" w:lineRule="auto"/>
        <w:tabs>
          <w:tab w:leader="none" w:pos="695"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Filing of Agent Free Writing Prospectuses</w:t>
      </w:r>
      <w:r>
        <w:rPr>
          <w:rFonts w:ascii="Arial" w:cs="Arial" w:eastAsia="Arial" w:hAnsi="Arial"/>
          <w:sz w:val="18"/>
          <w:szCs w:val="18"/>
          <w:color w:val="auto"/>
        </w:rPr>
        <w:t>. The Company shall not take any action that would result in the Agent or the Company being required to file with the Commission pursuant to Rule 433(d) under the Securities Act a free writing prospectus prepared by or on behalf of the Agent that the Agent otherwise would not have been required to file thereunder.</w:t>
      </w:r>
    </w:p>
    <w:p>
      <w:pPr>
        <w:spacing w:after="0" w:line="75" w:lineRule="exact"/>
        <w:rPr>
          <w:rFonts w:ascii="Arial" w:cs="Arial" w:eastAsia="Arial" w:hAnsi="Arial"/>
          <w:sz w:val="18"/>
          <w:szCs w:val="18"/>
          <w:color w:val="auto"/>
        </w:rPr>
      </w:pPr>
    </w:p>
    <w:p>
      <w:pPr>
        <w:jc w:val="both"/>
        <w:ind w:right="300" w:firstLine="436"/>
        <w:spacing w:after="0" w:line="286" w:lineRule="auto"/>
        <w:tabs>
          <w:tab w:leader="none" w:pos="695" w:val="left"/>
        </w:tabs>
        <w:numPr>
          <w:ilvl w:val="0"/>
          <w:numId w:val="30"/>
        </w:numPr>
        <w:rPr>
          <w:rFonts w:ascii="Arial" w:cs="Arial" w:eastAsia="Arial" w:hAnsi="Arial"/>
          <w:sz w:val="16"/>
          <w:szCs w:val="16"/>
          <w:color w:val="auto"/>
        </w:rPr>
      </w:pPr>
      <w:r>
        <w:rPr>
          <w:rFonts w:ascii="Arial" w:cs="Arial" w:eastAsia="Arial" w:hAnsi="Arial"/>
          <w:sz w:val="16"/>
          <w:szCs w:val="16"/>
          <w:u w:val="single" w:color="auto"/>
          <w:color w:val="auto"/>
        </w:rPr>
        <w:t>Copies of Registration Statement and Prospectus</w:t>
      </w:r>
      <w:r>
        <w:rPr>
          <w:rFonts w:ascii="Arial" w:cs="Arial" w:eastAsia="Arial" w:hAnsi="Arial"/>
          <w:sz w:val="16"/>
          <w:szCs w:val="16"/>
          <w:color w:val="auto"/>
        </w:rPr>
        <w:t>. After the date of this Agreement through the last time that a prospectus is required by the Securities Act (including, without limitation, pursuant to Rule 173(d)) to be delivered in connection with sales of the Shares, the Company agrees to furnish the Agent with copies (which may be electronic copies) of the Registration Statement and each amendment thereto, and with copies of the Prospectus and each amendment or supplement thereto in the form in which it is filed with the Commission pursuant to the Securities Act or</w:t>
      </w:r>
    </w:p>
    <w:p>
      <w:pPr>
        <w:spacing w:after="0" w:line="1" w:lineRule="exact"/>
        <w:rPr>
          <w:rFonts w:ascii="Arial" w:cs="Arial" w:eastAsia="Arial" w:hAnsi="Arial"/>
          <w:sz w:val="16"/>
          <w:szCs w:val="16"/>
          <w:color w:val="auto"/>
        </w:rPr>
      </w:pPr>
    </w:p>
    <w:p>
      <w:pPr>
        <w:ind w:right="60"/>
        <w:spacing w:after="0" w:line="273" w:lineRule="auto"/>
        <w:rPr>
          <w:rFonts w:ascii="Arial" w:cs="Arial" w:eastAsia="Arial" w:hAnsi="Arial"/>
          <w:sz w:val="16"/>
          <w:szCs w:val="16"/>
          <w:color w:val="auto"/>
        </w:rPr>
      </w:pPr>
      <w:r>
        <w:rPr>
          <w:rFonts w:ascii="Arial" w:cs="Arial" w:eastAsia="Arial" w:hAnsi="Arial"/>
          <w:sz w:val="17"/>
          <w:szCs w:val="17"/>
          <w:color w:val="auto"/>
        </w:rPr>
        <w:t>Rule 424(b) under the Securities Act, both in such quantities as the Agent may reasonably request from time to time; and, if the delivery of a prospectus is required under the Securities Act or under the blue sky or securities laws of any jurisdiction at any time on or prior to the applicable Settlement Date for any period set forth in an Issuance Notice in connection with the offering or sale of the Shares and if at such time any event has occurred as a result of which the Prospectus as then amended or supplemented would include an untrue statement of a</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440" w:top="274" w:right="459" w:bottom="1440" w:gutter="0" w:footer="0" w:header="0"/>
        </w:sectPr>
      </w:pPr>
    </w:p>
    <w:bookmarkStart w:id="26" w:name="page27"/>
    <w:bookmarkEnd w:id="26"/>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material fact or omit to state any material fact necessary in order to make the statements therein, in the light of the circumstances under which they were made when such Prospectus is delivered, not misleading, or, if for any other reason it is necessary during such same period to amend or supplement the Prospectus or to file under the Exchange Act any document incorporated by reference in the Prospectus in order to comply with the Securities Act or the Exchange Act, to notify the Agent and to request that the Agent suspend offers to sell Shares (and, if so notified, the Agent shall cease such offers as soon as practicable); and if the Company decides to amend or supplement the Registration Statement or the Prospectus as then amended or supplemented, to advise the Agent promptly by telephone (with confirmation in writing) and to prepare and cause to be filed promptly with the Commission an amendment or supplement to the Registration Statement or the Prospectus as then amended or supplemented that will correct such statement or omission or effect such compliance; provided, however, that if during such same period the Agent is required to deliver a prospectus in respect of transactions in the Shares, the Company shall promptly prepare and file with the Commission such an amendment or supplement.</w:t>
      </w:r>
    </w:p>
    <w:p>
      <w:pPr>
        <w:spacing w:after="0" w:line="58" w:lineRule="exact"/>
        <w:rPr>
          <w:sz w:val="20"/>
          <w:szCs w:val="20"/>
          <w:color w:val="auto"/>
        </w:rPr>
      </w:pPr>
    </w:p>
    <w:p>
      <w:pPr>
        <w:ind w:right="100" w:firstLine="436"/>
        <w:spacing w:after="0" w:line="270" w:lineRule="auto"/>
        <w:tabs>
          <w:tab w:leader="none" w:pos="655" w:val="left"/>
        </w:tabs>
        <w:numPr>
          <w:ilvl w:val="0"/>
          <w:numId w:val="31"/>
        </w:numPr>
        <w:rPr>
          <w:rFonts w:ascii="Arial" w:cs="Arial" w:eastAsia="Arial" w:hAnsi="Arial"/>
          <w:sz w:val="17"/>
          <w:szCs w:val="17"/>
          <w:color w:val="auto"/>
        </w:rPr>
      </w:pPr>
      <w:r>
        <w:rPr>
          <w:rFonts w:ascii="Arial" w:cs="Arial" w:eastAsia="Arial" w:hAnsi="Arial"/>
          <w:sz w:val="17"/>
          <w:szCs w:val="17"/>
          <w:u w:val="single" w:color="auto"/>
          <w:color w:val="auto"/>
        </w:rPr>
        <w:t>Blue Sky Compliance</w:t>
      </w:r>
      <w:r>
        <w:rPr>
          <w:rFonts w:ascii="Arial" w:cs="Arial" w:eastAsia="Arial" w:hAnsi="Arial"/>
          <w:sz w:val="17"/>
          <w:szCs w:val="17"/>
          <w:color w:val="auto"/>
        </w:rPr>
        <w:t>. The Company shall cooperate with the Agent and counsel for the Agent to qualify or register the Shares for sale under (or obtain exemptions from the application of) the state securities or blue sky laws or Canadian provincial securities laws of those jurisdictions designated by the Agent, shall comply with such laws and shall continue such qualifications, registrations and exemptions in effect so long as required for the distribution of the Shares. The Company shall not be required to qualify as a foreign corporation or to take any action that would subject it to general service of process in any such jurisdiction where it is not presently qualified or where it would be subject to taxation as a foreign corporation. The Company will advise the Agent promptly of the suspension of the qualification or registration of (or any such exemption relating to) the Shares for offering, sale or trading in any jurisdiction or any initiation or threat of any proceeding for any such purpose, and in the event of the issuance of any order suspending such qualification, registration or exemption, the Company shall use its reasonable efforts to obtain the withdrawal thereof as soon as practicable.</w:t>
      </w:r>
    </w:p>
    <w:p>
      <w:pPr>
        <w:spacing w:after="0" w:line="72" w:lineRule="exact"/>
        <w:rPr>
          <w:rFonts w:ascii="Arial" w:cs="Arial" w:eastAsia="Arial" w:hAnsi="Arial"/>
          <w:sz w:val="17"/>
          <w:szCs w:val="17"/>
          <w:color w:val="auto"/>
        </w:rPr>
      </w:pPr>
    </w:p>
    <w:p>
      <w:pPr>
        <w:ind w:right="60" w:firstLine="436"/>
        <w:spacing w:after="0" w:line="311" w:lineRule="auto"/>
        <w:tabs>
          <w:tab w:leader="none" w:pos="655" w:val="left"/>
        </w:tabs>
        <w:numPr>
          <w:ilvl w:val="0"/>
          <w:numId w:val="31"/>
        </w:numPr>
        <w:rPr>
          <w:rFonts w:ascii="Arial" w:cs="Arial" w:eastAsia="Arial" w:hAnsi="Arial"/>
          <w:sz w:val="16"/>
          <w:szCs w:val="16"/>
          <w:color w:val="auto"/>
        </w:rPr>
      </w:pPr>
      <w:r>
        <w:rPr>
          <w:rFonts w:ascii="Arial" w:cs="Arial" w:eastAsia="Arial" w:hAnsi="Arial"/>
          <w:sz w:val="16"/>
          <w:szCs w:val="16"/>
          <w:u w:val="single" w:color="auto"/>
          <w:color w:val="auto"/>
        </w:rPr>
        <w:t>Earnings Statement</w:t>
      </w:r>
      <w:r>
        <w:rPr>
          <w:rFonts w:ascii="Arial" w:cs="Arial" w:eastAsia="Arial" w:hAnsi="Arial"/>
          <w:sz w:val="16"/>
          <w:szCs w:val="16"/>
          <w:color w:val="auto"/>
        </w:rPr>
        <w:t>. As soon as practicable, the Company will make generally available to its security holders and to the Agent an earnings statement (which need not be audited) covering a period of at least twelve months beginning with the first fiscal quarter of the Company occurring after the date of this Agreement which shall satisfy the provisions of Section 11(a) of the Securities Act and Rule 158 under the Securities Act.</w:t>
      </w:r>
    </w:p>
    <w:p>
      <w:pPr>
        <w:spacing w:after="0" w:line="40" w:lineRule="exact"/>
        <w:rPr>
          <w:rFonts w:ascii="Arial" w:cs="Arial" w:eastAsia="Arial" w:hAnsi="Arial"/>
          <w:sz w:val="16"/>
          <w:szCs w:val="16"/>
          <w:color w:val="auto"/>
        </w:rPr>
      </w:pPr>
    </w:p>
    <w:p>
      <w:pPr>
        <w:jc w:val="both"/>
        <w:ind w:right="280" w:firstLine="436"/>
        <w:spacing w:after="0" w:line="263" w:lineRule="auto"/>
        <w:tabs>
          <w:tab w:leader="none" w:pos="695"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Listing; Reservation of Shares</w:t>
      </w:r>
      <w:r>
        <w:rPr>
          <w:rFonts w:ascii="Arial" w:cs="Arial" w:eastAsia="Arial" w:hAnsi="Arial"/>
          <w:sz w:val="18"/>
          <w:szCs w:val="18"/>
          <w:color w:val="auto"/>
        </w:rPr>
        <w:t>. (a) The Company will maintain the listing of the Shares on the Principal Market; and (b) the Company will reserve and keep available at all times, free of preemptive rights, Shares for the purpose of enabling the Company to satisfy its obligations under this Agreement.</w:t>
      </w:r>
    </w:p>
    <w:p>
      <w:pPr>
        <w:spacing w:after="0" w:line="75" w:lineRule="exact"/>
        <w:rPr>
          <w:rFonts w:ascii="Arial" w:cs="Arial" w:eastAsia="Arial" w:hAnsi="Arial"/>
          <w:sz w:val="18"/>
          <w:szCs w:val="18"/>
          <w:color w:val="auto"/>
        </w:rPr>
      </w:pPr>
    </w:p>
    <w:p>
      <w:pPr>
        <w:ind w:left="660" w:hanging="224"/>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Transfer Agent</w:t>
      </w:r>
      <w:r>
        <w:rPr>
          <w:rFonts w:ascii="Arial" w:cs="Arial" w:eastAsia="Arial" w:hAnsi="Arial"/>
          <w:sz w:val="18"/>
          <w:szCs w:val="18"/>
          <w:color w:val="auto"/>
        </w:rPr>
        <w:t>. The Company shall engage and maintain, at its expense, a registrar and transfer agent for the Shares.</w:t>
      </w:r>
    </w:p>
    <w:p>
      <w:pPr>
        <w:spacing w:after="0" w:line="117" w:lineRule="exact"/>
        <w:rPr>
          <w:rFonts w:ascii="Arial" w:cs="Arial" w:eastAsia="Arial" w:hAnsi="Arial"/>
          <w:sz w:val="18"/>
          <w:szCs w:val="18"/>
          <w:color w:val="auto"/>
        </w:rPr>
      </w:pPr>
    </w:p>
    <w:p>
      <w:pPr>
        <w:ind w:right="200" w:firstLine="436"/>
        <w:spacing w:after="0" w:line="259" w:lineRule="auto"/>
        <w:tabs>
          <w:tab w:leader="none" w:pos="745"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Due Diligence</w:t>
      </w:r>
      <w:r>
        <w:rPr>
          <w:rFonts w:ascii="Arial" w:cs="Arial" w:eastAsia="Arial" w:hAnsi="Arial"/>
          <w:sz w:val="18"/>
          <w:szCs w:val="18"/>
          <w:color w:val="auto"/>
        </w:rPr>
        <w:t>. During the term of this Agreement, the Company will reasonably cooperate with any reasonable due diligence review conducted by the Agent in connection with the transactions contemplated hereby, including, without limitation, providing information and making available documents and senior corporate officers, during normal business hours and at the Company’s principal offices, as the Agent may reasonably request from time to time.</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80"/>
          </w:cols>
          <w:pgMar w:left="440" w:top="274" w:right="479" w:bottom="1440" w:gutter="0" w:footer="0" w:header="0"/>
        </w:sectPr>
      </w:pPr>
    </w:p>
    <w:bookmarkStart w:id="27" w:name="page28"/>
    <w:bookmarkEnd w:id="27"/>
    <w:p>
      <w:pPr>
        <w:ind w:left="4" w:right="20" w:firstLine="436"/>
        <w:spacing w:after="0" w:line="291" w:lineRule="auto"/>
        <w:tabs>
          <w:tab w:leader="none" w:pos="699" w:val="left"/>
        </w:tabs>
        <w:numPr>
          <w:ilvl w:val="0"/>
          <w:numId w:val="32"/>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Representations and Warranties</w:t>
      </w:r>
      <w:r>
        <w:rPr>
          <w:rFonts w:ascii="Arial" w:cs="Arial" w:eastAsia="Arial" w:hAnsi="Arial"/>
          <w:sz w:val="16"/>
          <w:szCs w:val="16"/>
          <w:color w:val="auto"/>
        </w:rPr>
        <w:t>. The Company acknowledges that each delivery of an Issuance Notice and each delivery of Shares on a Settlement Date shall be deemed to be (i) an affirmation to the Agent that the representations and warranties of the Company contained in or made pursuant to this Agreement are true and correct as of the date of such Issuance Notice or of such Settlement Date, as the case may be, as though made at and as of each such date, except as may be disclosed in the Prospectus (including any documents incorporated by reference therein and any supplements thereto); and (ii) an undertaking that the Company will advise the Agent if any of such representations and warranties will not be true and correct as of the Settlement Date for the Shares relating to such Issuance Notice, as though made at and as of each such date (except that such representations and warranties shall be deemed to relate to the Registration Statement and the Prospectus as amended and supplemented relating to such Shares).</w:t>
      </w:r>
    </w:p>
    <w:p>
      <w:pPr>
        <w:spacing w:after="0" w:line="58" w:lineRule="exact"/>
        <w:rPr>
          <w:rFonts w:ascii="Arial" w:cs="Arial" w:eastAsia="Arial" w:hAnsi="Arial"/>
          <w:sz w:val="16"/>
          <w:szCs w:val="16"/>
          <w:color w:val="auto"/>
        </w:rPr>
      </w:pPr>
    </w:p>
    <w:p>
      <w:pPr>
        <w:ind w:left="4" w:right="160" w:firstLine="436"/>
        <w:spacing w:after="0" w:line="277" w:lineRule="auto"/>
        <w:tabs>
          <w:tab w:leader="none" w:pos="699"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Deliverables at Triggering Event Dates; Certificates.</w:t>
      </w:r>
      <w:r>
        <w:rPr>
          <w:rFonts w:ascii="Arial" w:cs="Arial" w:eastAsia="Arial" w:hAnsi="Arial"/>
          <w:sz w:val="18"/>
          <w:szCs w:val="18"/>
          <w:color w:val="auto"/>
        </w:rPr>
        <w:t xml:space="preserve"> The Company agrees that on or prior to the date of the first Issuance Notice and, during the term of this Agreement after the date of the first Issuance Notice, upon:</w:t>
      </w:r>
    </w:p>
    <w:p>
      <w:pPr>
        <w:spacing w:after="0" w:line="62" w:lineRule="exact"/>
        <w:rPr>
          <w:rFonts w:ascii="Arial" w:cs="Arial" w:eastAsia="Arial" w:hAnsi="Arial"/>
          <w:sz w:val="18"/>
          <w:szCs w:val="18"/>
          <w:color w:val="auto"/>
        </w:rPr>
      </w:pPr>
    </w:p>
    <w:p>
      <w:pPr>
        <w:ind w:left="4" w:firstLine="987"/>
        <w:spacing w:after="0" w:line="311" w:lineRule="auto"/>
        <w:tabs>
          <w:tab w:leader="none" w:pos="1290" w:val="left"/>
        </w:tabs>
        <w:numPr>
          <w:ilvl w:val="1"/>
          <w:numId w:val="32"/>
        </w:numPr>
        <w:rPr>
          <w:rFonts w:ascii="Arial" w:cs="Arial" w:eastAsia="Arial" w:hAnsi="Arial"/>
          <w:sz w:val="16"/>
          <w:szCs w:val="16"/>
          <w:color w:val="auto"/>
        </w:rPr>
      </w:pPr>
      <w:r>
        <w:rPr>
          <w:rFonts w:ascii="Arial" w:cs="Arial" w:eastAsia="Arial" w:hAnsi="Arial"/>
          <w:sz w:val="16"/>
          <w:szCs w:val="16"/>
          <w:color w:val="auto"/>
        </w:rPr>
        <w:t>the filing of the Prospectus or the amendment or supplement of any Registration Statement or Prospectus (other than a prospectus supplement relating solely to an offering of securities other than the Shares or a prospectus filed pursuant to Section 4(a)(ii)(B)), by means of a post-effective amendment, sticker or supplement, but not by means of incorporation of documents by reference into the Registration Statement or Prospectus;</w:t>
      </w:r>
    </w:p>
    <w:p>
      <w:pPr>
        <w:spacing w:after="0" w:line="40" w:lineRule="exact"/>
        <w:rPr>
          <w:rFonts w:ascii="Arial" w:cs="Arial" w:eastAsia="Arial" w:hAnsi="Arial"/>
          <w:sz w:val="16"/>
          <w:szCs w:val="16"/>
          <w:color w:val="auto"/>
        </w:rPr>
      </w:pPr>
    </w:p>
    <w:p>
      <w:pPr>
        <w:ind w:left="4" w:right="20" w:firstLine="987"/>
        <w:spacing w:after="0" w:line="263" w:lineRule="auto"/>
        <w:tabs>
          <w:tab w:leader="none" w:pos="12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filing with the Commission of an annual report on Form 10-K or a quarterly report on Form 10-Q (including any Form 10-K/A or Form 10-Q/A containing amended financial information or a material amendment to the previously filed annual report on Form 10-K or quarterly report on Form 10-Q), in each case, of the Company; or</w:t>
      </w:r>
    </w:p>
    <w:p>
      <w:pPr>
        <w:spacing w:after="0" w:line="75" w:lineRule="exact"/>
        <w:rPr>
          <w:rFonts w:ascii="Arial" w:cs="Arial" w:eastAsia="Arial" w:hAnsi="Arial"/>
          <w:sz w:val="18"/>
          <w:szCs w:val="18"/>
          <w:color w:val="auto"/>
        </w:rPr>
      </w:pPr>
    </w:p>
    <w:p>
      <w:pPr>
        <w:ind w:left="4" w:right="40" w:firstLine="987"/>
        <w:spacing w:after="0" w:line="259" w:lineRule="auto"/>
        <w:tabs>
          <w:tab w:leader="none" w:pos="12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filing with the Commission of a current report on Form 8-K of the Company containing amended financial information (other than information “furnished” pursuant to Item 2.02 or 7.01 of Form 8-K or to provide disclosure pursuant to Item 8.01 of Form 8-K relating to reclassification of certain operations as discontinued operations) that is material to the offering of securities of the Company in the Agent’s reasonable discretion;</w:t>
      </w:r>
    </w:p>
    <w:p>
      <w:pPr>
        <w:spacing w:after="0" w:line="183" w:lineRule="exact"/>
        <w:rPr>
          <w:sz w:val="20"/>
          <w:szCs w:val="20"/>
          <w:color w:val="auto"/>
        </w:rPr>
      </w:pPr>
    </w:p>
    <w:p>
      <w:pPr>
        <w:ind w:left="4" w:right="80"/>
        <w:spacing w:after="0" w:line="285" w:lineRule="auto"/>
        <w:rPr>
          <w:sz w:val="20"/>
          <w:szCs w:val="20"/>
          <w:color w:val="auto"/>
        </w:rPr>
      </w:pPr>
      <w:r>
        <w:rPr>
          <w:rFonts w:ascii="Arial" w:cs="Arial" w:eastAsia="Arial" w:hAnsi="Arial"/>
          <w:sz w:val="16"/>
          <w:szCs w:val="16"/>
          <w:color w:val="auto"/>
        </w:rPr>
        <w:t>(any such event, a “</w:t>
      </w:r>
      <w:r>
        <w:rPr>
          <w:rFonts w:ascii="Arial" w:cs="Arial" w:eastAsia="Arial" w:hAnsi="Arial"/>
          <w:sz w:val="16"/>
          <w:szCs w:val="16"/>
          <w:b w:val="1"/>
          <w:bCs w:val="1"/>
          <w:color w:val="auto"/>
        </w:rPr>
        <w:t>Triggering Event Date</w:t>
      </w:r>
      <w:r>
        <w:rPr>
          <w:rFonts w:ascii="Arial" w:cs="Arial" w:eastAsia="Arial" w:hAnsi="Arial"/>
          <w:sz w:val="16"/>
          <w:szCs w:val="16"/>
          <w:color w:val="auto"/>
        </w:rPr>
        <w:t xml:space="preserve">”), the Company shall furnish the Agent (but in the case of clause (C) above only if the Agent reasonably determines that the information contained in such current report on Form 8-K of the Company is material) with a certificate as of the Triggering Event Date, in the form and substance satisfactory to the Agent and its counsel, substantially similar to the form previously provided to the Agent and its counsel, modified, as necessary, to relate to the Registration Statement and the Prospectus as amended or supplemented, (A) confirming that the representations and warranties of the Company contained in this Agreement are true and correct, (B) confirming that the Company has performed all of its obligations hereunder to be performed on or prior to the date of such certificate and as to the matters set forth in </w:t>
      </w:r>
      <w:r>
        <w:rPr>
          <w:rFonts w:ascii="Arial" w:cs="Arial" w:eastAsia="Arial" w:hAnsi="Arial"/>
          <w:sz w:val="16"/>
          <w:szCs w:val="16"/>
          <w:u w:val="single" w:color="auto"/>
          <w:color w:val="auto"/>
        </w:rPr>
        <w:t>Section 5(a)(iii)</w:t>
      </w:r>
      <w:r>
        <w:rPr>
          <w:rFonts w:ascii="Arial" w:cs="Arial" w:eastAsia="Arial" w:hAnsi="Arial"/>
          <w:sz w:val="16"/>
          <w:szCs w:val="16"/>
          <w:color w:val="auto"/>
        </w:rPr>
        <w:t xml:space="preserve"> hereof, and</w:t>
      </w:r>
    </w:p>
    <w:p>
      <w:pPr>
        <w:spacing w:after="0" w:line="3" w:lineRule="exact"/>
        <w:rPr>
          <w:sz w:val="20"/>
          <w:szCs w:val="20"/>
          <w:color w:val="auto"/>
        </w:rPr>
      </w:pPr>
    </w:p>
    <w:p>
      <w:pPr>
        <w:ind w:left="284" w:hanging="284"/>
        <w:spacing w:after="0"/>
        <w:tabs>
          <w:tab w:leader="none" w:pos="284" w:val="left"/>
        </w:tabs>
        <w:numPr>
          <w:ilvl w:val="0"/>
          <w:numId w:val="33"/>
        </w:numPr>
        <w:rPr>
          <w:rFonts w:ascii="Arial" w:cs="Arial" w:eastAsia="Arial" w:hAnsi="Arial"/>
          <w:sz w:val="16"/>
          <w:szCs w:val="16"/>
          <w:color w:val="auto"/>
        </w:rPr>
      </w:pPr>
      <w:r>
        <w:rPr>
          <w:rFonts w:ascii="Arial" w:cs="Arial" w:eastAsia="Arial" w:hAnsi="Arial"/>
          <w:sz w:val="16"/>
          <w:szCs w:val="16"/>
          <w:color w:val="auto"/>
        </w:rPr>
        <w:t xml:space="preserve">containing any other certification that the Agent shall reasonably request. The requirement to provide a certificate under this </w:t>
      </w:r>
      <w:r>
        <w:rPr>
          <w:rFonts w:ascii="Arial" w:cs="Arial" w:eastAsia="Arial" w:hAnsi="Arial"/>
          <w:sz w:val="16"/>
          <w:szCs w:val="16"/>
          <w:u w:val="single" w:color="auto"/>
          <w:color w:val="auto"/>
        </w:rPr>
        <w:t>Section 4(o)</w:t>
      </w:r>
      <w:r>
        <w:rPr>
          <w:rFonts w:ascii="Arial" w:cs="Arial" w:eastAsia="Arial" w:hAnsi="Arial"/>
          <w:sz w:val="16"/>
          <w:szCs w:val="16"/>
          <w:color w:val="auto"/>
        </w:rPr>
        <w:t xml:space="preserve"> shall be</w:t>
      </w:r>
    </w:p>
    <w:p>
      <w:pPr>
        <w:spacing w:after="0" w:line="166" w:lineRule="exact"/>
        <w:rPr>
          <w:rFonts w:ascii="Arial" w:cs="Arial" w:eastAsia="Arial" w:hAnsi="Arial"/>
          <w:sz w:val="16"/>
          <w:szCs w:val="16"/>
          <w:color w:val="auto"/>
        </w:rPr>
      </w:pPr>
    </w:p>
    <w:p>
      <w:pPr>
        <w:ind w:left="5424"/>
        <w:spacing w:after="0"/>
        <w:rPr>
          <w:rFonts w:ascii="Arial" w:cs="Arial" w:eastAsia="Arial" w:hAnsi="Arial"/>
          <w:sz w:val="16"/>
          <w:szCs w:val="16"/>
          <w:color w:val="auto"/>
        </w:rPr>
      </w:pPr>
      <w:r>
        <w:rPr>
          <w:rFonts w:ascii="Arial" w:cs="Arial" w:eastAsia="Arial" w:hAnsi="Arial"/>
          <w:sz w:val="18"/>
          <w:szCs w:val="18"/>
          <w:color w:val="auto"/>
        </w:rPr>
        <w:t>25</w:t>
      </w:r>
    </w:p>
    <w:p>
      <w:pPr>
        <w:sectPr>
          <w:pgSz w:w="11900" w:h="16838" w:orient="portrait"/>
          <w:cols w:equalWidth="0" w:num="1">
            <w:col w:w="10984"/>
          </w:cols>
          <w:pgMar w:left="436" w:top="274" w:right="479" w:bottom="1440" w:gutter="0" w:footer="0" w:header="0"/>
        </w:sectPr>
      </w:pPr>
    </w:p>
    <w:bookmarkStart w:id="28" w:name="page29"/>
    <w:bookmarkEnd w:id="28"/>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automatically waived for any Triggering Event Date occurring at a time when no Issuance Notice is pending or a suspension is in effect, which automatic waiver shall continue until the earlier to occur of the date the Company delivers instructions for the sale of Shares hereunder (which for such calendar quarter shall be considered a Triggering Event Date) and the next occurring Triggering Event Date. Notwithstanding the foregoing, if the Company subsequently decides to sell Shares following a Triggering Event Date when a suspension was in effect and did not provide the Agent with a certificate under this Section 4(o), then before the Company delivers the instructions for the sale of Shares or the Agent sells any Shares pursuant to such instructions, the Company shall provide the Agent with a certificate in conformity with this Section 4(o) dated as of the date that the instructions for the sale of Shares are issued.</w:t>
      </w:r>
    </w:p>
    <w:p>
      <w:pPr>
        <w:spacing w:after="0" w:line="87" w:lineRule="exact"/>
        <w:rPr>
          <w:sz w:val="20"/>
          <w:szCs w:val="20"/>
          <w:color w:val="auto"/>
        </w:rPr>
      </w:pPr>
    </w:p>
    <w:p>
      <w:pPr>
        <w:ind w:firstLine="436"/>
        <w:spacing w:after="0" w:line="287" w:lineRule="auto"/>
        <w:tabs>
          <w:tab w:leader="none" w:pos="695" w:val="left"/>
        </w:tabs>
        <w:numPr>
          <w:ilvl w:val="0"/>
          <w:numId w:val="34"/>
        </w:numPr>
        <w:rPr>
          <w:rFonts w:ascii="Arial" w:cs="Arial" w:eastAsia="Arial" w:hAnsi="Arial"/>
          <w:sz w:val="16"/>
          <w:szCs w:val="16"/>
          <w:color w:val="auto"/>
        </w:rPr>
      </w:pPr>
      <w:r>
        <w:rPr>
          <w:rFonts w:ascii="Arial" w:cs="Arial" w:eastAsia="Arial" w:hAnsi="Arial"/>
          <w:sz w:val="16"/>
          <w:szCs w:val="16"/>
          <w:u w:val="single" w:color="auto"/>
          <w:color w:val="auto"/>
        </w:rPr>
        <w:t>Legal Opinions.</w:t>
      </w:r>
      <w:r>
        <w:rPr>
          <w:rFonts w:ascii="Arial" w:cs="Arial" w:eastAsia="Arial" w:hAnsi="Arial"/>
          <w:sz w:val="16"/>
          <w:szCs w:val="16"/>
          <w:color w:val="auto"/>
        </w:rPr>
        <w:t xml:space="preserve"> On or prior to the date of the first Issuance Notice and on or prior to each Triggering Event Date with respect to which the Company is obligated to deliver a certificate pursuant to Section 4(o) for which no waiver is applicable and excluding the date of this Agreement, a negative assurances letter and the written legal opinion of Sidley Austin LLP, counsel to the Company, Latham &amp; Watkins LLP, counsel to the Agent, and Wilson Sonsini Goodrich &amp; Rosati, intellectual property counsel to the Company, shall be delivered to the Agent, each dated the date of delivery, in form and substance reasonably satisfactory to the Agent and its counsel, substantially similar to the form previously provided to the Agent and its counsel, modified, as necessary, to relate to the Registration Statement and the Prospectus as then amended or supplemented; </w:t>
      </w:r>
      <w:r>
        <w:rPr>
          <w:rFonts w:ascii="Arial" w:cs="Arial" w:eastAsia="Arial" w:hAnsi="Arial"/>
          <w:sz w:val="16"/>
          <w:szCs w:val="16"/>
          <w:i w:val="1"/>
          <w:iCs w:val="1"/>
          <w:color w:val="auto"/>
        </w:rPr>
        <w:t>provided</w:t>
      </w:r>
      <w:r>
        <w:rPr>
          <w:rFonts w:ascii="Arial" w:cs="Arial" w:eastAsia="Arial" w:hAnsi="Arial"/>
          <w:sz w:val="16"/>
          <w:szCs w:val="16"/>
          <w:color w:val="auto"/>
        </w:rPr>
        <w:t>, however, that the Company shall be required to furnish no more than one legal opinion of each of Sidley Austin LLP, counsel to the Company and Wilson Sonsini Goodrich &amp; Rosati, intellectual property counsel to the Company and negative assurance letter of Sidley Austin LLP, counsel to the Company hereunder per each filing of an annual report on Form 10-K or a quarterly report on Form 10-Q. In lieu of such opinions for subsequent periodic filings, in the discretion of the Agent, the Company may furnish a reliance letter from such counsel to the Agent, permitting the Agent to rely on a previously delivered opinion letter, modified as appropriate for any passage of time or Triggering Event Date (except that statements in such prior opinion shall be deemed to relate to the Registration Statement and the Prospectus as amended or supplemented as of such Triggering Event Date).</w:t>
      </w:r>
    </w:p>
    <w:p>
      <w:pPr>
        <w:spacing w:after="0" w:line="59" w:lineRule="exact"/>
        <w:rPr>
          <w:rFonts w:ascii="Arial" w:cs="Arial" w:eastAsia="Arial" w:hAnsi="Arial"/>
          <w:sz w:val="16"/>
          <w:szCs w:val="16"/>
          <w:color w:val="auto"/>
        </w:rPr>
      </w:pPr>
    </w:p>
    <w:p>
      <w:pPr>
        <w:ind w:right="40" w:firstLine="436"/>
        <w:spacing w:after="0" w:line="269" w:lineRule="auto"/>
        <w:tabs>
          <w:tab w:leader="none" w:pos="695" w:val="left"/>
        </w:tabs>
        <w:numPr>
          <w:ilvl w:val="0"/>
          <w:numId w:val="34"/>
        </w:numPr>
        <w:rPr>
          <w:rFonts w:ascii="Arial" w:cs="Arial" w:eastAsia="Arial" w:hAnsi="Arial"/>
          <w:sz w:val="17"/>
          <w:szCs w:val="17"/>
          <w:color w:val="auto"/>
        </w:rPr>
      </w:pPr>
      <w:r>
        <w:rPr>
          <w:rFonts w:ascii="Arial" w:cs="Arial" w:eastAsia="Arial" w:hAnsi="Arial"/>
          <w:sz w:val="17"/>
          <w:szCs w:val="17"/>
          <w:u w:val="single" w:color="auto"/>
          <w:color w:val="auto"/>
        </w:rPr>
        <w:t>Comfort Letter</w:t>
      </w:r>
      <w:r>
        <w:rPr>
          <w:rFonts w:ascii="Arial" w:cs="Arial" w:eastAsia="Arial" w:hAnsi="Arial"/>
          <w:sz w:val="17"/>
          <w:szCs w:val="17"/>
          <w:color w:val="auto"/>
        </w:rPr>
        <w:t>. On or prior to the date of the first Issuance Notice and on or prior to each Triggering Event Date with respect to which the Company is obligated to deliver a certificate pursuant to Section 4(o) for which no waiver is applicable and excluding the date of this Agreement, the Company shall cause, the independent registered public accounting firms who have audited the financial statements included or incorporated by reference in the Registration Statement, to furnish the Agent a comfort letter, dated the date of delivery, in form and substance reasonably satisfactory to the Agent and its counsel, substantially similar to the form previously provided to the Agent and its counsel; provided, however, that any such comfort letter will only be required on the Triggering Event Date specified to the extent that it contains financial statements filed with the Commission under the Exchange Act and incorporated or deemed to be incorporated by reference into the Prospectus. If requested by the Agent, the Company shall also cause a comfort letter to be furnished to the Agent within ten (10) Trading Days of the date of occurrence of any material transaction or event requiring the filing of a current report on Form 8-K containing material amended financial information of the Company, including the restatement of the Company’s financial statements. The Company shall be required to furnish no more than one comfort letter hereunder per annual report on Form 10-K or Form 10-K/A and quarterly report on Form 10-Q or Form 10-Q/A filed by the Company.</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0"/>
          </w:cols>
          <w:pgMar w:left="440" w:top="274" w:right="459" w:bottom="1440" w:gutter="0" w:footer="0" w:header="0"/>
        </w:sectPr>
      </w:pPr>
    </w:p>
    <w:bookmarkStart w:id="29" w:name="page30"/>
    <w:bookmarkEnd w:id="29"/>
    <w:p>
      <w:pPr>
        <w:ind w:right="40" w:firstLine="436"/>
        <w:spacing w:after="0" w:line="272" w:lineRule="auto"/>
        <w:tabs>
          <w:tab w:leader="none" w:pos="665" w:val="left"/>
        </w:tabs>
        <w:numPr>
          <w:ilvl w:val="0"/>
          <w:numId w:val="35"/>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Secretary’s Certificate</w:t>
      </w:r>
      <w:r>
        <w:rPr>
          <w:rFonts w:ascii="Arial" w:cs="Arial" w:eastAsia="Arial" w:hAnsi="Arial"/>
          <w:sz w:val="17"/>
          <w:szCs w:val="17"/>
          <w:color w:val="auto"/>
        </w:rPr>
        <w:t>. On or prior to the date of the first Issuance Notice and on or prior to each Triggering Event Date, the Company shall furnish the Agent a certificate executed by the Secretary of the Company, signing in such capacity, dated the date of delivery (i) certifying that attached thereto are true and complete copies of the resolutions duly adopted by the Board of Directors of the Company authorizing the execution and delivery of this Agreement and the consummation of the transactions contemplated hereby (including, without limitation, the issuance of the Shares pursuant to this Agreement), which authorization shall be in full force and effect on and as of the date of such certificate, (ii) certifying and attesting to the office, incumbency, due authority and specimen signatures of each Person who executed this Agreement for or on behalf of the Company, and (iii) containing any other certification that the Agent shall reasonably request.</w:t>
      </w:r>
    </w:p>
    <w:p>
      <w:pPr>
        <w:spacing w:after="0" w:line="69" w:lineRule="exact"/>
        <w:rPr>
          <w:rFonts w:ascii="Arial" w:cs="Arial" w:eastAsia="Arial" w:hAnsi="Arial"/>
          <w:sz w:val="17"/>
          <w:szCs w:val="17"/>
          <w:color w:val="auto"/>
        </w:rPr>
      </w:pPr>
    </w:p>
    <w:p>
      <w:pPr>
        <w:ind w:right="380" w:firstLine="436"/>
        <w:spacing w:after="0" w:line="342" w:lineRule="auto"/>
        <w:tabs>
          <w:tab w:leader="none" w:pos="675" w:val="left"/>
        </w:tabs>
        <w:numPr>
          <w:ilvl w:val="0"/>
          <w:numId w:val="35"/>
        </w:numPr>
        <w:rPr>
          <w:rFonts w:ascii="Arial" w:cs="Arial" w:eastAsia="Arial" w:hAnsi="Arial"/>
          <w:sz w:val="16"/>
          <w:szCs w:val="16"/>
          <w:color w:val="auto"/>
        </w:rPr>
      </w:pPr>
      <w:r>
        <w:rPr>
          <w:rFonts w:ascii="Arial" w:cs="Arial" w:eastAsia="Arial" w:hAnsi="Arial"/>
          <w:sz w:val="16"/>
          <w:szCs w:val="16"/>
          <w:u w:val="single" w:color="auto"/>
          <w:color w:val="auto"/>
        </w:rPr>
        <w:t>Agent’s Own Account; Clients’ Account. The Company consents to the Agent trading, in compliance with applicable law, in the Common Shares for the Agent’s own account and for the account of its clients at the same time as sales of the Shares occur pursuant to this Agreement.</w:t>
      </w:r>
    </w:p>
    <w:p>
      <w:pPr>
        <w:spacing w:after="0" w:line="15" w:lineRule="exact"/>
        <w:rPr>
          <w:rFonts w:ascii="Arial" w:cs="Arial" w:eastAsia="Arial" w:hAnsi="Arial"/>
          <w:sz w:val="16"/>
          <w:szCs w:val="16"/>
          <w:color w:val="auto"/>
        </w:rPr>
      </w:pPr>
    </w:p>
    <w:p>
      <w:pPr>
        <w:ind w:right="280" w:firstLine="436"/>
        <w:spacing w:after="0" w:line="342" w:lineRule="auto"/>
        <w:tabs>
          <w:tab w:leader="none" w:pos="655" w:val="left"/>
        </w:tabs>
        <w:numPr>
          <w:ilvl w:val="0"/>
          <w:numId w:val="35"/>
        </w:numPr>
        <w:rPr>
          <w:rFonts w:ascii="Arial" w:cs="Arial" w:eastAsia="Arial" w:hAnsi="Arial"/>
          <w:sz w:val="16"/>
          <w:szCs w:val="16"/>
          <w:color w:val="auto"/>
        </w:rPr>
      </w:pPr>
      <w:r>
        <w:rPr>
          <w:rFonts w:ascii="Arial" w:cs="Arial" w:eastAsia="Arial" w:hAnsi="Arial"/>
          <w:sz w:val="16"/>
          <w:szCs w:val="16"/>
          <w:u w:val="single" w:color="auto"/>
          <w:color w:val="auto"/>
        </w:rPr>
        <w:t>Investment Limitation</w:t>
      </w:r>
      <w:r>
        <w:rPr>
          <w:rFonts w:ascii="Arial" w:cs="Arial" w:eastAsia="Arial" w:hAnsi="Arial"/>
          <w:sz w:val="16"/>
          <w:szCs w:val="16"/>
          <w:color w:val="auto"/>
        </w:rPr>
        <w:t>. The Company shall not invest, or otherwise use the proceeds received by the Company from its sale of the Shares in such a manner as would require the Company or any of its subsidiaries to register as an investment company under the Investment Company Act.</w:t>
      </w:r>
    </w:p>
    <w:p>
      <w:pPr>
        <w:spacing w:after="0" w:line="15" w:lineRule="exact"/>
        <w:rPr>
          <w:rFonts w:ascii="Arial" w:cs="Arial" w:eastAsia="Arial" w:hAnsi="Arial"/>
          <w:sz w:val="16"/>
          <w:szCs w:val="16"/>
          <w:color w:val="auto"/>
        </w:rPr>
      </w:pPr>
    </w:p>
    <w:p>
      <w:pPr>
        <w:ind w:right="140" w:firstLine="436"/>
        <w:spacing w:after="0" w:line="291" w:lineRule="auto"/>
        <w:tabs>
          <w:tab w:leader="none" w:pos="695" w:val="left"/>
        </w:tabs>
        <w:numPr>
          <w:ilvl w:val="0"/>
          <w:numId w:val="35"/>
        </w:numPr>
        <w:rPr>
          <w:rFonts w:ascii="Arial" w:cs="Arial" w:eastAsia="Arial" w:hAnsi="Arial"/>
          <w:sz w:val="16"/>
          <w:szCs w:val="16"/>
          <w:color w:val="auto"/>
        </w:rPr>
      </w:pPr>
      <w:r>
        <w:rPr>
          <w:rFonts w:ascii="Arial" w:cs="Arial" w:eastAsia="Arial" w:hAnsi="Arial"/>
          <w:sz w:val="16"/>
          <w:szCs w:val="16"/>
          <w:u w:val="single" w:color="auto"/>
          <w:color w:val="auto"/>
        </w:rPr>
        <w:t>Market Activities</w:t>
      </w:r>
      <w:r>
        <w:rPr>
          <w:rFonts w:ascii="Arial" w:cs="Arial" w:eastAsia="Arial" w:hAnsi="Arial"/>
          <w:sz w:val="16"/>
          <w:szCs w:val="16"/>
          <w:color w:val="auto"/>
        </w:rPr>
        <w:t>. The Company will not take, directly or indirectly, any action designed to or that might be reasonably expected to cause or result in stabilization or manipulation of the price of the Shares or any other reference security, whether to facilitate the sale or resale of the Shares or otherwise, and the Company will, and shall cause each of its Affiliates to, comply with all applicable provisions of Regulation M. If the limitations of Rule 102 of Regulation M (“</w:t>
      </w:r>
      <w:r>
        <w:rPr>
          <w:rFonts w:ascii="Arial" w:cs="Arial" w:eastAsia="Arial" w:hAnsi="Arial"/>
          <w:sz w:val="16"/>
          <w:szCs w:val="16"/>
          <w:b w:val="1"/>
          <w:bCs w:val="1"/>
          <w:color w:val="auto"/>
        </w:rPr>
        <w:t>Rule 102</w:t>
      </w:r>
      <w:r>
        <w:rPr>
          <w:rFonts w:ascii="Arial" w:cs="Arial" w:eastAsia="Arial" w:hAnsi="Arial"/>
          <w:sz w:val="16"/>
          <w:szCs w:val="16"/>
          <w:color w:val="auto"/>
        </w:rPr>
        <w:t>”) do not apply with respect to the Shares or any other reference security pursuant to any exception set forth in Section (d) of Rule 102, then promptly upon notice from the Agent (or, if later, at the time stated in the notice), the Company will, and shall cause each of its Affiliates to, comply with Rule 102 as though such exception were not available but the other provisions of Rule 102 (as interpreted by the Commission) did apply. The Company shall promptly notify the Agent if it no longer meets the requirements set forth in Section (d) of Rule 102.</w:t>
      </w:r>
    </w:p>
    <w:p>
      <w:pPr>
        <w:spacing w:after="0" w:line="58" w:lineRule="exact"/>
        <w:rPr>
          <w:rFonts w:ascii="Arial" w:cs="Arial" w:eastAsia="Arial" w:hAnsi="Arial"/>
          <w:sz w:val="16"/>
          <w:szCs w:val="16"/>
          <w:color w:val="auto"/>
        </w:rPr>
      </w:pPr>
    </w:p>
    <w:p>
      <w:pPr>
        <w:ind w:firstLine="436"/>
        <w:spacing w:after="0" w:line="254" w:lineRule="auto"/>
        <w:tabs>
          <w:tab w:leader="none" w:pos="695"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Notice of Other Sale</w:t>
      </w:r>
      <w:r>
        <w:rPr>
          <w:rFonts w:ascii="Arial" w:cs="Arial" w:eastAsia="Arial" w:hAnsi="Arial"/>
          <w:sz w:val="18"/>
          <w:szCs w:val="18"/>
          <w:color w:val="auto"/>
        </w:rPr>
        <w:t>. Without the written consent of the Agent, the Company will not, directly or indirectly, (i) offer to sell, sell, contract to sell, grant any option to sell or otherwise dispose of any Common Shares or securities convertible into or exchangeable for Common Shares (other than Shares hereunder), warrants or any rights to purchase or acquire Common Shares, during the period beginning on the third Trading Day immediately prior to the date on which any Issuance Notice is delivered to the Agent hereunder and ending on the third Trading Day immediately following the Settlement Date with respect to Shares sold pursuant to such Issuance Notice; (ii) effect a reverse stock split, recapitalization, share consolidation, reclassification or similar transaction affecting the outstanding Common Shares; or (iii) enter into any other “at the market” or continuous equity transaction offer to sell, sell, contract to sell, grant any option to sell or otherwise dispose of any Common Shares (other than the Shares offered pursuant to this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00"/>
          </w:cols>
          <w:pgMar w:left="440" w:top="274" w:right="459" w:bottom="1440" w:gutter="0" w:footer="0" w:header="0"/>
        </w:sectPr>
      </w:pPr>
    </w:p>
    <w:bookmarkStart w:id="30" w:name="page31"/>
    <w:bookmarkEnd w:id="30"/>
    <w:p>
      <w:pPr>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Agreement) or securities convertible into or exchangeable for Common Shares, warrants or any rights to purchase or acquire, Common Shares prior to the termination of this Agreement; provided, however, that such restrictions will not be required in connection with the Company’s (i) issuance or sale of Common Shares, options to purchase Common Shares or Common Shares issuable upon the exercise of options or other equity awards pursuant to any employee or director share option, incentive or benefit plan, share purchase or ownership plan, long-term incentive plan, dividend reinvestment plan, inducement award under the rules of the Principal Market or other compensation plan of the Company or its subsidiaries, as in effect on the date of this Agreement, (ii) issuance or sale of Common Shares issuable upon exchange, conversion or redemption of securities or the exercise or vesting of warrants, options or other equity awards outstanding at the date of this Agreement, and (iii) modification of any outstanding options, warrants of any rights to purchase or acquire Common Shares.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 CONDITIONS TO DELIVERY OF ISSUANCE NOTICES AND TO SETTLEMENT</w:t>
      </w:r>
    </w:p>
    <w:p>
      <w:pPr>
        <w:spacing w:after="0" w:line="121" w:lineRule="exact"/>
        <w:rPr>
          <w:sz w:val="20"/>
          <w:szCs w:val="20"/>
          <w:color w:val="auto"/>
        </w:rPr>
      </w:pPr>
    </w:p>
    <w:p>
      <w:pPr>
        <w:ind w:right="60" w:firstLine="436"/>
        <w:spacing w:after="0" w:line="301" w:lineRule="auto"/>
        <w:tabs>
          <w:tab w:leader="none" w:pos="685" w:val="left"/>
        </w:tabs>
        <w:numPr>
          <w:ilvl w:val="1"/>
          <w:numId w:val="36"/>
        </w:numPr>
        <w:rPr>
          <w:rFonts w:ascii="Arial" w:cs="Arial" w:eastAsia="Arial" w:hAnsi="Arial"/>
          <w:sz w:val="16"/>
          <w:szCs w:val="16"/>
          <w:color w:val="auto"/>
        </w:rPr>
      </w:pPr>
      <w:r>
        <w:rPr>
          <w:rFonts w:ascii="Arial" w:cs="Arial" w:eastAsia="Arial" w:hAnsi="Arial"/>
          <w:sz w:val="16"/>
          <w:szCs w:val="16"/>
          <w:u w:val="single" w:color="auto"/>
          <w:color w:val="auto"/>
        </w:rPr>
        <w:t>Conditions Precedent to the Right of the Company to Deliver an Issuance Notice and the Obligation of the Agent to Sell Shares</w:t>
      </w:r>
      <w:r>
        <w:rPr>
          <w:rFonts w:ascii="Arial" w:cs="Arial" w:eastAsia="Arial" w:hAnsi="Arial"/>
          <w:sz w:val="16"/>
          <w:szCs w:val="16"/>
          <w:color w:val="auto"/>
        </w:rPr>
        <w:t>. The right of the Company to deliver an Issuance Notice hereunder is subject to the satisfaction, on the date of delivery of such Issuance Notice, and the obligation of the Agent to use its commercially reasonable efforts to place Shares during the applicable period set forth in the Issuance Notice is subject to the satisfaction, on each Trading Day during the applicable period set forth in the Issuance Notice, of each of the following conditions:</w:t>
      </w:r>
    </w:p>
    <w:p>
      <w:pPr>
        <w:spacing w:after="0" w:line="62" w:lineRule="exact"/>
        <w:rPr>
          <w:rFonts w:ascii="Arial" w:cs="Arial" w:eastAsia="Arial" w:hAnsi="Arial"/>
          <w:sz w:val="16"/>
          <w:szCs w:val="16"/>
          <w:color w:val="auto"/>
        </w:rPr>
      </w:pPr>
    </w:p>
    <w:p>
      <w:pPr>
        <w:ind w:left="960" w:hanging="532"/>
        <w:spacing w:after="0" w:line="257" w:lineRule="auto"/>
        <w:tabs>
          <w:tab w:leader="none" w:pos="960" w:val="left"/>
        </w:tabs>
        <w:numPr>
          <w:ilvl w:val="1"/>
          <w:numId w:val="37"/>
        </w:numPr>
        <w:rPr>
          <w:rFonts w:ascii="Arial" w:cs="Arial" w:eastAsia="Arial" w:hAnsi="Arial"/>
          <w:sz w:val="18"/>
          <w:szCs w:val="18"/>
          <w:color w:val="auto"/>
        </w:rPr>
      </w:pPr>
      <w:r>
        <w:rPr>
          <w:rFonts w:ascii="Arial" w:cs="Arial" w:eastAsia="Arial" w:hAnsi="Arial"/>
          <w:sz w:val="18"/>
          <w:szCs w:val="18"/>
          <w:u w:val="single" w:color="auto"/>
          <w:color w:val="auto"/>
        </w:rPr>
        <w:t>Accuracy of the Company’s Representations and Warranties; Performance by the Company</w:t>
      </w:r>
      <w:r>
        <w:rPr>
          <w:rFonts w:ascii="Arial" w:cs="Arial" w:eastAsia="Arial" w:hAnsi="Arial"/>
          <w:sz w:val="18"/>
          <w:szCs w:val="18"/>
          <w:color w:val="auto"/>
        </w:rPr>
        <w:t xml:space="preserve">. The Company shall have delivered the certificate required to be delivered pursuant to </w:t>
      </w:r>
      <w:r>
        <w:rPr>
          <w:rFonts w:ascii="Arial" w:cs="Arial" w:eastAsia="Arial" w:hAnsi="Arial"/>
          <w:sz w:val="18"/>
          <w:szCs w:val="18"/>
          <w:u w:val="single" w:color="auto"/>
          <w:color w:val="auto"/>
        </w:rPr>
        <w:t>Section 4(o)</w:t>
      </w:r>
      <w:r>
        <w:rPr>
          <w:rFonts w:ascii="Arial" w:cs="Arial" w:eastAsia="Arial" w:hAnsi="Arial"/>
          <w:sz w:val="18"/>
          <w:szCs w:val="18"/>
          <w:color w:val="auto"/>
        </w:rPr>
        <w:t xml:space="preserve"> on or before the date on which delivery of such certificate is required pursuant to </w:t>
      </w:r>
      <w:r>
        <w:rPr>
          <w:rFonts w:ascii="Arial" w:cs="Arial" w:eastAsia="Arial" w:hAnsi="Arial"/>
          <w:sz w:val="18"/>
          <w:szCs w:val="18"/>
          <w:u w:val="single" w:color="auto"/>
          <w:color w:val="auto"/>
        </w:rPr>
        <w:t>Section 4(o)</w:t>
      </w:r>
      <w:r>
        <w:rPr>
          <w:rFonts w:ascii="Arial" w:cs="Arial" w:eastAsia="Arial" w:hAnsi="Arial"/>
          <w:sz w:val="18"/>
          <w:szCs w:val="18"/>
          <w:color w:val="auto"/>
        </w:rPr>
        <w:t xml:space="preserve">. The Company shall have performed, satisfied and complied with all covenants, agreements and conditions required by this Agreement to be performed, satisfied or complied with by the Company at or prior to such date, including, but not limited to, the covenants contained in </w:t>
      </w:r>
      <w:r>
        <w:rPr>
          <w:rFonts w:ascii="Arial" w:cs="Arial" w:eastAsia="Arial" w:hAnsi="Arial"/>
          <w:sz w:val="18"/>
          <w:szCs w:val="18"/>
          <w:u w:val="single" w:color="auto"/>
          <w:color w:val="auto"/>
        </w:rPr>
        <w:t>Section 4(m)</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4(q)</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4(r)</w:t>
      </w:r>
      <w:r>
        <w:rPr>
          <w:rFonts w:ascii="Arial" w:cs="Arial" w:eastAsia="Arial" w:hAnsi="Arial"/>
          <w:sz w:val="18"/>
          <w:szCs w:val="18"/>
          <w:color w:val="auto"/>
        </w:rPr>
        <w:t>.</w:t>
      </w:r>
    </w:p>
    <w:p>
      <w:pPr>
        <w:spacing w:after="0" w:line="93" w:lineRule="exact"/>
        <w:rPr>
          <w:rFonts w:ascii="Arial" w:cs="Arial" w:eastAsia="Arial" w:hAnsi="Arial"/>
          <w:sz w:val="18"/>
          <w:szCs w:val="18"/>
          <w:color w:val="auto"/>
        </w:rPr>
      </w:pPr>
    </w:p>
    <w:p>
      <w:pPr>
        <w:ind w:left="960" w:right="60" w:hanging="532"/>
        <w:spacing w:after="0" w:line="257" w:lineRule="auto"/>
        <w:tabs>
          <w:tab w:leader="none" w:pos="960" w:val="left"/>
        </w:tabs>
        <w:numPr>
          <w:ilvl w:val="1"/>
          <w:numId w:val="38"/>
        </w:numPr>
        <w:rPr>
          <w:rFonts w:ascii="Arial" w:cs="Arial" w:eastAsia="Arial" w:hAnsi="Arial"/>
          <w:sz w:val="18"/>
          <w:szCs w:val="18"/>
          <w:color w:val="auto"/>
        </w:rPr>
      </w:pPr>
      <w:r>
        <w:rPr>
          <w:rFonts w:ascii="Arial" w:cs="Arial" w:eastAsia="Arial" w:hAnsi="Arial"/>
          <w:sz w:val="18"/>
          <w:szCs w:val="18"/>
          <w:u w:val="single" w:color="auto"/>
          <w:color w:val="auto"/>
        </w:rPr>
        <w:t>No Injunction</w:t>
      </w:r>
      <w:r>
        <w:rPr>
          <w:rFonts w:ascii="Arial" w:cs="Arial" w:eastAsia="Arial" w:hAnsi="Arial"/>
          <w:sz w:val="18"/>
          <w:szCs w:val="18"/>
          <w:color w:val="auto"/>
        </w:rPr>
        <w:t>. No statute, rule, regulation, executive order, decree, ruling or injunction shall have been enacted, entered, promulgated or endorsed by any court or governmental authority of competent jurisdiction or any self-regulatory organization having authority over the matters contemplated hereby that prohibits or directly and materially adversely affects any of the transactions contemplated by this Agreement, and no proceeding shall have been commenced that may have the effect of prohibiting or materially adversely affecting any of the transactions contemplated by this Agreement.</w:t>
      </w:r>
    </w:p>
    <w:p>
      <w:pPr>
        <w:spacing w:after="0" w:line="93" w:lineRule="exact"/>
        <w:rPr>
          <w:rFonts w:ascii="Arial" w:cs="Arial" w:eastAsia="Arial" w:hAnsi="Arial"/>
          <w:sz w:val="18"/>
          <w:szCs w:val="18"/>
          <w:color w:val="auto"/>
        </w:rPr>
      </w:pPr>
    </w:p>
    <w:p>
      <w:pPr>
        <w:ind w:left="960" w:right="80" w:hanging="532"/>
        <w:spacing w:after="0" w:line="286" w:lineRule="auto"/>
        <w:tabs>
          <w:tab w:leader="none" w:pos="960" w:val="left"/>
        </w:tabs>
        <w:numPr>
          <w:ilvl w:val="1"/>
          <w:numId w:val="39"/>
        </w:numPr>
        <w:rPr>
          <w:rFonts w:ascii="Arial" w:cs="Arial" w:eastAsia="Arial" w:hAnsi="Arial"/>
          <w:sz w:val="17"/>
          <w:szCs w:val="17"/>
          <w:color w:val="auto"/>
        </w:rPr>
      </w:pPr>
      <w:r>
        <w:rPr>
          <w:rFonts w:ascii="Arial" w:cs="Arial" w:eastAsia="Arial" w:hAnsi="Arial"/>
          <w:sz w:val="17"/>
          <w:szCs w:val="17"/>
          <w:u w:val="single" w:color="auto"/>
          <w:color w:val="auto"/>
        </w:rPr>
        <w:t>Material Adverse Changes</w:t>
      </w:r>
      <w:r>
        <w:rPr>
          <w:rFonts w:ascii="Arial" w:cs="Arial" w:eastAsia="Arial" w:hAnsi="Arial"/>
          <w:sz w:val="17"/>
          <w:szCs w:val="17"/>
          <w:color w:val="auto"/>
        </w:rPr>
        <w:t>. Except as disclosed in the Prospectus and the Time of Sale Information, (a) in the judgment of the Agent there shall not have occurred any Material Adverse Change; and (b) there shall not have occurred any downgrading, nor shall any notice have been given of any intended or potential downgrading or of any review for a possible change that does not indicate the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0"/>
          </w:cols>
          <w:pgMar w:left="440" w:top="274" w:right="459" w:bottom="1440" w:gutter="0" w:footer="0" w:header="0"/>
        </w:sectPr>
      </w:pPr>
    </w:p>
    <w:bookmarkStart w:id="31" w:name="page32"/>
    <w:bookmarkEnd w:id="31"/>
    <w:p>
      <w:pPr>
        <w:ind w:left="980" w:right="66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direction of the possible change, in the rating accorded any securities of the Company or any of its subsidiaries by any “nationally recognized statistical rating organization” as such term is defined for purposes of Section 3(a)(62) of the Exchange Act.</w:t>
      </w:r>
    </w:p>
    <w:p>
      <w:pPr>
        <w:spacing w:after="0" w:line="29" w:lineRule="exact"/>
        <w:rPr>
          <w:sz w:val="20"/>
          <w:szCs w:val="20"/>
          <w:color w:val="auto"/>
        </w:rPr>
      </w:pPr>
    </w:p>
    <w:p>
      <w:pPr>
        <w:ind w:left="960" w:hanging="532"/>
        <w:spacing w:after="0" w:line="287" w:lineRule="auto"/>
        <w:tabs>
          <w:tab w:leader="none" w:pos="960" w:val="left"/>
        </w:tabs>
        <w:numPr>
          <w:ilvl w:val="0"/>
          <w:numId w:val="40"/>
        </w:numPr>
        <w:rPr>
          <w:rFonts w:ascii="Arial" w:cs="Arial" w:eastAsia="Arial" w:hAnsi="Arial"/>
          <w:sz w:val="16"/>
          <w:szCs w:val="16"/>
          <w:color w:val="auto"/>
        </w:rPr>
      </w:pPr>
      <w:r>
        <w:rPr>
          <w:rFonts w:ascii="Arial" w:cs="Arial" w:eastAsia="Arial" w:hAnsi="Arial"/>
          <w:sz w:val="16"/>
          <w:szCs w:val="16"/>
          <w:u w:val="single" w:color="auto"/>
          <w:color w:val="auto"/>
        </w:rPr>
        <w:t>No Suspension of Trading in or Delisting of Common Shares; Other Events</w:t>
      </w:r>
      <w:r>
        <w:rPr>
          <w:rFonts w:ascii="Arial" w:cs="Arial" w:eastAsia="Arial" w:hAnsi="Arial"/>
          <w:sz w:val="16"/>
          <w:szCs w:val="16"/>
          <w:color w:val="auto"/>
        </w:rPr>
        <w:t>. The trading of the Common Shares (including without limitation the Shares) shall not have been suspended by the Commission, the Principal Market or FINRA and the Common Shares (including without limitation the Shares) shall have been approved for listing or quotation on and shall not have been delisted from the Principal Market or any of its constituent markets. There shall not have occurred (and be continuing in the case of occurrences under clauses (i) and (ii) below) any of the following: (i) trading or quotation in any of the Company’s securities shall have been suspended or limited by the Commission or by the Principal Market or trading in securities generally on the Principal Market shall have been suspended or limited, or minimum or maximum prices shall have been generally established on any of such stock exchanges by the Commission or FINRA; (ii) a general banking moratorium shall have been declared by any of federal or New York, authorities; or (iii) there shall have occurred any outbreak or escalation of national or international hostilities or any crisis or calamity, or any change in the United States or international financial markets, or any substantial change or development involving a prospective substantial change in United States’ or international political, financial or economic conditions, as in the judgment of the Agent is material and adverse and makes it impracticable to market the Shares in the manner and on the terms described in the Prospectus or to enforce contracts for the sale of securities.</w:t>
      </w:r>
    </w:p>
    <w:p>
      <w:pPr>
        <w:spacing w:after="0" w:line="60" w:lineRule="exact"/>
        <w:rPr>
          <w:sz w:val="20"/>
          <w:szCs w:val="20"/>
          <w:color w:val="auto"/>
        </w:rPr>
      </w:pPr>
    </w:p>
    <w:p>
      <w:pPr>
        <w:ind w:right="60" w:firstLine="436"/>
        <w:spacing w:after="0" w:line="275" w:lineRule="auto"/>
        <w:tabs>
          <w:tab w:leader="none" w:pos="695" w:val="left"/>
        </w:tabs>
        <w:numPr>
          <w:ilvl w:val="0"/>
          <w:numId w:val="41"/>
        </w:numPr>
        <w:rPr>
          <w:rFonts w:ascii="Arial" w:cs="Arial" w:eastAsia="Arial" w:hAnsi="Arial"/>
          <w:sz w:val="17"/>
          <w:szCs w:val="17"/>
          <w:color w:val="auto"/>
        </w:rPr>
      </w:pPr>
      <w:r>
        <w:rPr>
          <w:rFonts w:ascii="Arial" w:cs="Arial" w:eastAsia="Arial" w:hAnsi="Arial"/>
          <w:sz w:val="17"/>
          <w:szCs w:val="17"/>
          <w:u w:val="single" w:color="auto"/>
          <w:color w:val="auto"/>
        </w:rPr>
        <w:t>Documents Required to be Delivered on each Issuance Notice Date</w:t>
      </w:r>
      <w:r>
        <w:rPr>
          <w:rFonts w:ascii="Arial" w:cs="Arial" w:eastAsia="Arial" w:hAnsi="Arial"/>
          <w:sz w:val="17"/>
          <w:szCs w:val="17"/>
          <w:color w:val="auto"/>
        </w:rPr>
        <w:t>. The Agent’s obligation to use its commercially reasonable efforts to place Shares hereunder shall additionally be conditioned upon the delivery to the Agent on or before the Issuance Notice Date of a certificate in form and substance reasonably satisfactory to the Agent, executed by the Chief Executive Officer, President or Chief Financial Officer of the Company, to the effect that all conditions to the delivery of such Issuance Notice shall have been satisfied as at the date of such certificate (which certificate shall not be required if the foregoing representations shall be set forth in the Issuance Notice).</w:t>
      </w:r>
    </w:p>
    <w:p>
      <w:pPr>
        <w:spacing w:after="0" w:line="68" w:lineRule="exact"/>
        <w:rPr>
          <w:rFonts w:ascii="Arial" w:cs="Arial" w:eastAsia="Arial" w:hAnsi="Arial"/>
          <w:sz w:val="17"/>
          <w:szCs w:val="17"/>
          <w:color w:val="auto"/>
        </w:rPr>
      </w:pPr>
    </w:p>
    <w:p>
      <w:pPr>
        <w:ind w:right="140" w:firstLine="436"/>
        <w:spacing w:after="0" w:line="259" w:lineRule="auto"/>
        <w:tabs>
          <w:tab w:leader="none" w:pos="685"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No Misstatement or Material Omission</w:t>
      </w:r>
      <w:r>
        <w:rPr>
          <w:rFonts w:ascii="Arial" w:cs="Arial" w:eastAsia="Arial" w:hAnsi="Arial"/>
          <w:sz w:val="18"/>
          <w:szCs w:val="18"/>
          <w:color w:val="auto"/>
        </w:rPr>
        <w:t>. The Agent shall not have advised the Company that the Registration Statement, the Prospectus or the Time of Sales Information, or any amendment or supplement thereto, contains an untrue statement of fact that in the Agent’s reasonable opinion is material, or omits to state a fact that in the Agent’s reasonable opinion is material and is required to be stated therein or is necessary to make the statements therein not misleading.</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00"/>
          </w:cols>
          <w:pgMar w:left="440" w:top="274" w:right="459" w:bottom="1440" w:gutter="0" w:footer="0" w:header="0"/>
        </w:sectPr>
      </w:pPr>
    </w:p>
    <w:bookmarkStart w:id="32" w:name="page33"/>
    <w:bookmarkEnd w:id="32"/>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6. INDEMNIFICATION AND CONTRIBUTION</w:t>
      </w:r>
    </w:p>
    <w:p>
      <w:pPr>
        <w:spacing w:after="0" w:line="121" w:lineRule="exact"/>
        <w:rPr>
          <w:sz w:val="20"/>
          <w:szCs w:val="20"/>
          <w:color w:val="auto"/>
        </w:rPr>
      </w:pPr>
    </w:p>
    <w:p>
      <w:pPr>
        <w:ind w:left="4" w:right="120" w:firstLine="436"/>
        <w:spacing w:after="0" w:line="284" w:lineRule="auto"/>
        <w:tabs>
          <w:tab w:leader="none" w:pos="689" w:val="left"/>
        </w:tabs>
        <w:numPr>
          <w:ilvl w:val="1"/>
          <w:numId w:val="42"/>
        </w:numPr>
        <w:rPr>
          <w:rFonts w:ascii="Arial" w:cs="Arial" w:eastAsia="Arial" w:hAnsi="Arial"/>
          <w:sz w:val="16"/>
          <w:szCs w:val="16"/>
          <w:color w:val="auto"/>
        </w:rPr>
      </w:pPr>
      <w:r>
        <w:rPr>
          <w:rFonts w:ascii="Arial" w:cs="Arial" w:eastAsia="Arial" w:hAnsi="Arial"/>
          <w:sz w:val="16"/>
          <w:szCs w:val="16"/>
          <w:u w:val="single" w:color="auto"/>
          <w:color w:val="auto"/>
        </w:rPr>
        <w:t>Indemnification of the Agent</w:t>
      </w:r>
      <w:r>
        <w:rPr>
          <w:rFonts w:ascii="Arial" w:cs="Arial" w:eastAsia="Arial" w:hAnsi="Arial"/>
          <w:sz w:val="16"/>
          <w:szCs w:val="16"/>
          <w:color w:val="auto"/>
        </w:rPr>
        <w:t>. The Company agrees to indemnify and hold harmless the Agent, its officers and employees, and each person, if any, who controls the Agent within the meaning of the Securities Act or the Exchange Act against any loss, claim, damage, liability or expense, as incurred, to which the Agent or such officer, employee or controlling person may become subject, under the Securities Act, the Exchange Act, other federal or state statutory law or regulation, or the laws or regulations of foreign jurisdictions where Shares have been offered or sold or at common law or otherwise (including in settlement of any litigation), insofar as such loss, claim, damage, liability or expense (or actions in respect thereof as contemplated below) arises out of or is based upon (i) any untrue statement or alleged untrue statement of a material fact contained in the Registration Statement, or any amendment thereto, including any information deemed to be a part thereof pursuant to Rule 430B under the Securities Act, or the omission or alleged omission therefrom of a material fact required to be stated therein or necessary to make the statements therein not misleading;</w:t>
      </w:r>
    </w:p>
    <w:p>
      <w:pPr>
        <w:ind w:left="4" w:right="20" w:hanging="4"/>
        <w:spacing w:after="0" w:line="284" w:lineRule="auto"/>
        <w:tabs>
          <w:tab w:leader="none" w:pos="269" w:val="left"/>
        </w:tabs>
        <w:numPr>
          <w:ilvl w:val="0"/>
          <w:numId w:val="43"/>
        </w:numPr>
        <w:rPr>
          <w:rFonts w:ascii="Arial" w:cs="Arial" w:eastAsia="Arial" w:hAnsi="Arial"/>
          <w:sz w:val="16"/>
          <w:szCs w:val="16"/>
          <w:color w:val="auto"/>
        </w:rPr>
      </w:pPr>
      <w:r>
        <w:rPr>
          <w:rFonts w:ascii="Arial" w:cs="Arial" w:eastAsia="Arial" w:hAnsi="Arial"/>
          <w:sz w:val="16"/>
          <w:szCs w:val="16"/>
          <w:color w:val="auto"/>
        </w:rPr>
        <w:t xml:space="preserve">any untrue statement or alleged untrue statement of a material fact contained in any Free Writing Prospectus that the Company has used, referred to or filed, or is required to file, pursuant to Rule 433(d) of the Securities Act or the Prospectus (or any amendment or supplement thereto), or the omission or alleged omission therefrom of a material fact necessary in order to make the statements therein, in the light of the circumstances under which they were made, not misleading; or (iii) any act or failure to act or any alleged act or failure to act by the Agent in connection with, or relating in any manner to, the Common Shares or the offering contemplated hereby, and which is included as part of or referred to in any loss, claim, damage, liability or action arising out of or based upon any matter covered by clause (i) or (ii) above, provided that the Company shall not be liable under this clause (iii) to the extent that a court of competent jurisdiction shall have determined by a final judgment that such loss, claim, damage, liability or action resulted directly from any such acts or failures to act undertaken or omitted to be taken by the Agent through its bad faith or willful misconduct, and to reimburse the Agent and each such officer, employee and controlling person for any and all expenses (including the reasonable and documented fees and disbursements of counsel chosen by the Agent) as such expenses are reasonably incurred by the Agent or such officer, employee or controlling person in connection with investigating, defending, settling, compromising or paying any such loss, claim, damage, liability, expense or action; provided, however, that the foregoing indemnity agreement shall not apply to any loss, claim, damage, liability or expense to the extent, but only to the extent, arising out of or based upon any untrue statement or alleged untrue statement or omission or alleged omission made in reliance upon and in conformity with written information furnished to the Company by the Agent expressly for use in the Registration Statement, any such Free Writing Prospectus or the Prospectus (or any amendment or supplement thereto), it being understood and agreed that the only such information furnished by the Agent to the Company consists of the information set forth in the first sentence of the ninth paragraph under the caption “Plan of Distribution” in the Prospectus. The indemnity agreement set forth in this </w:t>
      </w:r>
      <w:r>
        <w:rPr>
          <w:rFonts w:ascii="Arial" w:cs="Arial" w:eastAsia="Arial" w:hAnsi="Arial"/>
          <w:sz w:val="16"/>
          <w:szCs w:val="16"/>
          <w:u w:val="single" w:color="auto"/>
          <w:color w:val="auto"/>
        </w:rPr>
        <w:t>Section 6(a)</w:t>
      </w:r>
      <w:r>
        <w:rPr>
          <w:rFonts w:ascii="Arial" w:cs="Arial" w:eastAsia="Arial" w:hAnsi="Arial"/>
          <w:sz w:val="16"/>
          <w:szCs w:val="16"/>
          <w:color w:val="auto"/>
        </w:rPr>
        <w:t xml:space="preserve"> shall be in addition to any liabilities that the Company may otherwise have.</w:t>
      </w:r>
    </w:p>
    <w:p>
      <w:pPr>
        <w:spacing w:after="0" w:line="64" w:lineRule="exact"/>
        <w:rPr>
          <w:rFonts w:ascii="Arial" w:cs="Arial" w:eastAsia="Arial" w:hAnsi="Arial"/>
          <w:sz w:val="16"/>
          <w:szCs w:val="16"/>
          <w:color w:val="auto"/>
        </w:rPr>
      </w:pPr>
    </w:p>
    <w:p>
      <w:pPr>
        <w:ind w:left="4" w:firstLine="436"/>
        <w:spacing w:after="0" w:line="273" w:lineRule="auto"/>
        <w:tabs>
          <w:tab w:leader="none" w:pos="699" w:val="left"/>
        </w:tabs>
        <w:numPr>
          <w:ilvl w:val="1"/>
          <w:numId w:val="43"/>
        </w:numPr>
        <w:rPr>
          <w:rFonts w:ascii="Arial" w:cs="Arial" w:eastAsia="Arial" w:hAnsi="Arial"/>
          <w:sz w:val="17"/>
          <w:szCs w:val="17"/>
          <w:color w:val="auto"/>
        </w:rPr>
      </w:pPr>
      <w:r>
        <w:rPr>
          <w:rFonts w:ascii="Arial" w:cs="Arial" w:eastAsia="Arial" w:hAnsi="Arial"/>
          <w:sz w:val="17"/>
          <w:szCs w:val="17"/>
          <w:u w:val="single" w:color="auto"/>
          <w:color w:val="auto"/>
        </w:rPr>
        <w:t>Indemnification of the Company, its Directors and Officers</w:t>
      </w:r>
      <w:r>
        <w:rPr>
          <w:rFonts w:ascii="Arial" w:cs="Arial" w:eastAsia="Arial" w:hAnsi="Arial"/>
          <w:sz w:val="17"/>
          <w:szCs w:val="17"/>
          <w:color w:val="auto"/>
        </w:rPr>
        <w:t>. The Agent agrees to indemnify and hold harmless the Company, each of its directors, each of its officers who signed the Registration Statement and each person, if any, who controls the Company within the meaning of the Securities Act or the Exchange Act against any loss, claim, damage, liability or expense, as incurred, to which the Company or any such director, officer or controlling person may become subject, under the Securities Act, the Exchange Act, or other federal or state statutory law or regulation, or the laws or regulations of foreign jurisdictions where Shares have been offered or sold or at common law or otherwise (including in settlement of any litigation), insofar as such loss, claim, damage, liability or expense arises out of or is based upon (i) any untrue statement or alleged</w:t>
      </w:r>
    </w:p>
    <w:p>
      <w:pPr>
        <w:spacing w:after="0" w:line="11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04"/>
          </w:cols>
          <w:pgMar w:left="436" w:top="270" w:right="459" w:bottom="1440" w:gutter="0" w:footer="0" w:header="0"/>
        </w:sectPr>
      </w:pPr>
    </w:p>
    <w:bookmarkStart w:id="33" w:name="page34"/>
    <w:bookmarkEnd w:id="33"/>
    <w:p>
      <w:pPr>
        <w:ind w:right="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untrue statement of a material fact contained in the Registration Statement, or any amendment thereto, including any information deemed to be a part thereof pursuant to Rule 430B under the Securities Act, or the omission or alleged omission therefrom of a material fact required to be stated therein or necessary to make the statements therein not misleading; or (ii) any untrue statement or alleged untrue statement of a material fact contained in any Free Writing Prospectus that the Company has used, referred to or filed, or is required to file, pursuant to Rule 433(d) of the Securities Act or the Prospectus (or any amendment or supplement thereto), or the omission or alleged omission therefrom of a material fact necessary in order to make the statements therein, in the light of the circumstances under which they were made, not misleading; but, for each of (i) and (ii) above, only to the extent arising out of or based upon any untrue statement or alleged untrue statement or omission or alleged omission made in reliance upon and in conformity with written information furnished to the Company by the Agent expressly for use in the Registration Statement, any such Free Writing Prospectus or the Prospectus (or any amendment or supplement thereto), it being understood and agreed that the only such information furnished by the Agent to the Company consists of the information set forth in the first sentence of the ninth paragraph under the caption “Plan of Distribution” in the Prospectus, and to reimburse the Company and each such director, officer and controlling person for any and all expenses (including the reasonable and documented fees and disbursements of one counsel chosen by the Company) as such expenses are reasonably incurred by the Company or such officer, director or controlling person in connection with investigating, defending, settling, compromising or paying any such loss, claim, damage, liability, expense or action. The indemnity agreement set forth in this </w:t>
      </w:r>
      <w:r>
        <w:rPr>
          <w:rFonts w:ascii="Arial" w:cs="Arial" w:eastAsia="Arial" w:hAnsi="Arial"/>
          <w:sz w:val="16"/>
          <w:szCs w:val="16"/>
          <w:u w:val="single" w:color="auto"/>
          <w:color w:val="auto"/>
        </w:rPr>
        <w:t>Section 6(b)</w:t>
      </w:r>
      <w:r>
        <w:rPr>
          <w:rFonts w:ascii="Arial" w:cs="Arial" w:eastAsia="Arial" w:hAnsi="Arial"/>
          <w:sz w:val="16"/>
          <w:szCs w:val="16"/>
          <w:color w:val="auto"/>
        </w:rPr>
        <w:t xml:space="preserve"> shall be in addition to any liabilities that the Agent may otherwise have.</w:t>
      </w:r>
    </w:p>
    <w:p>
      <w:pPr>
        <w:spacing w:after="0" w:line="63" w:lineRule="exact"/>
        <w:rPr>
          <w:sz w:val="20"/>
          <w:szCs w:val="20"/>
          <w:color w:val="auto"/>
        </w:rPr>
      </w:pPr>
    </w:p>
    <w:p>
      <w:pPr>
        <w:ind w:firstLine="436"/>
        <w:spacing w:after="0" w:line="268" w:lineRule="auto"/>
        <w:tabs>
          <w:tab w:leader="none" w:pos="685" w:val="left"/>
        </w:tabs>
        <w:numPr>
          <w:ilvl w:val="0"/>
          <w:numId w:val="44"/>
        </w:numPr>
        <w:rPr>
          <w:rFonts w:ascii="Arial" w:cs="Arial" w:eastAsia="Arial" w:hAnsi="Arial"/>
          <w:sz w:val="17"/>
          <w:szCs w:val="17"/>
          <w:color w:val="auto"/>
        </w:rPr>
      </w:pPr>
      <w:r>
        <w:rPr>
          <w:rFonts w:ascii="Arial" w:cs="Arial" w:eastAsia="Arial" w:hAnsi="Arial"/>
          <w:sz w:val="17"/>
          <w:szCs w:val="17"/>
          <w:u w:val="single" w:color="auto"/>
          <w:color w:val="auto"/>
        </w:rPr>
        <w:t>Notifications and Other Indemnification Procedures</w:t>
      </w:r>
      <w:r>
        <w:rPr>
          <w:rFonts w:ascii="Arial" w:cs="Arial" w:eastAsia="Arial" w:hAnsi="Arial"/>
          <w:sz w:val="17"/>
          <w:szCs w:val="17"/>
          <w:color w:val="auto"/>
        </w:rPr>
        <w:t xml:space="preserve">. Promptly after receipt by an indemnified party under this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of notice of the commencement of any action, such indemnified party will, if a claim in respect thereof is to be made against an indemnifying party under this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notify the indemnifying party in writing of the commencement thereof, but the omission to so notify the indemnifying party will not relieve it from any liability which it may have to any indemnified party for contribution or otherwise than under the indemnity agreement contained in this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or to the extent it is not prejudiced as a proximate result of such failure. In case any such action is brought against any indemnified party and such indemnified party seeks or intends to seek indemnity from an indemnifying party, the indemnifying party will be entitled to participate in, and, to the extent that it shall elect, jointly with all other indemnifying parties similarly notified, by written notice delivered to the indemnified party promptly after receiving the aforesaid notice from such indemnified party, to assume the defense thereof with counsel reasonably satisfactory to such indemnified party; provided, however, if the defendants in any such action include both the indemnified party and the indemnifying party and the indemnified party shall have reasonably concluded that a conflict may arise between the positions of the indemnifying party and the indemnified party in conducting the defense of any such action or that there may be legal defenses available to it and/or other indemnified parties which are different from or additional to those available to the indemnifying party, the indemnified party or parties shall have the right to select separate counsel to assume such legal defenses and to otherwise participate in the defense of such action on behalf of such indemnified party or parties. Upon receipt of notice from the indemnifying party to such indemnified party of such indemnifying party’s election to so assume the defense of such action and approval by the indemnified party of counsel, the indemnifying party will not be liable to such indemnified party under this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for any legal or other expenses subsequently incurred by such indemnified party in connection</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980"/>
          </w:cols>
          <w:pgMar w:left="440" w:top="274" w:right="479" w:bottom="1440" w:gutter="0" w:footer="0" w:header="0"/>
        </w:sectPr>
      </w:pPr>
    </w:p>
    <w:bookmarkStart w:id="34" w:name="page35"/>
    <w:bookmarkEnd w:id="34"/>
    <w:p>
      <w:pPr>
        <w:ind w:left="4" w:right="8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with the defense thereof unless (i) the indemnified party shall have employed separate counsel in accordance with the proviso to the preceding sentence (it being understood, however, that the indemnifying party shall not be liable for the fees and expenses of more than one separate counsel (together with local counsel), representing the indemnified parties who are parties to such action), which counsel (together with any local counsel) for the indemnified parties shall be selected by the indemnified party (in the case of counsel for the indemnified parties referred to in </w:t>
      </w:r>
      <w:r>
        <w:rPr>
          <w:rFonts w:ascii="Arial" w:cs="Arial" w:eastAsia="Arial" w:hAnsi="Arial"/>
          <w:sz w:val="17"/>
          <w:szCs w:val="17"/>
          <w:u w:val="single" w:color="auto"/>
          <w:color w:val="auto"/>
        </w:rPr>
        <w:t>Section 6(a)</w:t>
      </w:r>
      <w:r>
        <w:rPr>
          <w:rFonts w:ascii="Arial" w:cs="Arial" w:eastAsia="Arial" w:hAnsi="Arial"/>
          <w:sz w:val="17"/>
          <w:szCs w:val="17"/>
          <w:color w:val="auto"/>
        </w:rPr>
        <w:t xml:space="preserve"> above), (ii) the indemnifying party shall not have employed counsel reasonably satisfactory to the indemnified party to represent the indemnified party within a reasonable time after notice of commencement of the action or (iii) the indemnifying party has authorized in writing the employment of counsel for the indemnified party at the expense of the indemnifying party, in each of which cases the fees and expenses of counsel shall be at the expense of the indemnifying party and shall be paid as they are incurred.</w:t>
      </w:r>
    </w:p>
    <w:p>
      <w:pPr>
        <w:spacing w:after="0" w:line="70" w:lineRule="exact"/>
        <w:rPr>
          <w:sz w:val="20"/>
          <w:szCs w:val="20"/>
          <w:color w:val="auto"/>
        </w:rPr>
      </w:pPr>
    </w:p>
    <w:p>
      <w:pPr>
        <w:ind w:left="4" w:firstLine="436"/>
        <w:spacing w:after="0" w:line="285" w:lineRule="auto"/>
        <w:tabs>
          <w:tab w:leader="none" w:pos="699" w:val="left"/>
        </w:tabs>
        <w:numPr>
          <w:ilvl w:val="1"/>
          <w:numId w:val="45"/>
        </w:numPr>
        <w:rPr>
          <w:rFonts w:ascii="Arial" w:cs="Arial" w:eastAsia="Arial" w:hAnsi="Arial"/>
          <w:sz w:val="16"/>
          <w:szCs w:val="16"/>
          <w:color w:val="auto"/>
        </w:rPr>
      </w:pPr>
      <w:r>
        <w:rPr>
          <w:rFonts w:ascii="Arial" w:cs="Arial" w:eastAsia="Arial" w:hAnsi="Arial"/>
          <w:sz w:val="16"/>
          <w:szCs w:val="16"/>
          <w:u w:val="single" w:color="auto"/>
          <w:color w:val="auto"/>
        </w:rPr>
        <w:t>Settlements</w:t>
      </w:r>
      <w:r>
        <w:rPr>
          <w:rFonts w:ascii="Arial" w:cs="Arial" w:eastAsia="Arial" w:hAnsi="Arial"/>
          <w:sz w:val="16"/>
          <w:szCs w:val="16"/>
          <w:color w:val="auto"/>
        </w:rPr>
        <w:t xml:space="preserve">. The indemnifying party under this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shall not be liable for any settlement of any proceeding effected without its written consent, but if settled with such consent or if there be a final judgment for the plaintiff, the indemnifying party agrees to indemnify the indemnified party against any loss, claim, damage, liability or expense by reason of such settlement or judgment. Notwithstanding the foregoing sentence, if at any time an indemnified party shall have requested an indemnifying party to reimburse the indemnified party for fees and expenses of counsel as contemplated by </w:t>
      </w:r>
      <w:r>
        <w:rPr>
          <w:rFonts w:ascii="Arial" w:cs="Arial" w:eastAsia="Arial" w:hAnsi="Arial"/>
          <w:sz w:val="16"/>
          <w:szCs w:val="16"/>
          <w:u w:val="single" w:color="auto"/>
          <w:color w:val="auto"/>
        </w:rPr>
        <w:t>Section 6(c)</w:t>
      </w:r>
      <w:r>
        <w:rPr>
          <w:rFonts w:ascii="Arial" w:cs="Arial" w:eastAsia="Arial" w:hAnsi="Arial"/>
          <w:sz w:val="16"/>
          <w:szCs w:val="16"/>
          <w:color w:val="auto"/>
        </w:rPr>
        <w:t xml:space="preserve"> hereof, the indemnifying party agrees that it shall be liable for any settlement of any proceeding effected without its written consent if</w:t>
      </w:r>
    </w:p>
    <w:p>
      <w:pPr>
        <w:spacing w:after="0" w:line="1" w:lineRule="exact"/>
        <w:rPr>
          <w:rFonts w:ascii="Arial" w:cs="Arial" w:eastAsia="Arial" w:hAnsi="Arial"/>
          <w:sz w:val="16"/>
          <w:szCs w:val="16"/>
          <w:color w:val="auto"/>
        </w:rPr>
      </w:pPr>
    </w:p>
    <w:p>
      <w:pPr>
        <w:ind w:left="4" w:right="60" w:hanging="4"/>
        <w:spacing w:after="0" w:line="270" w:lineRule="auto"/>
        <w:tabs>
          <w:tab w:leader="none" w:pos="219" w:val="left"/>
        </w:tabs>
        <w:numPr>
          <w:ilvl w:val="0"/>
          <w:numId w:val="46"/>
        </w:numPr>
        <w:rPr>
          <w:rFonts w:ascii="Arial" w:cs="Arial" w:eastAsia="Arial" w:hAnsi="Arial"/>
          <w:sz w:val="17"/>
          <w:szCs w:val="17"/>
          <w:color w:val="auto"/>
        </w:rPr>
      </w:pPr>
      <w:r>
        <w:rPr>
          <w:rFonts w:ascii="Arial" w:cs="Arial" w:eastAsia="Arial" w:hAnsi="Arial"/>
          <w:sz w:val="17"/>
          <w:szCs w:val="17"/>
          <w:color w:val="auto"/>
        </w:rPr>
        <w:t>such settlement is entered into more than 30 days after receipt by such indemnifying party of the aforesaid request; and (ii) such indemnifying party shall not have reimbursed the indemnified party in accordance with such request prior to the date of such settlement. No indemnifying party shall, without the prior written consent of the indemnified party, effect any settlement, compromise or consent to the entry of judgment in any pending or threatened action, suit or proceeding in respect of which any indemnified party is or could have been a party and indemnity was or could have been sought hereunder by such indemnified party, unless such settlement, compromise or consent includes an unconditional release of such indemnified party from all liability on claims that are the subject matter of such action, suit or proceeding.</w:t>
      </w:r>
    </w:p>
    <w:p>
      <w:pPr>
        <w:spacing w:after="0" w:line="70" w:lineRule="exact"/>
        <w:rPr>
          <w:rFonts w:ascii="Arial" w:cs="Arial" w:eastAsia="Arial" w:hAnsi="Arial"/>
          <w:sz w:val="17"/>
          <w:szCs w:val="17"/>
          <w:color w:val="auto"/>
        </w:rPr>
      </w:pPr>
    </w:p>
    <w:p>
      <w:pPr>
        <w:ind w:left="4" w:right="20" w:firstLine="436"/>
        <w:spacing w:after="0" w:line="269" w:lineRule="auto"/>
        <w:tabs>
          <w:tab w:leader="none" w:pos="699" w:val="left"/>
        </w:tabs>
        <w:numPr>
          <w:ilvl w:val="1"/>
          <w:numId w:val="46"/>
        </w:numPr>
        <w:rPr>
          <w:rFonts w:ascii="Arial" w:cs="Arial" w:eastAsia="Arial" w:hAnsi="Arial"/>
          <w:sz w:val="17"/>
          <w:szCs w:val="17"/>
          <w:color w:val="auto"/>
        </w:rPr>
      </w:pPr>
      <w:r>
        <w:rPr>
          <w:rFonts w:ascii="Arial" w:cs="Arial" w:eastAsia="Arial" w:hAnsi="Arial"/>
          <w:sz w:val="17"/>
          <w:szCs w:val="17"/>
          <w:u w:val="single" w:color="auto"/>
          <w:color w:val="auto"/>
        </w:rPr>
        <w:t>Contribution</w:t>
      </w:r>
      <w:r>
        <w:rPr>
          <w:rFonts w:ascii="Arial" w:cs="Arial" w:eastAsia="Arial" w:hAnsi="Arial"/>
          <w:sz w:val="17"/>
          <w:szCs w:val="17"/>
          <w:color w:val="auto"/>
        </w:rPr>
        <w:t xml:space="preserve">. If the indemnification provided for in this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is for any reason held to be unavailable to or otherwise insufficient to hold harmless an indemnified party in respect of any losses, claims, damages, liabilities or expenses referred to therein, then each indemnifying party shall contribute to the aggregate amount paid or payable by such indemnified party, as incurred, as a result of any losses, claims, damages, liabilities or expenses referred to therein (i) in such proportion as is appropriate to reflect the relative benefits received by the Company, on the one hand, and the Agent, on the other hand, from the offering of the Shares pursuant to this Agreement; or (ii) if the allocation provided by clause (i) above is not permitted by applicable law, in such proportion as is appropriate to reflect not only the relative benefits referred to in clause (i) above but also the relative fault of the Company, on the one hand, and the Agent, on the other hand, in connection with the statements or omissions which resulted in such losses, claims, damages, liabilities or expenses, as well as any other relevant equitable considerations. The relative benefits received by the Company, on the one hand, and the Agent, on the other hand, in connection with the offering of the Shares pursuant to this Agreement shall be deemed to be in the same respective proportions as the total gross proceeds from the offering of the Shares (before deducting expenses) received by the Company bear to the total commissions received by the</w:t>
      </w:r>
    </w:p>
    <w:p>
      <w:pPr>
        <w:spacing w:after="0" w:line="11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24"/>
          </w:cols>
          <w:pgMar w:left="436" w:top="274" w:right="439" w:bottom="1440" w:gutter="0" w:footer="0" w:header="0"/>
        </w:sectPr>
      </w:pPr>
    </w:p>
    <w:bookmarkStart w:id="35" w:name="page36"/>
    <w:bookmarkEnd w:id="35"/>
    <w:p>
      <w:pPr>
        <w:ind w:right="2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Agent. The relative fault of the Company, on the one hand, and the Agent, on the other hand, shall be determined by reference to, among other things, whether any such untrue or alleged untrue statement of a material fact or omission or alleged omission to state a material fact relates to information supplied by the Company, on the one hand, or the Agent, on the other hand, and the parties’ relative intent, knowledge, access to information and opportunity to correct or prevent such statement or omission.</w:t>
      </w:r>
    </w:p>
    <w:p>
      <w:pPr>
        <w:spacing w:after="0" w:line="79"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 xml:space="preserve">The amount paid or payable by a party as a result of the losses, claims, damages, liabilities and expenses referred to above shall be deemed to include, subject to the limitations set forth in </w:t>
      </w:r>
      <w:r>
        <w:rPr>
          <w:rFonts w:ascii="Arial" w:cs="Arial" w:eastAsia="Arial" w:hAnsi="Arial"/>
          <w:sz w:val="17"/>
          <w:szCs w:val="17"/>
          <w:u w:val="single" w:color="auto"/>
          <w:color w:val="auto"/>
        </w:rPr>
        <w:t>Section 6(c)</w:t>
      </w:r>
      <w:r>
        <w:rPr>
          <w:rFonts w:ascii="Arial" w:cs="Arial" w:eastAsia="Arial" w:hAnsi="Arial"/>
          <w:sz w:val="17"/>
          <w:szCs w:val="17"/>
          <w:color w:val="auto"/>
        </w:rPr>
        <w:t xml:space="preserve">, any legal or other fees or expenses reasonably incurred by such party in connection with investigating or defending any action or claim. The provisions set forth in </w:t>
      </w:r>
      <w:r>
        <w:rPr>
          <w:rFonts w:ascii="Arial" w:cs="Arial" w:eastAsia="Arial" w:hAnsi="Arial"/>
          <w:sz w:val="17"/>
          <w:szCs w:val="17"/>
          <w:u w:val="single" w:color="auto"/>
          <w:color w:val="auto"/>
        </w:rPr>
        <w:t>Section 6(c)</w:t>
      </w:r>
      <w:r>
        <w:rPr>
          <w:rFonts w:ascii="Arial" w:cs="Arial" w:eastAsia="Arial" w:hAnsi="Arial"/>
          <w:sz w:val="17"/>
          <w:szCs w:val="17"/>
          <w:color w:val="auto"/>
        </w:rPr>
        <w:t xml:space="preserve"> with respect to notice of commencement of any action shall apply if a claim for contribution is to be made under this </w:t>
      </w:r>
      <w:r>
        <w:rPr>
          <w:rFonts w:ascii="Arial" w:cs="Arial" w:eastAsia="Arial" w:hAnsi="Arial"/>
          <w:sz w:val="17"/>
          <w:szCs w:val="17"/>
          <w:u w:val="single" w:color="auto"/>
          <w:color w:val="auto"/>
        </w:rPr>
        <w:t>Section 6(e)</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no additional notice shall be required with respect to any action for which notice has been given under </w:t>
      </w:r>
      <w:r>
        <w:rPr>
          <w:rFonts w:ascii="Arial" w:cs="Arial" w:eastAsia="Arial" w:hAnsi="Arial"/>
          <w:sz w:val="17"/>
          <w:szCs w:val="17"/>
          <w:u w:val="single" w:color="auto"/>
          <w:color w:val="auto"/>
        </w:rPr>
        <w:t>Section 6(c)</w:t>
      </w:r>
      <w:r>
        <w:rPr>
          <w:rFonts w:ascii="Arial" w:cs="Arial" w:eastAsia="Arial" w:hAnsi="Arial"/>
          <w:sz w:val="17"/>
          <w:szCs w:val="17"/>
          <w:color w:val="auto"/>
        </w:rPr>
        <w:t xml:space="preserve"> for purposes of indemnification.</w:t>
      </w:r>
    </w:p>
    <w:p>
      <w:pPr>
        <w:spacing w:after="0" w:line="176" w:lineRule="exact"/>
        <w:rPr>
          <w:sz w:val="20"/>
          <w:szCs w:val="20"/>
          <w:color w:val="auto"/>
        </w:rPr>
      </w:pPr>
    </w:p>
    <w:p>
      <w:pPr>
        <w:ind w:right="60" w:firstLine="440"/>
        <w:spacing w:after="0" w:line="342" w:lineRule="auto"/>
        <w:rPr>
          <w:sz w:val="20"/>
          <w:szCs w:val="20"/>
          <w:color w:val="auto"/>
        </w:rPr>
      </w:pPr>
      <w:r>
        <w:rPr>
          <w:rFonts w:ascii="Arial" w:cs="Arial" w:eastAsia="Arial" w:hAnsi="Arial"/>
          <w:sz w:val="16"/>
          <w:szCs w:val="16"/>
          <w:color w:val="auto"/>
        </w:rPr>
        <w:t xml:space="preserve">The Company and the Agent agree that it would not be just and equitable if contribution pursuant to this </w:t>
      </w:r>
      <w:r>
        <w:rPr>
          <w:rFonts w:ascii="Arial" w:cs="Arial" w:eastAsia="Arial" w:hAnsi="Arial"/>
          <w:sz w:val="16"/>
          <w:szCs w:val="16"/>
          <w:u w:val="single" w:color="auto"/>
          <w:color w:val="auto"/>
        </w:rPr>
        <w:t>Section 6(e)</w:t>
      </w:r>
      <w:r>
        <w:rPr>
          <w:rFonts w:ascii="Arial" w:cs="Arial" w:eastAsia="Arial" w:hAnsi="Arial"/>
          <w:sz w:val="16"/>
          <w:szCs w:val="16"/>
          <w:color w:val="auto"/>
        </w:rPr>
        <w:t xml:space="preserve"> were determined by pro rata allocation or by any other method of allocation which does not take account of the equitable considerations referred to in this </w:t>
      </w:r>
      <w:r>
        <w:rPr>
          <w:rFonts w:ascii="Arial" w:cs="Arial" w:eastAsia="Arial" w:hAnsi="Arial"/>
          <w:sz w:val="16"/>
          <w:szCs w:val="16"/>
          <w:u w:val="single" w:color="auto"/>
          <w:color w:val="auto"/>
        </w:rPr>
        <w:t>Section 6(e)</w:t>
      </w:r>
      <w:r>
        <w:rPr>
          <w:rFonts w:ascii="Arial" w:cs="Arial" w:eastAsia="Arial" w:hAnsi="Arial"/>
          <w:sz w:val="16"/>
          <w:szCs w:val="16"/>
          <w:color w:val="auto"/>
        </w:rPr>
        <w:t>.</w:t>
      </w:r>
    </w:p>
    <w:p>
      <w:pPr>
        <w:spacing w:after="0" w:line="124"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 xml:space="preserve">Notwithstanding the provisions of this </w:t>
      </w:r>
      <w:r>
        <w:rPr>
          <w:rFonts w:ascii="Arial" w:cs="Arial" w:eastAsia="Arial" w:hAnsi="Arial"/>
          <w:sz w:val="18"/>
          <w:szCs w:val="18"/>
          <w:u w:val="single" w:color="auto"/>
          <w:color w:val="auto"/>
        </w:rPr>
        <w:t>Section 6(e)</w:t>
      </w:r>
      <w:r>
        <w:rPr>
          <w:rFonts w:ascii="Arial" w:cs="Arial" w:eastAsia="Arial" w:hAnsi="Arial"/>
          <w:sz w:val="18"/>
          <w:szCs w:val="18"/>
          <w:color w:val="auto"/>
        </w:rPr>
        <w:t xml:space="preserve">, the Agent shall not be required to contribute any amount in excess of the agent fees received by the Agent in connection with the offering contemplated hereby. No person guilty of fraudulent misrepresentation (within the meaning of Section 11(f) of the Securities Act) shall be entitled to contribution from any person who was not guilty of such fraudulent misrepresentation. For purposes of this </w:t>
      </w:r>
      <w:r>
        <w:rPr>
          <w:rFonts w:ascii="Arial" w:cs="Arial" w:eastAsia="Arial" w:hAnsi="Arial"/>
          <w:sz w:val="18"/>
          <w:szCs w:val="18"/>
          <w:u w:val="single" w:color="auto"/>
          <w:color w:val="auto"/>
        </w:rPr>
        <w:t>Section 6(e)</w:t>
      </w:r>
      <w:r>
        <w:rPr>
          <w:rFonts w:ascii="Arial" w:cs="Arial" w:eastAsia="Arial" w:hAnsi="Arial"/>
          <w:sz w:val="18"/>
          <w:szCs w:val="18"/>
          <w:color w:val="auto"/>
        </w:rPr>
        <w:t>, each officer and employee of the Agent and each person, if any, who controls the Agent within the meaning of the Securities Act or the Exchange Act shall have the same rights to contribution as the Agent, and each director of the Company, each officer of the Company who signed the Registration Statement, and each person, if any, who controls the Company within the meaning of the Securities Act and the Exchange Act shall have the same rights to contribution as the Company.</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 TERMINATION &amp; SURVIVAL</w:t>
      </w:r>
    </w:p>
    <w:p>
      <w:pPr>
        <w:spacing w:after="0" w:line="121" w:lineRule="exact"/>
        <w:rPr>
          <w:sz w:val="20"/>
          <w:szCs w:val="20"/>
          <w:color w:val="auto"/>
        </w:rPr>
      </w:pPr>
    </w:p>
    <w:p>
      <w:pPr>
        <w:ind w:right="20" w:firstLine="436"/>
        <w:spacing w:after="0" w:line="277" w:lineRule="auto"/>
        <w:tabs>
          <w:tab w:leader="none" w:pos="685"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xml:space="preserve">. Subject to the provisions of this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the term of this Agreement shall continue from the date of this Agreement until the end of the Agency Period, unless earlier terminated by the parties to this Agreement pursuant to this </w:t>
      </w:r>
      <w:r>
        <w:rPr>
          <w:rFonts w:ascii="Arial" w:cs="Arial" w:eastAsia="Arial" w:hAnsi="Arial"/>
          <w:sz w:val="18"/>
          <w:szCs w:val="18"/>
          <w:u w:val="single" w:color="auto"/>
          <w:color w:val="auto"/>
        </w:rPr>
        <w:t>Section 7</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700" w:hanging="264"/>
        <w:spacing w:after="0"/>
        <w:tabs>
          <w:tab w:leader="none" w:pos="70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Termination; Survival Following Termination</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960" w:right="20" w:hanging="532"/>
        <w:spacing w:after="0" w:line="296" w:lineRule="auto"/>
        <w:tabs>
          <w:tab w:leader="none" w:pos="9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 xml:space="preserve">Either party may terminate this Agreement prior to the end of the Agency Period, by giving written notice as required by this Agreement, upon ten (10) Trading Days’ notice to the other party; provided that, (A) if the Company terminates this Agreement after the Agent confirms to </w:t>
      </w:r>
      <w:r>
        <w:rPr>
          <w:rFonts w:ascii="Arial" w:cs="Arial" w:eastAsia="Arial" w:hAnsi="Arial"/>
          <w:sz w:val="16"/>
          <w:szCs w:val="16"/>
          <w:u w:val="single" w:color="auto"/>
          <w:color w:val="auto"/>
        </w:rPr>
        <w:t>the Company any sale of Shares</w:t>
      </w:r>
      <w:r>
        <w:rPr>
          <w:rFonts w:ascii="Arial" w:cs="Arial" w:eastAsia="Arial" w:hAnsi="Arial"/>
          <w:sz w:val="16"/>
          <w:szCs w:val="16"/>
          <w:color w:val="auto"/>
        </w:rPr>
        <w:t xml:space="preserve">, the Company shall remain obligated to </w:t>
      </w:r>
      <w:r>
        <w:rPr>
          <w:rFonts w:ascii="Arial" w:cs="Arial" w:eastAsia="Arial" w:hAnsi="Arial"/>
          <w:sz w:val="16"/>
          <w:szCs w:val="16"/>
          <w:u w:val="single" w:color="auto"/>
          <w:color w:val="auto"/>
        </w:rPr>
        <w:t>comply with Section 3(b)(v) with respect to such</w:t>
      </w:r>
      <w:r>
        <w:rPr>
          <w:rFonts w:ascii="Arial" w:cs="Arial" w:eastAsia="Arial" w:hAnsi="Arial"/>
          <w:sz w:val="16"/>
          <w:szCs w:val="16"/>
          <w:color w:val="auto"/>
        </w:rPr>
        <w:t xml:space="preserve"> </w:t>
      </w:r>
      <w:r>
        <w:rPr>
          <w:rFonts w:ascii="Arial" w:cs="Arial" w:eastAsia="Arial" w:hAnsi="Arial"/>
          <w:sz w:val="16"/>
          <w:szCs w:val="16"/>
          <w:u w:val="single" w:color="auto"/>
          <w:color w:val="auto"/>
        </w:rPr>
        <w:t>Shares</w:t>
      </w:r>
      <w:r>
        <w:rPr>
          <w:rFonts w:ascii="Arial" w:cs="Arial" w:eastAsia="Arial" w:hAnsi="Arial"/>
          <w:sz w:val="16"/>
          <w:szCs w:val="16"/>
          <w:color w:val="auto"/>
        </w:rPr>
        <w:t xml:space="preserve"> and (B)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shall survive termination of this Agreement. If termination shall occur prior to the Settlement Date for any sale of Shares, such sale shall nevertheless settle in accordance with the terms of this Agreement.</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00"/>
          </w:cols>
          <w:pgMar w:left="440" w:top="274" w:right="459" w:bottom="1440" w:gutter="0" w:footer="0" w:header="0"/>
        </w:sectPr>
      </w:pPr>
    </w:p>
    <w:bookmarkStart w:id="36" w:name="page37"/>
    <w:bookmarkEnd w:id="36"/>
    <w:p>
      <w:pPr>
        <w:ind w:left="964" w:hanging="532"/>
        <w:spacing w:after="0" w:line="257" w:lineRule="auto"/>
        <w:tabs>
          <w:tab w:leader="none" w:pos="964" w:val="left"/>
        </w:tabs>
        <w:numPr>
          <w:ilvl w:val="0"/>
          <w:numId w:val="4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addition to the survival provision of </w:t>
      </w:r>
      <w:r>
        <w:rPr>
          <w:rFonts w:ascii="Arial" w:cs="Arial" w:eastAsia="Arial" w:hAnsi="Arial"/>
          <w:sz w:val="18"/>
          <w:szCs w:val="18"/>
          <w:u w:val="single" w:color="auto"/>
          <w:color w:val="auto"/>
        </w:rPr>
        <w:t>Section 7(b)(i)</w:t>
      </w:r>
      <w:r>
        <w:rPr>
          <w:rFonts w:ascii="Arial" w:cs="Arial" w:eastAsia="Arial" w:hAnsi="Arial"/>
          <w:sz w:val="18"/>
          <w:szCs w:val="18"/>
          <w:color w:val="auto"/>
        </w:rPr>
        <w:t>, the respective indemnities, agreements, representations, warranties and other statements of the Company, of its officers and of the Agent set forth in or made pursuant to this Agreement will remain in full force and effect, regardless of any investigation made by or on behalf of the Agent or the Company or any of its or their partners, officers or directors or any controlling person, as the case may be, and, anything herein to the contrary notwithstanding, will survive delivery of and payment for the Shares sold hereunder and any termination of this Agreement.</w:t>
      </w:r>
    </w:p>
    <w:p>
      <w:pPr>
        <w:spacing w:after="0" w:line="29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Section 8. MISCELLANEOUS</w:t>
      </w:r>
    </w:p>
    <w:p>
      <w:pPr>
        <w:spacing w:after="0" w:line="121" w:lineRule="exact"/>
        <w:rPr>
          <w:sz w:val="20"/>
          <w:szCs w:val="20"/>
          <w:color w:val="auto"/>
        </w:rPr>
      </w:pPr>
    </w:p>
    <w:p>
      <w:pPr>
        <w:ind w:left="4" w:firstLine="436"/>
        <w:spacing w:after="0" w:line="269" w:lineRule="auto"/>
        <w:tabs>
          <w:tab w:leader="none" w:pos="689" w:val="left"/>
        </w:tabs>
        <w:numPr>
          <w:ilvl w:val="1"/>
          <w:numId w:val="50"/>
        </w:numPr>
        <w:rPr>
          <w:rFonts w:ascii="Arial" w:cs="Arial" w:eastAsia="Arial" w:hAnsi="Arial"/>
          <w:sz w:val="17"/>
          <w:szCs w:val="17"/>
          <w:color w:val="auto"/>
        </w:rPr>
      </w:pPr>
      <w:r>
        <w:rPr>
          <w:rFonts w:ascii="Arial" w:cs="Arial" w:eastAsia="Arial" w:hAnsi="Arial"/>
          <w:sz w:val="17"/>
          <w:szCs w:val="17"/>
          <w:u w:val="single" w:color="auto"/>
          <w:color w:val="auto"/>
        </w:rPr>
        <w:t>Press Releases and Disclosure</w:t>
      </w:r>
      <w:r>
        <w:rPr>
          <w:rFonts w:ascii="Arial" w:cs="Arial" w:eastAsia="Arial" w:hAnsi="Arial"/>
          <w:sz w:val="17"/>
          <w:szCs w:val="17"/>
          <w:color w:val="auto"/>
        </w:rPr>
        <w:t>. The Company may issue a press release describing the material terms of the transactions contemplated hereby as soon as practicable following the date of this Agreement, and may file with the Commission a Current Report on Form 8-K, with this Agreement attached as an exhibit thereto, describing the material terms of the transactions contemplated hereby, and the Company shall consult with the Agent prior to making such disclosures, and the parties hereto shall use all commercially reasonable efforts, acting in good faith, to agree upon a text for such disclosures that is reasonably satisfactory to all parties hereto. No party hereto shall issue thereafter any press release or like public statement (including, without limitation, any disclosure required in reports filed with the Commission pursuant to the Exchange Act) related to this Agreement or any of the transactions contemplated hereby without the prior written approval of the other party hereto, except as may be necessary or appropriate in the reasonable opinion of the party seeking to make disclosure to comply with the requirements of applicable law or stock exchange rules. If any such press release or like public statement is so required, the party making such disclosure shall consult with the other party prior to making such disclosure, and the parties shall use all commercially reasonable efforts, acting in good faith, to agree upon a text for such disclosure that is reasonably satisfactory to all parties hereto.</w:t>
      </w:r>
    </w:p>
    <w:p>
      <w:pPr>
        <w:spacing w:after="0" w:line="73" w:lineRule="exact"/>
        <w:rPr>
          <w:rFonts w:ascii="Arial" w:cs="Arial" w:eastAsia="Arial" w:hAnsi="Arial"/>
          <w:sz w:val="17"/>
          <w:szCs w:val="17"/>
          <w:color w:val="auto"/>
        </w:rPr>
      </w:pPr>
    </w:p>
    <w:p>
      <w:pPr>
        <w:ind w:left="4" w:right="140" w:firstLine="436"/>
        <w:spacing w:after="0" w:line="283" w:lineRule="auto"/>
        <w:tabs>
          <w:tab w:leader="none" w:pos="699" w:val="left"/>
        </w:tabs>
        <w:numPr>
          <w:ilvl w:val="1"/>
          <w:numId w:val="50"/>
        </w:numPr>
        <w:rPr>
          <w:rFonts w:ascii="Arial" w:cs="Arial" w:eastAsia="Arial" w:hAnsi="Arial"/>
          <w:sz w:val="16"/>
          <w:szCs w:val="16"/>
          <w:color w:val="auto"/>
        </w:rPr>
      </w:pPr>
      <w:r>
        <w:rPr>
          <w:rFonts w:ascii="Arial" w:cs="Arial" w:eastAsia="Arial" w:hAnsi="Arial"/>
          <w:sz w:val="16"/>
          <w:szCs w:val="16"/>
          <w:u w:val="single" w:color="auto"/>
          <w:color w:val="auto"/>
        </w:rPr>
        <w:t>No Advisory or Fiduciary Relationship</w:t>
      </w:r>
      <w:r>
        <w:rPr>
          <w:rFonts w:ascii="Arial" w:cs="Arial" w:eastAsia="Arial" w:hAnsi="Arial"/>
          <w:sz w:val="16"/>
          <w:szCs w:val="16"/>
          <w:color w:val="auto"/>
        </w:rPr>
        <w:t>. The Company acknowledges and agrees that (i) the transactions contemplated by this Agreement, including the determination of any fees, are arm’s-length commercial transactions between the Company and the Agent, and do not constitute a recommendation, investment advice, or solicitation of any action by the Agent, (ii) when acting as a principal under this Agreement, the Agent is and has been acting solely as a principal is not the agent or fiduciary of the Company, or its stockholders, creditors, employees or any other party, (iii) the Agent has not assumed nor will assume an advisory or fiduciary responsibility in favor of the Company with respect to the transactions contemplated hereby or the process leading thereto (irrespective of whether the Agent has advised or is currently advising the Company on other matters) and the Agent does not have any obligation to the Company with respect to the transactions contemplated hereby except the obligations expressly set forth in this Agreement, (iv) the Agent and its respective Affiliates may be engaged in a broad range of transactions that involve interests that differ from those of the Company, (v) the Agent has not provided any legal, accounting, financial, regulatory, investment or tax advice with respect to the transactions contemplated hereby and the Company has consulted its own legal, accounting, regulatory and tax advisors to the extent it deemed appropriate, and</w:t>
      </w:r>
    </w:p>
    <w:p>
      <w:pPr>
        <w:spacing w:after="0" w:line="4" w:lineRule="exact"/>
        <w:rPr>
          <w:rFonts w:ascii="Arial" w:cs="Arial" w:eastAsia="Arial" w:hAnsi="Arial"/>
          <w:sz w:val="16"/>
          <w:szCs w:val="16"/>
          <w:color w:val="auto"/>
        </w:rPr>
      </w:pPr>
    </w:p>
    <w:p>
      <w:pPr>
        <w:ind w:left="4" w:right="400" w:hanging="4"/>
        <w:spacing w:after="0" w:line="260" w:lineRule="auto"/>
        <w:tabs>
          <w:tab w:leader="none" w:pos="309" w:val="left"/>
        </w:tabs>
        <w:numPr>
          <w:ilvl w:val="0"/>
          <w:numId w:val="51"/>
        </w:numPr>
        <w:rPr>
          <w:rFonts w:ascii="Arial" w:cs="Arial" w:eastAsia="Arial" w:hAnsi="Arial"/>
          <w:sz w:val="18"/>
          <w:szCs w:val="18"/>
          <w:color w:val="auto"/>
        </w:rPr>
      </w:pPr>
      <w:r>
        <w:rPr>
          <w:rFonts w:ascii="Arial" w:cs="Arial" w:eastAsia="Arial" w:hAnsi="Arial"/>
          <w:sz w:val="18"/>
          <w:szCs w:val="18"/>
          <w:color w:val="auto"/>
        </w:rPr>
        <w:t>none of the activities of the Agent in connection with the transactions contemplated herein constitutes a recommendation, investment advice or solicitation of any action by the Agent with respect to any entity or natural person.</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04"/>
          </w:cols>
          <w:pgMar w:left="436" w:top="274" w:right="459" w:bottom="1440" w:gutter="0" w:footer="0" w:header="0"/>
        </w:sectPr>
      </w:pPr>
    </w:p>
    <w:bookmarkStart w:id="37" w:name="page38"/>
    <w:bookmarkEnd w:id="37"/>
    <w:p>
      <w:pPr>
        <w:ind w:left="-120" w:firstLine="436"/>
        <w:spacing w:after="0" w:line="254" w:lineRule="auto"/>
        <w:tabs>
          <w:tab w:leader="none" w:pos="565"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Research Analyst Independence</w:t>
      </w:r>
      <w:r>
        <w:rPr>
          <w:rFonts w:ascii="Arial" w:cs="Arial" w:eastAsia="Arial" w:hAnsi="Arial"/>
          <w:sz w:val="18"/>
          <w:szCs w:val="18"/>
          <w:color w:val="auto"/>
        </w:rPr>
        <w:t>. The Company acknowledges that the Agent’s research analysts and research departments are required to and should be independent from their respective investment banking divisions and are subject to certain regulations and internal policies, and as such the Agent’s research analysts may hold views and make statements or investment recommendations and/or publish research reports with respect to the Company or the offering that differ from the views of their respective investment banking divisions. The Company understands that the Agent is a full service securities firm and as such from time to time, subject to applicable securities laws, may effect transactions for its own account or the account of its customers and hold long or short positions in debt or equity securities of the companies that may be the subject of the transactions contemplated by this Agreement.</w:t>
      </w:r>
    </w:p>
    <w:p>
      <w:pPr>
        <w:spacing w:after="0" w:line="86" w:lineRule="exact"/>
        <w:rPr>
          <w:rFonts w:ascii="Arial" w:cs="Arial" w:eastAsia="Arial" w:hAnsi="Arial"/>
          <w:sz w:val="18"/>
          <w:szCs w:val="18"/>
          <w:color w:val="auto"/>
        </w:rPr>
      </w:pPr>
    </w:p>
    <w:p>
      <w:pPr>
        <w:ind w:left="-120" w:right="360" w:firstLine="436"/>
        <w:spacing w:after="0" w:line="277" w:lineRule="auto"/>
        <w:tabs>
          <w:tab w:leader="none" w:pos="575"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communications hereunder shall be in writing and shall be mailed, hand delivered or telecopied and confirmed to the parties hereto as follows:</w:t>
      </w:r>
    </w:p>
    <w:p>
      <w:pPr>
        <w:spacing w:after="0" w:line="6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If to the Agent:</w:t>
      </w:r>
    </w:p>
    <w:p>
      <w:pPr>
        <w:spacing w:after="0" w:line="117" w:lineRule="exact"/>
        <w:rPr>
          <w:sz w:val="20"/>
          <w:szCs w:val="20"/>
          <w:color w:val="auto"/>
        </w:rPr>
      </w:pPr>
    </w:p>
    <w:p>
      <w:pPr>
        <w:ind w:left="860"/>
        <w:spacing w:after="0"/>
        <w:rPr>
          <w:sz w:val="20"/>
          <w:szCs w:val="20"/>
          <w:color w:val="auto"/>
        </w:rPr>
      </w:pPr>
      <w:r>
        <w:rPr>
          <w:rFonts w:ascii="Arial" w:cs="Arial" w:eastAsia="Arial" w:hAnsi="Arial"/>
          <w:sz w:val="18"/>
          <w:szCs w:val="18"/>
          <w:color w:val="auto"/>
        </w:rPr>
        <w:t>Jefferies LLC</w:t>
      </w:r>
    </w:p>
    <w:p>
      <w:pPr>
        <w:spacing w:after="0" w:line="23" w:lineRule="exact"/>
        <w:rPr>
          <w:sz w:val="20"/>
          <w:szCs w:val="20"/>
          <w:color w:val="auto"/>
        </w:rPr>
      </w:pPr>
    </w:p>
    <w:p>
      <w:pPr>
        <w:ind w:left="860"/>
        <w:spacing w:after="0"/>
        <w:rPr>
          <w:sz w:val="20"/>
          <w:szCs w:val="20"/>
          <w:color w:val="auto"/>
        </w:rPr>
      </w:pPr>
      <w:r>
        <w:rPr>
          <w:rFonts w:ascii="Arial" w:cs="Arial" w:eastAsia="Arial" w:hAnsi="Arial"/>
          <w:sz w:val="18"/>
          <w:szCs w:val="18"/>
          <w:color w:val="auto"/>
        </w:rPr>
        <w:t>520 Madison Avenue</w:t>
      </w:r>
    </w:p>
    <w:p>
      <w:pPr>
        <w:spacing w:after="0" w:line="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Facsimile: (646) 619-4437</w:t>
      </w:r>
    </w:p>
    <w:p>
      <w:pPr>
        <w:spacing w:after="0" w:line="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Attention: General Counsel</w:t>
      </w:r>
    </w:p>
    <w:p>
      <w:pPr>
        <w:spacing w:after="0" w:line="10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with a copy (which shall not constitute notice) to:</w:t>
      </w:r>
    </w:p>
    <w:p>
      <w:pPr>
        <w:spacing w:after="0" w:line="117" w:lineRule="exact"/>
        <w:rPr>
          <w:sz w:val="20"/>
          <w:szCs w:val="20"/>
          <w:color w:val="auto"/>
        </w:rPr>
      </w:pPr>
    </w:p>
    <w:p>
      <w:pPr>
        <w:ind w:left="860"/>
        <w:spacing w:after="0"/>
        <w:rPr>
          <w:sz w:val="20"/>
          <w:szCs w:val="20"/>
          <w:color w:val="auto"/>
        </w:rPr>
      </w:pPr>
      <w:r>
        <w:rPr>
          <w:rFonts w:ascii="Arial" w:cs="Arial" w:eastAsia="Arial" w:hAnsi="Arial"/>
          <w:sz w:val="18"/>
          <w:szCs w:val="18"/>
          <w:color w:val="auto"/>
        </w:rPr>
        <w:t>Latham &amp; Watkins LLP</w:t>
      </w:r>
    </w:p>
    <w:p>
      <w:pPr>
        <w:spacing w:after="0" w:line="23" w:lineRule="exact"/>
        <w:rPr>
          <w:sz w:val="20"/>
          <w:szCs w:val="20"/>
          <w:color w:val="auto"/>
        </w:rPr>
      </w:pPr>
    </w:p>
    <w:p>
      <w:pPr>
        <w:ind w:left="860"/>
        <w:spacing w:after="0"/>
        <w:rPr>
          <w:sz w:val="20"/>
          <w:szCs w:val="20"/>
          <w:color w:val="auto"/>
        </w:rPr>
      </w:pPr>
      <w:r>
        <w:rPr>
          <w:rFonts w:ascii="Arial" w:cs="Arial" w:eastAsia="Arial" w:hAnsi="Arial"/>
          <w:sz w:val="18"/>
          <w:szCs w:val="18"/>
          <w:color w:val="auto"/>
        </w:rPr>
        <w:t>12670 High Bluff Drive</w:t>
      </w:r>
    </w:p>
    <w:p>
      <w:pPr>
        <w:spacing w:after="0" w:line="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San Diego, CA 92130</w:t>
      </w:r>
    </w:p>
    <w:p>
      <w:pPr>
        <w:spacing w:after="0" w:line="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Facsimile: (858) 523-5450</w:t>
      </w:r>
    </w:p>
    <w:p>
      <w:pPr>
        <w:spacing w:after="0" w:line="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Attention: Michael E. Sullivan, Esq.</w:t>
      </w:r>
    </w:p>
    <w:p>
      <w:pPr>
        <w:spacing w:after="0" w:line="10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If to the Company:</w:t>
      </w:r>
    </w:p>
    <w:p>
      <w:pPr>
        <w:spacing w:after="0" w:line="117" w:lineRule="exact"/>
        <w:rPr>
          <w:sz w:val="20"/>
          <w:szCs w:val="20"/>
          <w:color w:val="auto"/>
        </w:rPr>
      </w:pPr>
    </w:p>
    <w:p>
      <w:pPr>
        <w:ind w:left="860"/>
        <w:spacing w:after="0"/>
        <w:rPr>
          <w:sz w:val="20"/>
          <w:szCs w:val="20"/>
          <w:color w:val="auto"/>
        </w:rPr>
      </w:pPr>
      <w:r>
        <w:rPr>
          <w:rFonts w:ascii="Arial" w:cs="Arial" w:eastAsia="Arial" w:hAnsi="Arial"/>
          <w:sz w:val="18"/>
          <w:szCs w:val="18"/>
          <w:color w:val="auto"/>
        </w:rPr>
        <w:t>Tempest Therapeutics, Inc.</w:t>
      </w:r>
    </w:p>
    <w:p>
      <w:pPr>
        <w:spacing w:after="0" w:line="23" w:lineRule="exact"/>
        <w:rPr>
          <w:sz w:val="20"/>
          <w:szCs w:val="20"/>
          <w:color w:val="auto"/>
        </w:rPr>
      </w:pPr>
    </w:p>
    <w:p>
      <w:pPr>
        <w:ind w:left="860"/>
        <w:spacing w:after="0"/>
        <w:rPr>
          <w:sz w:val="20"/>
          <w:szCs w:val="20"/>
          <w:color w:val="auto"/>
        </w:rPr>
      </w:pPr>
      <w:r>
        <w:rPr>
          <w:rFonts w:ascii="Arial" w:cs="Arial" w:eastAsia="Arial" w:hAnsi="Arial"/>
          <w:sz w:val="18"/>
          <w:szCs w:val="18"/>
          <w:color w:val="auto"/>
        </w:rPr>
        <w:t>Stephen Brady</w:t>
      </w:r>
    </w:p>
    <w:p>
      <w:pPr>
        <w:spacing w:after="0" w:line="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7000 Shoreline Court; Suite 275</w:t>
      </w:r>
    </w:p>
    <w:p>
      <w:pPr>
        <w:spacing w:after="0" w:line="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South San Francisco, CA 94080</w:t>
      </w:r>
    </w:p>
    <w:p>
      <w:pPr>
        <w:spacing w:after="0" w:line="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Phone: [•]</w:t>
      </w:r>
    </w:p>
    <w:p>
      <w:pPr>
        <w:spacing w:after="0" w:line="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Email: [•]</w:t>
      </w:r>
    </w:p>
    <w:p>
      <w:pPr>
        <w:spacing w:after="0" w:line="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Attention: Stephen Brady.</w:t>
      </w:r>
    </w:p>
    <w:p>
      <w:pPr>
        <w:spacing w:after="0" w:line="10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with a copy (which shall not constitute notice) to:</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780"/>
          </w:cols>
          <w:pgMar w:left="560" w:top="274" w:right="559" w:bottom="1440" w:gutter="0" w:footer="0" w:header="0"/>
        </w:sectPr>
      </w:pPr>
    </w:p>
    <w:bookmarkStart w:id="38" w:name="page39"/>
    <w:bookmarkEnd w:id="38"/>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Sidley Austin LLP</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1001 Page Mill Road, Building 1</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Palo Alto, CA 94304 USA</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Attention: Asher M. Rubin and Frank Rahmani.</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Any party hereto may change the address for receipt of communications by giving written notice to the others in accordance with this </w:t>
      </w:r>
      <w:r>
        <w:rPr>
          <w:rFonts w:ascii="Arial" w:cs="Arial" w:eastAsia="Arial" w:hAnsi="Arial"/>
          <w:sz w:val="17"/>
          <w:szCs w:val="17"/>
          <w:u w:val="single" w:color="auto"/>
          <w:color w:val="auto"/>
        </w:rPr>
        <w:t>Section 8(d)</w:t>
      </w:r>
      <w:r>
        <w:rPr>
          <w:rFonts w:ascii="Arial" w:cs="Arial" w:eastAsia="Arial" w:hAnsi="Arial"/>
          <w:sz w:val="17"/>
          <w:szCs w:val="17"/>
          <w:color w:val="auto"/>
        </w:rPr>
        <w:t>.</w:t>
      </w:r>
    </w:p>
    <w:p>
      <w:pPr>
        <w:spacing w:after="0" w:line="129" w:lineRule="exact"/>
        <w:rPr>
          <w:sz w:val="20"/>
          <w:szCs w:val="20"/>
          <w:color w:val="auto"/>
        </w:rPr>
      </w:pPr>
    </w:p>
    <w:p>
      <w:pPr>
        <w:jc w:val="both"/>
        <w:ind w:right="240" w:firstLine="436"/>
        <w:spacing w:after="0" w:line="311" w:lineRule="auto"/>
        <w:tabs>
          <w:tab w:leader="none" w:pos="685" w:val="left"/>
        </w:tabs>
        <w:numPr>
          <w:ilvl w:val="0"/>
          <w:numId w:val="53"/>
        </w:numPr>
        <w:rPr>
          <w:rFonts w:ascii="Arial" w:cs="Arial" w:eastAsia="Arial" w:hAnsi="Arial"/>
          <w:sz w:val="16"/>
          <w:szCs w:val="16"/>
          <w:color w:val="auto"/>
        </w:rPr>
      </w:pPr>
      <w:r>
        <w:rPr>
          <w:rFonts w:ascii="Arial" w:cs="Arial" w:eastAsia="Arial" w:hAnsi="Arial"/>
          <w:sz w:val="16"/>
          <w:szCs w:val="16"/>
          <w:u w:val="single" w:color="auto"/>
          <w:color w:val="auto"/>
        </w:rPr>
        <w:t>Successors</w:t>
      </w:r>
      <w:r>
        <w:rPr>
          <w:rFonts w:ascii="Arial" w:cs="Arial" w:eastAsia="Arial" w:hAnsi="Arial"/>
          <w:sz w:val="16"/>
          <w:szCs w:val="16"/>
          <w:color w:val="auto"/>
        </w:rPr>
        <w:t xml:space="preserve">. This Agreement will inure to the benefit of and be binding upon the parties hereto, and to the benefit of the employees, officers and directors and controlling persons referred to in </w:t>
      </w:r>
      <w:r>
        <w:rPr>
          <w:rFonts w:ascii="Arial" w:cs="Arial" w:eastAsia="Arial" w:hAnsi="Arial"/>
          <w:sz w:val="16"/>
          <w:szCs w:val="16"/>
          <w:u w:val="single" w:color="auto"/>
          <w:color w:val="auto"/>
        </w:rPr>
        <w:t>Section 6</w:t>
      </w:r>
      <w:r>
        <w:rPr>
          <w:rFonts w:ascii="Arial" w:cs="Arial" w:eastAsia="Arial" w:hAnsi="Arial"/>
          <w:sz w:val="16"/>
          <w:szCs w:val="16"/>
          <w:color w:val="auto"/>
        </w:rPr>
        <w:t>, and in each case their respective successors, and no other person will have any right or obligation hereunder. The term “successors” shall not include any purchaser of the Shares as such from the Agent merely by reason of such purchase.</w:t>
      </w:r>
    </w:p>
    <w:p>
      <w:pPr>
        <w:spacing w:after="0" w:line="40" w:lineRule="exact"/>
        <w:rPr>
          <w:rFonts w:ascii="Arial" w:cs="Arial" w:eastAsia="Arial" w:hAnsi="Arial"/>
          <w:sz w:val="16"/>
          <w:szCs w:val="16"/>
          <w:color w:val="auto"/>
        </w:rPr>
      </w:pPr>
    </w:p>
    <w:p>
      <w:pPr>
        <w:ind w:right="220" w:firstLine="436"/>
        <w:spacing w:after="0" w:line="259" w:lineRule="auto"/>
        <w:tabs>
          <w:tab w:leader="none" w:pos="665"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Partial Unenforceability</w:t>
      </w:r>
      <w:r>
        <w:rPr>
          <w:rFonts w:ascii="Arial" w:cs="Arial" w:eastAsia="Arial" w:hAnsi="Arial"/>
          <w:sz w:val="18"/>
          <w:szCs w:val="18"/>
          <w:color w:val="auto"/>
        </w:rPr>
        <w:t>. The invalidity or unenforceability of any Article, Section, paragraph or provision of this Agreement shall not affect the validity or enforceability of any other Article, Section, paragraph or provision hereof. If any Article, Section, paragraph or provision of this Agreement is for any reason determined to be invalid or unenforceable, there shall be deemed to be made such minor changes (and only such minor changes) as are necessary to make it valid and enforceable.</w:t>
      </w:r>
    </w:p>
    <w:p>
      <w:pPr>
        <w:spacing w:after="0" w:line="78" w:lineRule="exact"/>
        <w:rPr>
          <w:rFonts w:ascii="Arial" w:cs="Arial" w:eastAsia="Arial" w:hAnsi="Arial"/>
          <w:sz w:val="18"/>
          <w:szCs w:val="18"/>
          <w:color w:val="auto"/>
        </w:rPr>
      </w:pPr>
    </w:p>
    <w:p>
      <w:pPr>
        <w:ind w:firstLine="436"/>
        <w:spacing w:after="0" w:line="269" w:lineRule="auto"/>
        <w:tabs>
          <w:tab w:leader="none" w:pos="695" w:val="left"/>
        </w:tabs>
        <w:numPr>
          <w:ilvl w:val="0"/>
          <w:numId w:val="53"/>
        </w:numPr>
        <w:rPr>
          <w:rFonts w:ascii="Arial" w:cs="Arial" w:eastAsia="Arial" w:hAnsi="Arial"/>
          <w:sz w:val="17"/>
          <w:szCs w:val="17"/>
          <w:color w:val="auto"/>
        </w:rPr>
      </w:pPr>
      <w:r>
        <w:rPr>
          <w:rFonts w:ascii="Arial" w:cs="Arial" w:eastAsia="Arial" w:hAnsi="Arial"/>
          <w:sz w:val="17"/>
          <w:szCs w:val="17"/>
          <w:u w:val="single" w:color="auto"/>
          <w:color w:val="auto"/>
        </w:rPr>
        <w:t>Governing Law Provisions</w:t>
      </w:r>
      <w:r>
        <w:rPr>
          <w:rFonts w:ascii="Arial" w:cs="Arial" w:eastAsia="Arial" w:hAnsi="Arial"/>
          <w:sz w:val="17"/>
          <w:szCs w:val="17"/>
          <w:color w:val="auto"/>
        </w:rPr>
        <w:t>. This Agreement shall be governed by and construed in accordance with the internal laws of the State of New York applicable to agreements made and to be performed in such state. Any legal suit, action or proceeding arising out of or based upon this Agreement or the transactions contemplated hereby may be instituted in the federal courts of the United States of America located in the Borough of Manhattan in the City of New York or the courts of the State of New York in each case located in the Borough of Manhattan in the City of New York (collectively, the “</w:t>
      </w:r>
      <w:r>
        <w:rPr>
          <w:rFonts w:ascii="Arial" w:cs="Arial" w:eastAsia="Arial" w:hAnsi="Arial"/>
          <w:sz w:val="17"/>
          <w:szCs w:val="17"/>
          <w:b w:val="1"/>
          <w:bCs w:val="1"/>
          <w:color w:val="auto"/>
        </w:rPr>
        <w:t>Specified Courts</w:t>
      </w:r>
      <w:r>
        <w:rPr>
          <w:rFonts w:ascii="Arial" w:cs="Arial" w:eastAsia="Arial" w:hAnsi="Arial"/>
          <w:sz w:val="17"/>
          <w:szCs w:val="17"/>
          <w:color w:val="auto"/>
        </w:rPr>
        <w:t>”), and each party irrevocably submits to the exclusive jurisdiction (except for proceedings instituted in regard to the enforcement of a judgment of any such court, as to which such jurisdiction is non-exclusive) of such courts in any such suit, action or proceeding. Service of any process, summons, notice or document by mail to such party’s address set forth above shall be effective service of process for any suit, action or other proceeding brought in any such court. The parties irrevocably and unconditionally waive any objection to the laying of venue of any suit, action or other proceeding in the Specified Courts and irrevocably and unconditionally waive and agree not to plead or claim in any such court that any such suit, action or other proceeding brought in any such court has been brought in an inconvenient forum.</w:t>
      </w:r>
    </w:p>
    <w:p>
      <w:pPr>
        <w:spacing w:after="0" w:line="77" w:lineRule="exact"/>
        <w:rPr>
          <w:rFonts w:ascii="Arial" w:cs="Arial" w:eastAsia="Arial" w:hAnsi="Arial"/>
          <w:sz w:val="17"/>
          <w:szCs w:val="17"/>
          <w:color w:val="auto"/>
        </w:rPr>
      </w:pPr>
    </w:p>
    <w:p>
      <w:pPr>
        <w:ind w:right="60" w:firstLine="436"/>
        <w:spacing w:after="0" w:line="273" w:lineRule="auto"/>
        <w:tabs>
          <w:tab w:leader="none" w:pos="695" w:val="left"/>
        </w:tabs>
        <w:numPr>
          <w:ilvl w:val="0"/>
          <w:numId w:val="53"/>
        </w:numPr>
        <w:rPr>
          <w:rFonts w:ascii="Arial" w:cs="Arial" w:eastAsia="Arial" w:hAnsi="Arial"/>
          <w:sz w:val="17"/>
          <w:szCs w:val="17"/>
          <w:color w:val="auto"/>
        </w:rPr>
      </w:pPr>
      <w:r>
        <w:rPr>
          <w:rFonts w:ascii="Arial" w:cs="Arial" w:eastAsia="Arial" w:hAnsi="Arial"/>
          <w:sz w:val="17"/>
          <w:szCs w:val="17"/>
          <w:u w:val="single" w:color="auto"/>
          <w:color w:val="auto"/>
        </w:rPr>
        <w:t>General Provisions</w:t>
      </w:r>
      <w:r>
        <w:rPr>
          <w:rFonts w:ascii="Arial" w:cs="Arial" w:eastAsia="Arial" w:hAnsi="Arial"/>
          <w:sz w:val="17"/>
          <w:szCs w:val="17"/>
          <w:color w:val="auto"/>
        </w:rPr>
        <w:t>. This Agreement constitutes the entire agreement of the parties to this Agreement and supersedes all prior written or oral and all contemporaneous oral agreements, understandings and negotiations with respect to the subject matter hereof. This Agreement may be executed in two or more counterparts, each one of which shall be an original, with the same effect as if the signatures thereto and hereto were upon the same instrument, and may be delivered by facsimile transmission or by electronic delivery of a portable document format (PDF) file (including any electronic signature covered by the U.S. federal ESIGN Act of 2000, Uniform Electronic Transactions Act, the Electronic Signatures and Records Act or other applicable law, e.g., www.docusign.com). This Agreement may not be amended or modified</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00"/>
          </w:cols>
          <w:pgMar w:left="440" w:top="274" w:right="459" w:bottom="1440" w:gutter="0" w:footer="0" w:header="0"/>
        </w:sectPr>
      </w:pPr>
    </w:p>
    <w:bookmarkStart w:id="39" w:name="page40"/>
    <w:bookmarkEnd w:id="39"/>
    <w:p>
      <w:pPr>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unless in writing by all of the parties hereto, and no condition herein (express or implied) may be waived unless waived in writing by each party whom the condition is meant to benefit. The Article and Section headings herein are for the convenience of the parties only and shall not affect the construction or interpretation of this Agreement.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 Immediately Follows]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980"/>
          </w:cols>
          <w:pgMar w:left="440" w:top="274" w:right="479" w:bottom="1440" w:gutter="0" w:footer="0" w:header="0"/>
        </w:sectPr>
      </w:pPr>
    </w:p>
    <w:bookmarkStart w:id="40" w:name="page41"/>
    <w:bookmarkEnd w:id="40"/>
    <w:p>
      <w:pPr>
        <w:ind w:firstLine="44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foregoing is in accordance with your understanding of our agreement, kindly sign and return to the Company the enclosed copies hereof, whereupon this instrument, along with all counterparts hereof, shall become a binding agreement in accordance with its terms</w:t>
      </w:r>
    </w:p>
    <w:p>
      <w:pPr>
        <w:spacing w:after="0" w:line="17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TEMPEST THERAPEUTICS,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Stephen Brady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Stephen Brady</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foregoing Agreement is hereby confirmed and accepted by the Agent in New York, New York as of the date first above written.</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JEFFERIES LLC</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Magarro</w:t>
            </w:r>
          </w:p>
        </w:tc>
      </w:tr>
      <w:tr>
        <w:trPr>
          <w:trHeight w:val="209"/>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Pr>
          <w:p>
            <w:pPr>
              <w:spacing w:after="0"/>
              <w:rPr>
                <w:sz w:val="20"/>
                <w:szCs w:val="20"/>
                <w:color w:val="auto"/>
              </w:rPr>
            </w:pPr>
            <w:r>
              <w:rPr>
                <w:rFonts w:ascii="Arial" w:cs="Arial" w:eastAsia="Arial" w:hAnsi="Arial"/>
                <w:sz w:val="18"/>
                <w:szCs w:val="18"/>
                <w:color w:val="auto"/>
              </w:rPr>
              <w:t>Michael Magarro</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Pr>
          <w:p>
            <w:pPr>
              <w:spacing w:after="0"/>
              <w:rPr>
                <w:sz w:val="20"/>
                <w:szCs w:val="20"/>
                <w:color w:val="auto"/>
              </w:rPr>
            </w:pPr>
            <w:r>
              <w:rPr>
                <w:rFonts w:ascii="Arial" w:cs="Arial" w:eastAsia="Arial" w:hAnsi="Arial"/>
                <w:sz w:val="18"/>
                <w:szCs w:val="18"/>
                <w:color w:val="auto"/>
              </w:rPr>
              <w:t>Managing Director</w:t>
            </w:r>
          </w:p>
        </w:tc>
      </w:tr>
    </w:tbl>
    <w:p>
      <w:pPr>
        <w:sectPr>
          <w:pgSz w:w="11900" w:h="16838" w:orient="portrait"/>
          <w:cols w:equalWidth="0" w:num="1">
            <w:col w:w="10700"/>
          </w:cols>
          <w:pgMar w:left="440" w:top="274" w:right="759" w:bottom="1440" w:gutter="0" w:footer="0" w:header="0"/>
        </w:sectPr>
      </w:pPr>
    </w:p>
    <w:bookmarkStart w:id="41" w:name="page42"/>
    <w:bookmarkEnd w:id="4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ISSUANCE NOTICE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Jefferies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520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Attn: [__________]</w:t>
      </w:r>
    </w:p>
    <w:p>
      <w:pPr>
        <w:spacing w:after="0" w:line="221" w:lineRule="exact"/>
        <w:rPr>
          <w:sz w:val="20"/>
          <w:szCs w:val="20"/>
          <w:color w:val="auto"/>
        </w:rPr>
      </w:pPr>
    </w:p>
    <w:p>
      <w:pPr>
        <w:spacing w:after="0" w:line="312" w:lineRule="auto"/>
        <w:rPr>
          <w:sz w:val="20"/>
          <w:szCs w:val="20"/>
          <w:color w:val="auto"/>
        </w:rPr>
      </w:pPr>
      <w:r>
        <w:rPr>
          <w:rFonts w:ascii="Arial" w:cs="Arial" w:eastAsia="Arial" w:hAnsi="Arial"/>
          <w:sz w:val="17"/>
          <w:szCs w:val="17"/>
          <w:color w:val="auto"/>
        </w:rPr>
        <w:t>Reference is made to the Open Market Sale Agreement between Tempest Therapeutics, Inc. (the “</w:t>
      </w:r>
      <w:r>
        <w:rPr>
          <w:rFonts w:ascii="Arial" w:cs="Arial" w:eastAsia="Arial" w:hAnsi="Arial"/>
          <w:sz w:val="17"/>
          <w:szCs w:val="17"/>
          <w:b w:val="1"/>
          <w:bCs w:val="1"/>
          <w:color w:val="auto"/>
        </w:rPr>
        <w:t>Company</w:t>
      </w:r>
      <w:r>
        <w:rPr>
          <w:rFonts w:ascii="Arial" w:cs="Arial" w:eastAsia="Arial" w:hAnsi="Arial"/>
          <w:sz w:val="17"/>
          <w:szCs w:val="17"/>
          <w:color w:val="auto"/>
        </w:rPr>
        <w:t>”) and Jefferies LLC (the “</w:t>
      </w:r>
      <w:r>
        <w:rPr>
          <w:rFonts w:ascii="Arial" w:cs="Arial" w:eastAsia="Arial" w:hAnsi="Arial"/>
          <w:sz w:val="17"/>
          <w:szCs w:val="17"/>
          <w:b w:val="1"/>
          <w:bCs w:val="1"/>
          <w:color w:val="auto"/>
        </w:rPr>
        <w:t>Agent</w:t>
      </w:r>
      <w:r>
        <w:rPr>
          <w:rFonts w:ascii="Arial" w:cs="Arial" w:eastAsia="Arial" w:hAnsi="Arial"/>
          <w:sz w:val="17"/>
          <w:szCs w:val="17"/>
          <w:color w:val="auto"/>
        </w:rPr>
        <w:t>”) dated as of July 23, 2021. The Company confirms that all conditions to the delivery of this Issuance Notice are satisfied as of the date hereof.</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of Delivery of Issuance Notice (determined pursuant to </w:t>
      </w:r>
      <w:r>
        <w:rPr>
          <w:rFonts w:ascii="Arial" w:cs="Arial" w:eastAsia="Arial" w:hAnsi="Arial"/>
          <w:sz w:val="18"/>
          <w:szCs w:val="18"/>
          <w:u w:val="single" w:color="auto"/>
          <w:color w:val="auto"/>
        </w:rPr>
        <w:t>Section 3(b)(i)</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Issuance Amount (equal to the total Sales Price for such Shares):</w:t>
      </w:r>
    </w:p>
    <w:p>
      <w:pPr>
        <w:spacing w:after="0" w:line="252"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$______________________</w:t>
      </w:r>
    </w:p>
    <w:p>
      <w:pPr>
        <w:spacing w:after="0" w:line="23" w:lineRule="exact"/>
        <w:rPr>
          <w:sz w:val="20"/>
          <w:szCs w:val="20"/>
          <w:color w:val="auto"/>
        </w:rPr>
      </w:pPr>
    </w:p>
    <w:p>
      <w:pPr>
        <w:spacing w:after="0"/>
        <w:tabs>
          <w:tab w:leader="none" w:pos="3840" w:val="left"/>
        </w:tabs>
        <w:rPr>
          <w:sz w:val="20"/>
          <w:szCs w:val="20"/>
          <w:color w:val="auto"/>
        </w:rPr>
      </w:pPr>
      <w:r>
        <w:rPr>
          <w:rFonts w:ascii="Arial" w:cs="Arial" w:eastAsia="Arial" w:hAnsi="Arial"/>
          <w:sz w:val="18"/>
          <w:szCs w:val="18"/>
          <w:color w:val="auto"/>
        </w:rPr>
        <w:t>Number of days in selling period:</w:t>
      </w:r>
      <w:r>
        <w:rPr>
          <w:sz w:val="20"/>
          <w:szCs w:val="20"/>
          <w:color w:val="auto"/>
        </w:rPr>
        <w:tab/>
      </w:r>
      <w:r>
        <w:rPr>
          <w:rFonts w:ascii="Arial" w:cs="Arial" w:eastAsia="Arial" w:hAnsi="Arial"/>
          <w:sz w:val="16"/>
          <w:szCs w:val="16"/>
          <w:color w:val="auto"/>
        </w:rPr>
        <w:t>_______________________</w:t>
      </w:r>
    </w:p>
    <w:p>
      <w:pPr>
        <w:spacing w:after="0" w:line="9" w:lineRule="exact"/>
        <w:rPr>
          <w:sz w:val="20"/>
          <w:szCs w:val="20"/>
          <w:color w:val="auto"/>
        </w:rPr>
      </w:pPr>
    </w:p>
    <w:p>
      <w:pPr>
        <w:spacing w:after="0"/>
        <w:tabs>
          <w:tab w:leader="none" w:pos="3840" w:val="left"/>
        </w:tabs>
        <w:rPr>
          <w:sz w:val="20"/>
          <w:szCs w:val="20"/>
          <w:color w:val="auto"/>
        </w:rPr>
      </w:pPr>
      <w:r>
        <w:rPr>
          <w:rFonts w:ascii="Arial" w:cs="Arial" w:eastAsia="Arial" w:hAnsi="Arial"/>
          <w:sz w:val="18"/>
          <w:szCs w:val="18"/>
          <w:color w:val="auto"/>
        </w:rPr>
        <w:t>First date of selling period:</w:t>
      </w:r>
      <w:r>
        <w:rPr>
          <w:sz w:val="20"/>
          <w:szCs w:val="20"/>
          <w:color w:val="auto"/>
        </w:rPr>
        <w:tab/>
      </w:r>
      <w:r>
        <w:rPr>
          <w:rFonts w:ascii="Arial" w:cs="Arial" w:eastAsia="Arial" w:hAnsi="Arial"/>
          <w:sz w:val="16"/>
          <w:szCs w:val="16"/>
          <w:color w:val="auto"/>
        </w:rPr>
        <w:t>_______________________</w:t>
      </w:r>
    </w:p>
    <w:p>
      <w:pPr>
        <w:spacing w:after="0" w:line="9" w:lineRule="exact"/>
        <w:rPr>
          <w:sz w:val="20"/>
          <w:szCs w:val="20"/>
          <w:color w:val="auto"/>
        </w:rPr>
      </w:pPr>
    </w:p>
    <w:p>
      <w:pPr>
        <w:spacing w:after="0"/>
        <w:tabs>
          <w:tab w:leader="none" w:pos="3840" w:val="left"/>
        </w:tabs>
        <w:rPr>
          <w:sz w:val="20"/>
          <w:szCs w:val="20"/>
          <w:color w:val="auto"/>
        </w:rPr>
      </w:pPr>
      <w:r>
        <w:rPr>
          <w:rFonts w:ascii="Arial" w:cs="Arial" w:eastAsia="Arial" w:hAnsi="Arial"/>
          <w:sz w:val="18"/>
          <w:szCs w:val="18"/>
          <w:color w:val="auto"/>
        </w:rPr>
        <w:t>Last date of selling period:</w:t>
      </w:r>
      <w:r>
        <w:rPr>
          <w:sz w:val="20"/>
          <w:szCs w:val="20"/>
          <w:color w:val="auto"/>
        </w:rPr>
        <w:tab/>
      </w:r>
      <w:r>
        <w:rPr>
          <w:rFonts w:ascii="Arial" w:cs="Arial" w:eastAsia="Arial" w:hAnsi="Arial"/>
          <w:sz w:val="16"/>
          <w:szCs w:val="16"/>
          <w:color w:val="auto"/>
        </w:rPr>
        <w:t>_______________________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Settlement Date(s) if other than standard T+2 settlement:</w:t>
      </w:r>
    </w:p>
    <w:p>
      <w:pPr>
        <w:spacing w:after="0" w:line="9"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_______________________</w:t>
      </w:r>
    </w:p>
    <w:p>
      <w:pPr>
        <w:spacing w:after="0" w:line="21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Floor Price Limitation (in no event less than $1.00 without the prior written consent of the Agent, which consent may be withheld in the Agent’s sole discretion): $ ____ per share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Comments: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700405</wp:posOffset>
            </wp:positionH>
            <wp:positionV relativeFrom="paragraph">
              <wp:posOffset>14605</wp:posOffset>
            </wp:positionV>
            <wp:extent cx="629221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4309110</wp:posOffset>
            </wp:positionH>
            <wp:positionV relativeFrom="paragraph">
              <wp:posOffset>323215</wp:posOffset>
            </wp:positionV>
            <wp:extent cx="268287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6828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0960"/>
          </w:cols>
          <w:pgMar w:left="440" w:top="270" w:right="499" w:bottom="1440" w:gutter="0" w:footer="0" w:header="0"/>
        </w:sectPr>
      </w:pPr>
    </w:p>
    <w:bookmarkStart w:id="42" w:name="page43"/>
    <w:bookmarkEnd w:id="42"/>
    <w:p>
      <w:pPr>
        <w:jc w:val="center"/>
        <w:ind w:right="-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A</w:t>
      </w:r>
    </w:p>
    <w:p>
      <w:pPr>
        <w:spacing w:after="0" w:line="117" w:lineRule="exact"/>
        <w:rPr>
          <w:sz w:val="20"/>
          <w:szCs w:val="20"/>
          <w:color w:val="auto"/>
        </w:rPr>
      </w:pPr>
    </w:p>
    <w:p>
      <w:pPr>
        <w:jc w:val="center"/>
        <w:ind w:right="-980"/>
        <w:spacing w:after="0"/>
        <w:rPr>
          <w:sz w:val="20"/>
          <w:szCs w:val="20"/>
          <w:color w:val="auto"/>
        </w:rPr>
      </w:pPr>
      <w:r>
        <w:rPr>
          <w:rFonts w:ascii="Arial" w:cs="Arial" w:eastAsia="Arial" w:hAnsi="Arial"/>
          <w:sz w:val="16"/>
          <w:szCs w:val="16"/>
          <w:b w:val="1"/>
          <w:bCs w:val="1"/>
          <w:color w:val="auto"/>
        </w:rPr>
        <w:t>Notice Parties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The Company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The Agent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0019"/>
          </w:cols>
          <w:pgMar w:left="440" w:top="270" w:right="1440"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5.1</w:t>
      </w:r>
    </w:p>
    <w:p>
      <w:pPr>
        <w:spacing w:after="0" w:line="251" w:lineRule="exact"/>
        <w:rPr>
          <w:sz w:val="20"/>
          <w:szCs w:val="20"/>
          <w:color w:val="auto"/>
        </w:rPr>
      </w:pPr>
    </w:p>
    <w:p>
      <w:pPr>
        <w:ind w:left="2540"/>
        <w:spacing w:after="0"/>
        <w:rPr>
          <w:sz w:val="20"/>
          <w:szCs w:val="20"/>
          <w:color w:val="auto"/>
        </w:rPr>
      </w:pPr>
      <w:r>
        <w:rPr>
          <w:rFonts w:ascii="Arial" w:cs="Arial" w:eastAsia="Arial" w:hAnsi="Arial"/>
          <w:sz w:val="14"/>
          <w:szCs w:val="14"/>
          <w:color w:val="auto"/>
        </w:rPr>
        <w:t>SIDLEY AUSTIN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-12065</wp:posOffset>
            </wp:positionV>
            <wp:extent cx="1208405" cy="2914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08405" cy="291465"/>
                    </a:xfrm>
                    <a:prstGeom prst="rect">
                      <a:avLst/>
                    </a:prstGeom>
                    <a:noFill/>
                  </pic:spPr>
                </pic:pic>
              </a:graphicData>
            </a:graphic>
          </wp:anchor>
        </w:drawing>
      </w:r>
    </w:p>
    <w:p>
      <w:pPr>
        <w:ind w:left="2540"/>
        <w:spacing w:after="0" w:line="221" w:lineRule="auto"/>
        <w:rPr>
          <w:sz w:val="20"/>
          <w:szCs w:val="20"/>
          <w:color w:val="auto"/>
        </w:rPr>
      </w:pPr>
      <w:r>
        <w:rPr>
          <w:rFonts w:ascii="Arial" w:cs="Arial" w:eastAsia="Arial" w:hAnsi="Arial"/>
          <w:sz w:val="14"/>
          <w:szCs w:val="14"/>
          <w:color w:val="auto"/>
        </w:rPr>
        <w:t>787 SEVENTH AVENUE</w:t>
      </w:r>
    </w:p>
    <w:p>
      <w:pPr>
        <w:ind w:left="2540"/>
        <w:spacing w:after="0" w:line="221" w:lineRule="auto"/>
        <w:rPr>
          <w:sz w:val="20"/>
          <w:szCs w:val="20"/>
          <w:color w:val="auto"/>
        </w:rPr>
      </w:pPr>
      <w:r>
        <w:rPr>
          <w:rFonts w:ascii="Arial" w:cs="Arial" w:eastAsia="Arial" w:hAnsi="Arial"/>
          <w:sz w:val="14"/>
          <w:szCs w:val="14"/>
          <w:color w:val="auto"/>
        </w:rPr>
        <w:t>NEW YORK, NY 10019</w:t>
      </w:r>
    </w:p>
    <w:p>
      <w:pPr>
        <w:ind w:left="2540"/>
        <w:spacing w:after="0" w:line="222" w:lineRule="auto"/>
        <w:rPr>
          <w:sz w:val="20"/>
          <w:szCs w:val="20"/>
          <w:color w:val="auto"/>
        </w:rPr>
      </w:pPr>
      <w:r>
        <w:rPr>
          <w:rFonts w:ascii="Arial" w:cs="Arial" w:eastAsia="Arial" w:hAnsi="Arial"/>
          <w:sz w:val="14"/>
          <w:szCs w:val="14"/>
          <w:color w:val="auto"/>
        </w:rPr>
        <w:t>+1 212 839 5300</w:t>
      </w:r>
    </w:p>
    <w:p>
      <w:pPr>
        <w:ind w:left="2540"/>
        <w:spacing w:after="0"/>
        <w:rPr>
          <w:sz w:val="20"/>
          <w:szCs w:val="20"/>
          <w:color w:val="auto"/>
        </w:rPr>
      </w:pPr>
      <w:r>
        <w:rPr>
          <w:rFonts w:ascii="Arial" w:cs="Arial" w:eastAsia="Arial" w:hAnsi="Arial"/>
          <w:sz w:val="14"/>
          <w:szCs w:val="14"/>
          <w:color w:val="auto"/>
        </w:rPr>
        <w:t>+1 212 839 5599 FAX</w:t>
      </w:r>
    </w:p>
    <w:p>
      <w:pPr>
        <w:spacing w:after="0" w:line="219" w:lineRule="exact"/>
        <w:rPr>
          <w:sz w:val="20"/>
          <w:szCs w:val="20"/>
          <w:color w:val="auto"/>
        </w:rPr>
      </w:pPr>
    </w:p>
    <w:p>
      <w:pPr>
        <w:ind w:left="2540"/>
        <w:spacing w:after="0"/>
        <w:rPr>
          <w:sz w:val="20"/>
          <w:szCs w:val="20"/>
          <w:color w:val="auto"/>
        </w:rPr>
      </w:pPr>
      <w:r>
        <w:rPr>
          <w:rFonts w:ascii="Arial" w:cs="Arial" w:eastAsia="Arial" w:hAnsi="Arial"/>
          <w:sz w:val="14"/>
          <w:szCs w:val="14"/>
          <w:color w:val="auto"/>
        </w:rPr>
        <w:t>AMERICA • ASIA PACIFIC • EUROPE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July 23,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Tempest Therapeutics,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7000 Shoreline Court, Suite 275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 San Francisco, CA 94080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Registration Statement on Form S-3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60" w:firstLine="440"/>
        <w:spacing w:after="0" w:line="273" w:lineRule="auto"/>
        <w:rPr>
          <w:sz w:val="20"/>
          <w:szCs w:val="20"/>
          <w:color w:val="auto"/>
        </w:rPr>
      </w:pPr>
      <w:r>
        <w:rPr>
          <w:rFonts w:ascii="Arial" w:cs="Arial" w:eastAsia="Arial" w:hAnsi="Arial"/>
          <w:sz w:val="17"/>
          <w:szCs w:val="17"/>
          <w:color w:val="auto"/>
        </w:rPr>
        <w:t>We refer to the Registration Statement on Form S-3, File No. 333-257990 (the “</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 filed by Tempest Therapeutics, Inc.,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with the Securities and Exchange Commission (the “</w:t>
      </w:r>
      <w:r>
        <w:rPr>
          <w:rFonts w:ascii="Arial" w:cs="Arial" w:eastAsia="Arial" w:hAnsi="Arial"/>
          <w:sz w:val="17"/>
          <w:szCs w:val="17"/>
          <w:u w:val="single" w:color="auto"/>
          <w:color w:val="auto"/>
        </w:rPr>
        <w:t>Commission</w:t>
      </w:r>
      <w:r>
        <w:rPr>
          <w:rFonts w:ascii="Arial" w:cs="Arial" w:eastAsia="Arial" w:hAnsi="Arial"/>
          <w:sz w:val="17"/>
          <w:szCs w:val="17"/>
          <w:color w:val="auto"/>
        </w:rPr>
        <w:t>”), which Registration Statement became effective on July 23, 2021 under the Securities Act of 1933, as amended (the “</w:t>
      </w:r>
      <w:r>
        <w:rPr>
          <w:rFonts w:ascii="Arial" w:cs="Arial" w:eastAsia="Arial" w:hAnsi="Arial"/>
          <w:sz w:val="17"/>
          <w:szCs w:val="17"/>
          <w:u w:val="single" w:color="auto"/>
          <w:color w:val="auto"/>
        </w:rPr>
        <w:t>Securities Act</w:t>
      </w:r>
      <w:r>
        <w:rPr>
          <w:rFonts w:ascii="Arial" w:cs="Arial" w:eastAsia="Arial" w:hAnsi="Arial"/>
          <w:sz w:val="17"/>
          <w:szCs w:val="17"/>
          <w:color w:val="auto"/>
        </w:rPr>
        <w:t>”). Pursuant to the Registration Statement, the Company may from time to time issue up to an aggregate offering price of up to $100,000,000 of shares (the “</w:t>
      </w:r>
      <w:r>
        <w:rPr>
          <w:rFonts w:ascii="Arial" w:cs="Arial" w:eastAsia="Arial" w:hAnsi="Arial"/>
          <w:sz w:val="17"/>
          <w:szCs w:val="17"/>
          <w:u w:val="single" w:color="auto"/>
          <w:color w:val="auto"/>
        </w:rPr>
        <w:t>Shares</w:t>
      </w:r>
      <w:r>
        <w:rPr>
          <w:rFonts w:ascii="Arial" w:cs="Arial" w:eastAsia="Arial" w:hAnsi="Arial"/>
          <w:sz w:val="17"/>
          <w:szCs w:val="17"/>
          <w:color w:val="auto"/>
        </w:rPr>
        <w:t>”) of its Common Stock, $0.001 par value per share (the “</w:t>
      </w:r>
      <w:r>
        <w:rPr>
          <w:rFonts w:ascii="Arial" w:cs="Arial" w:eastAsia="Arial" w:hAnsi="Arial"/>
          <w:sz w:val="17"/>
          <w:szCs w:val="17"/>
          <w:u w:val="single" w:color="auto"/>
          <w:color w:val="auto"/>
        </w:rPr>
        <w:t>Common Stock”)</w:t>
      </w:r>
      <w:r>
        <w:rPr>
          <w:rFonts w:ascii="Arial" w:cs="Arial" w:eastAsia="Arial" w:hAnsi="Arial"/>
          <w:sz w:val="17"/>
          <w:szCs w:val="17"/>
          <w:color w:val="auto"/>
        </w:rPr>
        <w:t>. The Shares are to be sold by the Company pursuant to an Open Market Sale Agreement</w:t>
      </w:r>
      <w:r>
        <w:rPr>
          <w:rFonts w:ascii="Arial" w:cs="Arial" w:eastAsia="Arial" w:hAnsi="Arial"/>
          <w:sz w:val="14"/>
          <w:szCs w:val="14"/>
          <w:color w:val="auto"/>
        </w:rPr>
        <w:t>SM</w:t>
      </w:r>
      <w:r>
        <w:rPr>
          <w:rFonts w:ascii="Arial" w:cs="Arial" w:eastAsia="Arial" w:hAnsi="Arial"/>
          <w:sz w:val="17"/>
          <w:szCs w:val="17"/>
          <w:color w:val="auto"/>
        </w:rPr>
        <w:t>, dated July 23, 2021 (the “</w:t>
      </w:r>
      <w:r>
        <w:rPr>
          <w:rFonts w:ascii="Arial" w:cs="Arial" w:eastAsia="Arial" w:hAnsi="Arial"/>
          <w:sz w:val="17"/>
          <w:szCs w:val="17"/>
          <w:u w:val="single" w:color="auto"/>
          <w:color w:val="auto"/>
        </w:rPr>
        <w:t>Sales Agreement</w:t>
      </w:r>
      <w:r>
        <w:rPr>
          <w:rFonts w:ascii="Arial" w:cs="Arial" w:eastAsia="Arial" w:hAnsi="Arial"/>
          <w:sz w:val="17"/>
          <w:szCs w:val="17"/>
          <w:color w:val="auto"/>
        </w:rPr>
        <w:t>”), between the Company and Jefferies LLC.</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This opinion letter is being delivered in accordance with the requirements of Item 601(b)(5) of Regulation S-K under the Securities Act.</w:t>
      </w:r>
    </w:p>
    <w:p>
      <w:pPr>
        <w:spacing w:after="0" w:line="237" w:lineRule="exact"/>
        <w:rPr>
          <w:sz w:val="20"/>
          <w:szCs w:val="20"/>
          <w:color w:val="auto"/>
        </w:rPr>
      </w:pPr>
    </w:p>
    <w:p>
      <w:pPr>
        <w:ind w:right="20" w:firstLine="440"/>
        <w:spacing w:after="0" w:line="287" w:lineRule="auto"/>
        <w:rPr>
          <w:sz w:val="20"/>
          <w:szCs w:val="20"/>
          <w:color w:val="auto"/>
        </w:rPr>
      </w:pPr>
      <w:r>
        <w:rPr>
          <w:rFonts w:ascii="Arial" w:cs="Arial" w:eastAsia="Arial" w:hAnsi="Arial"/>
          <w:sz w:val="16"/>
          <w:szCs w:val="16"/>
          <w:color w:val="auto"/>
        </w:rPr>
        <w:t xml:space="preserve">We have examined the Registration Statement, the Company’s base prospectus dated July 23, 2021 (the “Base Prospectus”), the Company’s prospectus supplement dated July 23, 2021 supplementing the Base Prospectus and relating to the Shares (the </w:t>
      </w:r>
      <w:r>
        <w:rPr>
          <w:rFonts w:ascii="Arial" w:cs="Arial" w:eastAsia="Arial" w:hAnsi="Arial"/>
          <w:sz w:val="16"/>
          <w:szCs w:val="16"/>
          <w:u w:val="single" w:color="auto"/>
          <w:color w:val="auto"/>
        </w:rPr>
        <w:t>“Prospectus Supplement</w:t>
      </w:r>
      <w:r>
        <w:rPr>
          <w:rFonts w:ascii="Arial" w:cs="Arial" w:eastAsia="Arial" w:hAnsi="Arial"/>
          <w:sz w:val="16"/>
          <w:szCs w:val="16"/>
          <w:color w:val="auto"/>
        </w:rPr>
        <w:t>”), the Sales Agreement, the Company’s certificate of incorporation, as amended and restated to the date hereof (the “</w:t>
      </w:r>
      <w:r>
        <w:rPr>
          <w:rFonts w:ascii="Arial" w:cs="Arial" w:eastAsia="Arial" w:hAnsi="Arial"/>
          <w:sz w:val="16"/>
          <w:szCs w:val="16"/>
          <w:u w:val="single" w:color="auto"/>
          <w:color w:val="auto"/>
        </w:rPr>
        <w:t>Certificate of Incorporation</w:t>
      </w:r>
      <w:r>
        <w:rPr>
          <w:rFonts w:ascii="Arial" w:cs="Arial" w:eastAsia="Arial" w:hAnsi="Arial"/>
          <w:sz w:val="16"/>
          <w:szCs w:val="16"/>
          <w:color w:val="auto"/>
        </w:rPr>
        <w:t>”), the Bylaws of the Company, as amended and restated to the date hereof (the “</w:t>
      </w:r>
      <w:r>
        <w:rPr>
          <w:rFonts w:ascii="Arial" w:cs="Arial" w:eastAsia="Arial" w:hAnsi="Arial"/>
          <w:sz w:val="16"/>
          <w:szCs w:val="16"/>
          <w:u w:val="single" w:color="auto"/>
          <w:color w:val="auto"/>
        </w:rPr>
        <w:t>Bylaws</w:t>
      </w:r>
      <w:r>
        <w:rPr>
          <w:rFonts w:ascii="Arial" w:cs="Arial" w:eastAsia="Arial" w:hAnsi="Arial"/>
          <w:sz w:val="16"/>
          <w:szCs w:val="16"/>
          <w:color w:val="auto"/>
        </w:rPr>
        <w:t>”) and the resolutions (the “</w:t>
      </w:r>
      <w:r>
        <w:rPr>
          <w:rFonts w:ascii="Arial" w:cs="Arial" w:eastAsia="Arial" w:hAnsi="Arial"/>
          <w:sz w:val="16"/>
          <w:szCs w:val="16"/>
          <w:u w:val="single" w:color="auto"/>
          <w:color w:val="auto"/>
        </w:rPr>
        <w:t>Resolutions</w:t>
      </w:r>
      <w:r>
        <w:rPr>
          <w:rFonts w:ascii="Arial" w:cs="Arial" w:eastAsia="Arial" w:hAnsi="Arial"/>
          <w:sz w:val="16"/>
          <w:szCs w:val="16"/>
          <w:color w:val="auto"/>
        </w:rPr>
        <w:t>”) adopted by the board of directors of the Company (the “</w:t>
      </w:r>
      <w:r>
        <w:rPr>
          <w:rFonts w:ascii="Arial" w:cs="Arial" w:eastAsia="Arial" w:hAnsi="Arial"/>
          <w:sz w:val="16"/>
          <w:szCs w:val="16"/>
          <w:u w:val="single" w:color="auto"/>
          <w:color w:val="auto"/>
        </w:rPr>
        <w:t>Board</w:t>
      </w:r>
      <w:r>
        <w:rPr>
          <w:rFonts w:ascii="Arial" w:cs="Arial" w:eastAsia="Arial" w:hAnsi="Arial"/>
          <w:sz w:val="16"/>
          <w:szCs w:val="16"/>
          <w:color w:val="auto"/>
        </w:rPr>
        <w:t>”) relating to the Registration Statement and the Sales Agreement. We have also examined originals, or copies of originals certified to our satisfaction, of such agreements, documents, certificates and statements of the Company and other corporate documents and instruments, and have examined such questions of law, as we have considered relevant and necessary as a basis for this opinion letter. We have assumed the authenticity of all documents submitted to us as originals, the genuineness of all signatures, the legal capacity of all persons and the conformity with the original documents of any copies thereof submitted to us for examination. As to facts relevant to the opinions expressed herein, we have relied without independent investigation or verification upon, and assumed the accuracy and completeness of, certificates, letters and oral and written statements and representations of public officials and officers and other representatives of the Company.</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Sidley Austin (NY) LLP is a Delaware limited liability partnership doing business as Sidley Austin LLP and practicing in affiliation with other Sidley Austin partnerships.</w:t>
      </w:r>
    </w:p>
    <w:p>
      <w:pPr>
        <w:sectPr>
          <w:pgSz w:w="11900" w:h="16838" w:orient="portrait"/>
          <w:cols w:equalWidth="0" w:num="1">
            <w:col w:w="11020"/>
          </w:cols>
          <w:pgMar w:left="440" w:top="121" w:right="439" w:bottom="1440" w:gutter="0" w:footer="0" w:header="0"/>
        </w:sectPr>
      </w:pPr>
    </w:p>
    <w:bookmarkStart w:id="44" w:name="page45"/>
    <w:bookmarkEnd w:id="4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208405" cy="2914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clrChange>
                        <a:clrFrom>
                          <a:srgbClr val="FFFFFF"/>
                        </a:clrFrom>
                        <a:clrTo>
                          <a:srgbClr val="FFFFFF">
                            <a:alpha val="0"/>
                          </a:srgbClr>
                        </a:clrTo>
                      </a:clrChange>
                      <a:extLst>
                        <a:ext uri="{28A0092B-C50C-407E-A947-70E740481C1C}"/>
                      </a:extLst>
                    </a:blip>
                    <a:srcRect/>
                    <a:stretch>
                      <a:fillRect/>
                    </a:stretch>
                  </pic:blipFill>
                  <pic:spPr bwMode="auto">
                    <a:xfrm>
                      <a:off x="0" y="0"/>
                      <a:ext cx="1208405" cy="291465"/>
                    </a:xfrm>
                    <a:prstGeom prst="rect">
                      <a:avLst/>
                    </a:prstGeom>
                    <a:noFill/>
                  </pic:spPr>
                </pic:pic>
              </a:graphicData>
            </a:graphic>
          </wp:anchor>
        </w:drawing>
        <w:t>Tempest Therapeutics,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23,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58"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Based on the foregoing, we are of the opinion that the Shares will be validly issued, fully paid and non-assessable when: (i) (the Board or a duly authorized committee thereof shall have duly adopted final resolutions in conformity with the Certificate of Incorporation, the Bylaws and the Resolutions, setting the price of the Shares, and authorizing the issue and sale of the Shares, and (ii) certificates representing such Shares shall have been duly executed, countersigned and registered and duly delivered to the purchasers thereof against payment of the agreed consideration therefor in an amount not less than the par value thereof or, if any such Shares are to be issued in uncertificated form, the Company’s books shall reflect the issuance of such Shares to the purchasers thereof against payment of the agreed consideration therefor in an amount not less than the par value thereof, all in accordance with the Sales Agreement.</w:t>
      </w:r>
    </w:p>
    <w:p>
      <w:pPr>
        <w:spacing w:after="0" w:line="19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the purposes of this opinion letter, we have assumed that, at the time of the issuance, sale and delivery of Shares:</w:t>
      </w:r>
    </w:p>
    <w:p>
      <w:pPr>
        <w:spacing w:after="0" w:line="131" w:lineRule="exact"/>
        <w:rPr>
          <w:sz w:val="20"/>
          <w:szCs w:val="20"/>
          <w:color w:val="auto"/>
        </w:rPr>
      </w:pPr>
    </w:p>
    <w:p>
      <w:pPr>
        <w:ind w:left="960" w:right="280" w:hanging="532"/>
        <w:spacing w:after="0" w:line="277" w:lineRule="auto"/>
        <w:tabs>
          <w:tab w:leader="none" w:pos="9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authorization thereof by the Company will not have been modified or rescinded, and there will not have occurred any change in law affecting the validity thereof;</w:t>
      </w:r>
    </w:p>
    <w:p>
      <w:pPr>
        <w:spacing w:after="0" w:line="75" w:lineRule="exact"/>
        <w:rPr>
          <w:rFonts w:ascii="Arial" w:cs="Arial" w:eastAsia="Arial" w:hAnsi="Arial"/>
          <w:sz w:val="18"/>
          <w:szCs w:val="18"/>
          <w:color w:val="auto"/>
        </w:rPr>
      </w:pPr>
    </w:p>
    <w:p>
      <w:pPr>
        <w:ind w:left="960" w:right="280" w:hanging="532"/>
        <w:spacing w:after="0" w:line="277" w:lineRule="auto"/>
        <w:tabs>
          <w:tab w:leader="none" w:pos="9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Certificate of Incorporation and Bylaws, as currently in effect, will not have been modified or amended and will be in full force and effect; and</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Company will have sufficient authorized and unissued shares of Common Stock from which to issue as the Shares.</w:t>
      </w:r>
    </w:p>
    <w:p>
      <w:pPr>
        <w:spacing w:after="0" w:line="225" w:lineRule="exact"/>
        <w:rPr>
          <w:sz w:val="20"/>
          <w:szCs w:val="20"/>
          <w:color w:val="auto"/>
        </w:rPr>
      </w:pPr>
    </w:p>
    <w:p>
      <w:pPr>
        <w:ind w:right="140" w:firstLine="440"/>
        <w:spacing w:after="0" w:line="342" w:lineRule="auto"/>
        <w:rPr>
          <w:sz w:val="20"/>
          <w:szCs w:val="20"/>
          <w:color w:val="auto"/>
        </w:rPr>
      </w:pPr>
      <w:r>
        <w:rPr>
          <w:rFonts w:ascii="Arial" w:cs="Arial" w:eastAsia="Arial" w:hAnsi="Arial"/>
          <w:sz w:val="16"/>
          <w:szCs w:val="16"/>
          <w:color w:val="auto"/>
        </w:rPr>
        <w:t>This opinion letter is limited to the General Corporation Law of the State of Delaware. We express no opinion as to the laws, rules or regulations of any other jurisdiction, including, without limitation, the federal laws of the United States of America or any state securities or blue sky laws.</w:t>
      </w:r>
    </w:p>
    <w:p>
      <w:pPr>
        <w:spacing w:after="0" w:line="124" w:lineRule="exact"/>
        <w:rPr>
          <w:sz w:val="20"/>
          <w:szCs w:val="20"/>
          <w:color w:val="auto"/>
        </w:rPr>
      </w:pPr>
    </w:p>
    <w:p>
      <w:pPr>
        <w:jc w:val="both"/>
        <w:ind w:firstLine="440"/>
        <w:spacing w:after="0" w:line="259" w:lineRule="auto"/>
        <w:rPr>
          <w:sz w:val="20"/>
          <w:szCs w:val="20"/>
          <w:color w:val="auto"/>
        </w:rPr>
      </w:pPr>
      <w:r>
        <w:rPr>
          <w:rFonts w:ascii="Arial" w:cs="Arial" w:eastAsia="Arial" w:hAnsi="Arial"/>
          <w:sz w:val="18"/>
          <w:szCs w:val="18"/>
          <w:color w:val="auto"/>
        </w:rPr>
        <w:t>We hereby consent to the filing of this opinion letter as an Exhibit to the Company’s Current Report on Form 8-K to be filed with the Commission on or after the date hereof, which Current Report on Form 8-K will be incorporated by reference into the Registration Statement, and to all references to our Firm under the caption “Legal Matters” in the Prospectus Supplement. In giving such consent, we do not thereby admit that we are in the category of persons whose consent is required under Section 7 of the Securities Act.</w:t>
      </w:r>
    </w:p>
    <w:p>
      <w:pPr>
        <w:spacing w:after="0" w:line="33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Sidley Austin LLP</w:t>
      </w:r>
    </w:p>
    <w:sectPr>
      <w:pgSz w:w="11900" w:h="16838" w:orient="portrait"/>
      <w:cols w:equalWidth="0" w:num="1">
        <w:col w:w="11000"/>
      </w:cols>
      <w:pgMar w:left="440" w:top="773"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1)"/>
      <w:numFmt w:val="lowerLetter"/>
      <w:start w:val="1"/>
    </w:lvl>
  </w:abstractNum>
  <w:abstractNum w:abstractNumId="2">
    <w:nsid w:val="836C40E"/>
    <w:multiLevelType w:val="hybridMultilevel"/>
    <w:lvl w:ilvl="0">
      <w:lvlJc w:val="left"/>
      <w:lvlText w:val="(%1)"/>
      <w:numFmt w:val="decimal"/>
      <w:start w:val="3"/>
    </w:lvl>
    <w:lvl w:ilvl="1">
      <w:lvlJc w:val="left"/>
      <w:lvlText w:val="(%2)"/>
      <w:numFmt w:val="lowerLetter"/>
      <w:start w:val="1"/>
    </w:lvl>
  </w:abstractNum>
  <w:abstractNum w:abstractNumId="3">
    <w:nsid w:val="2901D82"/>
    <w:multiLevelType w:val="hybridMultilevel"/>
    <w:lvl w:ilvl="0">
      <w:lvlJc w:val="left"/>
      <w:lvlText w:val="(%1)"/>
      <w:numFmt w:val="lowerLetter"/>
      <w:start w:val="2"/>
    </w:lvl>
  </w:abstractNum>
  <w:abstractNum w:abstractNumId="4">
    <w:nsid w:val="3A95F874"/>
    <w:multiLevelType w:val="hybridMultilevel"/>
    <w:lvl w:ilvl="0">
      <w:lvlJc w:val="left"/>
      <w:lvlText w:val="(%1)"/>
      <w:numFmt w:val="lowerLetter"/>
      <w:start w:val="3"/>
    </w:lvl>
  </w:abstractNum>
  <w:abstractNum w:abstractNumId="5">
    <w:nsid w:val="8138641"/>
    <w:multiLevelType w:val="hybridMultilevel"/>
    <w:lvl w:ilvl="0">
      <w:lvlJc w:val="left"/>
      <w:lvlText w:val="(%1)"/>
      <w:numFmt w:val="lowerLetter"/>
      <w:start w:val="7"/>
    </w:lvl>
  </w:abstractNum>
  <w:abstractNum w:abstractNumId="6">
    <w:nsid w:val="1E7FF521"/>
    <w:multiLevelType w:val="hybridMultilevel"/>
    <w:lvl w:ilvl="0">
      <w:lvlJc w:val="left"/>
      <w:lvlText w:val="(%1)"/>
      <w:numFmt w:val="lowerLetter"/>
      <w:start w:val="35"/>
    </w:lvl>
    <w:lvl w:ilvl="1">
      <w:lvlJc w:val="left"/>
      <w:lvlText w:val="(%2)"/>
      <w:numFmt w:val="lowerLetter"/>
      <w:start w:val="13"/>
    </w:lvl>
  </w:abstractNum>
  <w:abstractNum w:abstractNumId="7">
    <w:nsid w:val="7C3DBD3D"/>
    <w:multiLevelType w:val="hybridMultilevel"/>
    <w:lvl w:ilvl="0">
      <w:lvlJc w:val="left"/>
      <w:lvlText w:val="(%1)"/>
      <w:numFmt w:val="lowerLetter"/>
      <w:start w:val="15"/>
    </w:lvl>
  </w:abstractNum>
  <w:abstractNum w:abstractNumId="8">
    <w:nsid w:val="737B8DDC"/>
    <w:multiLevelType w:val="hybridMultilevel"/>
    <w:lvl w:ilvl="0">
      <w:lvlJc w:val="left"/>
      <w:lvlText w:val="(%1)"/>
      <w:numFmt w:val="lowerLetter"/>
      <w:start w:val="35"/>
    </w:lvl>
    <w:lvl w:ilvl="1">
      <w:lvlJc w:val="left"/>
      <w:lvlText w:val="(%2)"/>
      <w:numFmt w:val="lowerLetter"/>
      <w:start w:val="18"/>
    </w:lvl>
  </w:abstractNum>
  <w:abstractNum w:abstractNumId="9">
    <w:nsid w:val="6CEAF087"/>
    <w:multiLevelType w:val="hybridMultilevel"/>
    <w:lvl w:ilvl="0">
      <w:lvlJc w:val="left"/>
      <w:lvlText w:val="(%1)"/>
      <w:numFmt w:val="lowerLetter"/>
      <w:start w:val="21"/>
    </w:lvl>
  </w:abstractNum>
  <w:abstractNum w:abstractNumId="10">
    <w:nsid w:val="22221A70"/>
    <w:multiLevelType w:val="hybridMultilevel"/>
    <w:lvl w:ilvl="0">
      <w:lvlJc w:val="left"/>
      <w:lvlText w:val="(%1)"/>
      <w:numFmt w:val="lowerLetter"/>
      <w:start w:val="23"/>
    </w:lvl>
  </w:abstractNum>
  <w:abstractNum w:abstractNumId="11">
    <w:nsid w:val="4516DDE9"/>
    <w:multiLevelType w:val="hybridMultilevel"/>
    <w:lvl w:ilvl="0">
      <w:lvlJc w:val="left"/>
      <w:lvlText w:val="(%1)"/>
      <w:numFmt w:val="lowerLetter"/>
      <w:start w:val="24"/>
    </w:lvl>
  </w:abstractNum>
  <w:abstractNum w:abstractNumId="12">
    <w:nsid w:val="3006C83E"/>
    <w:multiLevelType w:val="hybridMultilevel"/>
    <w:lvl w:ilvl="0">
      <w:lvlJc w:val="left"/>
      <w:lvlText w:val="(%1)"/>
      <w:numFmt w:val="lowerLetter"/>
      <w:start w:val="27"/>
    </w:lvl>
  </w:abstractNum>
  <w:abstractNum w:abstractNumId="13">
    <w:nsid w:val="614FD4A1"/>
    <w:multiLevelType w:val="hybridMultilevel"/>
    <w:lvl w:ilvl="0">
      <w:lvlJc w:val="left"/>
      <w:lvlText w:val="(%1)"/>
      <w:numFmt w:val="lowerLetter"/>
      <w:start w:val="28"/>
    </w:lvl>
  </w:abstractNum>
  <w:abstractNum w:abstractNumId="14">
    <w:nsid w:val="419AC241"/>
    <w:multiLevelType w:val="hybridMultilevel"/>
    <w:lvl w:ilvl="0">
      <w:lvlJc w:val="left"/>
      <w:lvlText w:val="%1"/>
      <w:numFmt w:val="lowerLetter"/>
      <w:start w:val="1"/>
    </w:lvl>
    <w:lvl w:ilvl="1">
      <w:lvlJc w:val="left"/>
      <w:lvlText w:val="(%2)"/>
      <w:numFmt w:val="lowerLetter"/>
      <w:start w:val="33"/>
    </w:lvl>
  </w:abstractNum>
  <w:abstractNum w:abstractNumId="15">
    <w:nsid w:val="5577F8E1"/>
    <w:multiLevelType w:val="hybridMultilevel"/>
    <w:lvl w:ilvl="0">
      <w:lvlJc w:val="left"/>
      <w:lvlText w:val="(%1)"/>
      <w:numFmt w:val="lowerLetter"/>
      <w:start w:val="9"/>
    </w:lvl>
    <w:lvl w:ilvl="1">
      <w:lvlJc w:val="left"/>
      <w:lvlText w:val="(%2)"/>
      <w:numFmt w:val="lowerLetter"/>
      <w:start w:val="34"/>
    </w:lvl>
  </w:abstractNum>
  <w:abstractNum w:abstractNumId="16">
    <w:nsid w:val="440BADFC"/>
    <w:multiLevelType w:val="hybridMultilevel"/>
    <w:lvl w:ilvl="0">
      <w:lvlJc w:val="left"/>
      <w:lvlText w:val="%1"/>
      <w:numFmt w:val="lowerLetter"/>
      <w:start w:val="1"/>
    </w:lvl>
    <w:lvl w:ilvl="1">
      <w:lvlJc w:val="left"/>
      <w:lvlText w:val="(%2)"/>
      <w:numFmt w:val="lowerLetter"/>
      <w:start w:val="38"/>
    </w:lvl>
  </w:abstractNum>
  <w:abstractNum w:abstractNumId="17">
    <w:nsid w:val="5072367"/>
    <w:multiLevelType w:val="hybridMultilevel"/>
    <w:lvl w:ilvl="0">
      <w:lvlJc w:val="left"/>
      <w:lvlText w:val="(%1)"/>
      <w:numFmt w:val="lowerLetter"/>
      <w:start w:val="61"/>
    </w:lvl>
    <w:lvl w:ilvl="1">
      <w:lvlJc w:val="left"/>
      <w:lvlText w:val="(%2)"/>
      <w:numFmt w:val="lowerLetter"/>
      <w:start w:val="39"/>
    </w:lvl>
  </w:abstractNum>
  <w:abstractNum w:abstractNumId="18">
    <w:nsid w:val="3804823E"/>
    <w:multiLevelType w:val="hybridMultilevel"/>
    <w:lvl w:ilvl="0">
      <w:lvlJc w:val="left"/>
      <w:lvlText w:val="(%1)"/>
      <w:numFmt w:val="lowerLetter"/>
      <w:start w:val="41"/>
    </w:lvl>
  </w:abstractNum>
  <w:abstractNum w:abstractNumId="19">
    <w:nsid w:val="77465F01"/>
    <w:multiLevelType w:val="hybridMultilevel"/>
    <w:lvl w:ilvl="0">
      <w:lvlJc w:val="left"/>
      <w:lvlText w:val="(%1)"/>
      <w:numFmt w:val="lowerLetter"/>
      <w:start w:val="45"/>
    </w:lvl>
  </w:abstractNum>
  <w:abstractNum w:abstractNumId="20">
    <w:nsid w:val="7724C67E"/>
    <w:multiLevelType w:val="hybridMultilevel"/>
    <w:lvl w:ilvl="0">
      <w:lvlJc w:val="left"/>
      <w:lvlText w:val="(%1)"/>
      <w:numFmt w:val="lowerLetter"/>
      <w:start w:val="1"/>
    </w:lvl>
  </w:abstractNum>
  <w:abstractNum w:abstractNumId="21">
    <w:nsid w:val="5C482A97"/>
    <w:multiLevelType w:val="hybridMultilevel"/>
    <w:lvl w:ilvl="0">
      <w:lvlJc w:val="left"/>
      <w:lvlText w:val="(%1)"/>
      <w:numFmt w:val="lowerLetter"/>
      <w:start w:val="2"/>
    </w:lvl>
  </w:abstractNum>
  <w:abstractNum w:abstractNumId="22">
    <w:nsid w:val="2463B9EA"/>
    <w:multiLevelType w:val="hybridMultilevel"/>
    <w:lvl w:ilvl="0">
      <w:lvlJc w:val="left"/>
      <w:lvlText w:val="%1"/>
      <w:numFmt w:val="upperLetter"/>
      <w:start w:val="1"/>
    </w:lvl>
    <w:lvl w:ilvl="1">
      <w:lvlJc w:val="left"/>
      <w:lvlText w:val="(%2)"/>
      <w:numFmt w:val="lowerRoman"/>
      <w:start w:val="1"/>
    </w:lvl>
  </w:abstractNum>
  <w:abstractNum w:abstractNumId="23">
    <w:nsid w:val="5E884ADC"/>
    <w:multiLevelType w:val="hybridMultilevel"/>
    <w:lvl w:ilvl="0">
      <w:lvlJc w:val="left"/>
      <w:lvlText w:val="(%1)"/>
      <w:numFmt w:val="upperLetter"/>
      <w:start w:val="9"/>
    </w:lvl>
    <w:lvl w:ilvl="1">
      <w:lvlJc w:val="left"/>
      <w:lvlText w:val="(%2)"/>
      <w:numFmt w:val="lowerRoman"/>
      <w:start w:val="2"/>
    </w:lvl>
  </w:abstractNum>
  <w:abstractNum w:abstractNumId="24">
    <w:nsid w:val="51EAD36B"/>
    <w:multiLevelType w:val="hybridMultilevel"/>
    <w:lvl w:ilvl="0">
      <w:lvlJc w:val="left"/>
      <w:lvlText w:val="(%1)"/>
      <w:numFmt w:val="upperLetter"/>
      <w:start w:val="2"/>
    </w:lvl>
    <w:lvl w:ilvl="1">
      <w:lvlJc w:val="left"/>
      <w:lvlText w:val="(%2)"/>
      <w:numFmt w:val="lowerRoman"/>
      <w:start w:val="4"/>
    </w:lvl>
  </w:abstractNum>
  <w:abstractNum w:abstractNumId="25">
    <w:nsid w:val="2D517796"/>
    <w:multiLevelType w:val="hybridMultilevel"/>
    <w:lvl w:ilvl="0">
      <w:lvlJc w:val="left"/>
      <w:lvlText w:val="(%1)"/>
      <w:numFmt w:val="lowerRoman"/>
      <w:start w:val="6"/>
    </w:lvl>
  </w:abstractNum>
  <w:abstractNum w:abstractNumId="26">
    <w:nsid w:val="580BD78F"/>
    <w:multiLevelType w:val="hybridMultilevel"/>
    <w:lvl w:ilvl="0">
      <w:lvlJc w:val="left"/>
      <w:lvlText w:val="(%1)"/>
      <w:numFmt w:val="lowerLetter"/>
      <w:start w:val="3"/>
    </w:lvl>
  </w:abstractNum>
  <w:abstractNum w:abstractNumId="27">
    <w:nsid w:val="153EA438"/>
    <w:multiLevelType w:val="hybridMultilevel"/>
    <w:lvl w:ilvl="0">
      <w:lvlJc w:val="left"/>
      <w:lvlText w:val="(%1)"/>
      <w:numFmt w:val="lowerLetter"/>
      <w:start w:val="1"/>
    </w:lvl>
  </w:abstractNum>
  <w:abstractNum w:abstractNumId="28">
    <w:nsid w:val="3855585C"/>
    <w:multiLevelType w:val="hybridMultilevel"/>
    <w:lvl w:ilvl="0">
      <w:lvlJc w:val="left"/>
      <w:lvlText w:val="(%1)"/>
      <w:numFmt w:val="lowerLetter"/>
      <w:start w:val="2"/>
    </w:lvl>
  </w:abstractNum>
  <w:abstractNum w:abstractNumId="29">
    <w:nsid w:val="70A64E2A"/>
    <w:multiLevelType w:val="hybridMultilevel"/>
    <w:lvl w:ilvl="0">
      <w:lvlJc w:val="left"/>
      <w:lvlText w:val="(%1)"/>
      <w:numFmt w:val="lowerLetter"/>
      <w:start w:val="6"/>
    </w:lvl>
  </w:abstractNum>
  <w:abstractNum w:abstractNumId="30">
    <w:nsid w:val="6A2342EC"/>
    <w:multiLevelType w:val="hybridMultilevel"/>
    <w:lvl w:ilvl="0">
      <w:lvlJc w:val="left"/>
      <w:lvlText w:val="(%1)"/>
      <w:numFmt w:val="lowerLetter"/>
      <w:start w:val="9"/>
    </w:lvl>
  </w:abstractNum>
  <w:abstractNum w:abstractNumId="31">
    <w:nsid w:val="2A487CB0"/>
    <w:multiLevelType w:val="hybridMultilevel"/>
    <w:lvl w:ilvl="0">
      <w:lvlJc w:val="left"/>
      <w:lvlText w:val="(%1)"/>
      <w:numFmt w:val="lowerLetter"/>
      <w:start w:val="14"/>
    </w:lvl>
    <w:lvl w:ilvl="1">
      <w:lvlJc w:val="left"/>
      <w:lvlText w:val="(%2)"/>
      <w:numFmt w:val="upperLetter"/>
      <w:start w:val="1"/>
    </w:lvl>
  </w:abstractNum>
  <w:abstractNum w:abstractNumId="32">
    <w:nsid w:val="1D4ED43B"/>
    <w:multiLevelType w:val="hybridMultilevel"/>
    <w:lvl w:ilvl="0">
      <w:lvlJc w:val="left"/>
      <w:lvlText w:val="(%1)"/>
      <w:numFmt w:val="upperLetter"/>
      <w:start w:val="3"/>
    </w:lvl>
  </w:abstractNum>
  <w:abstractNum w:abstractNumId="33">
    <w:nsid w:val="725A06FB"/>
    <w:multiLevelType w:val="hybridMultilevel"/>
    <w:lvl w:ilvl="0">
      <w:lvlJc w:val="left"/>
      <w:lvlText w:val="(%1)"/>
      <w:numFmt w:val="lowerLetter"/>
      <w:start w:val="16"/>
    </w:lvl>
  </w:abstractNum>
  <w:abstractNum w:abstractNumId="34">
    <w:nsid w:val="2CD89A32"/>
    <w:multiLevelType w:val="hybridMultilevel"/>
    <w:lvl w:ilvl="0">
      <w:lvlJc w:val="left"/>
      <w:lvlText w:val="(%1)"/>
      <w:numFmt w:val="lowerLetter"/>
      <w:start w:val="18"/>
    </w:lvl>
  </w:abstractNum>
  <w:abstractNum w:abstractNumId="35">
    <w:nsid w:val="57E4CCAF"/>
    <w:multiLevelType w:val="hybridMultilevel"/>
    <w:lvl w:ilvl="0">
      <w:lvlJc w:val="left"/>
      <w:lvlText w:val="%1"/>
      <w:numFmt w:val="lowerRoman"/>
      <w:start w:val="1"/>
    </w:lvl>
    <w:lvl w:ilvl="1">
      <w:lvlJc w:val="left"/>
      <w:lvlText w:val="(%2)"/>
      <w:numFmt w:val="lowerLetter"/>
      <w:start w:val="1"/>
    </w:lvl>
  </w:abstractNum>
  <w:abstractNum w:abstractNumId="36">
    <w:nsid w:val="7A6D8D3C"/>
    <w:multiLevelType w:val="hybridMultilevel"/>
    <w:lvl w:ilvl="0">
      <w:lvlJc w:val="left"/>
      <w:lvlText w:val="%1"/>
      <w:numFmt w:val="lowerRoman"/>
      <w:start w:val="1"/>
    </w:lvl>
    <w:lvl w:ilvl="1">
      <w:lvlJc w:val="left"/>
      <w:lvlText w:val="(%2)"/>
      <w:numFmt w:val="lowerLetter"/>
      <w:start w:val="9"/>
    </w:lvl>
  </w:abstractNum>
  <w:abstractNum w:abstractNumId="37">
    <w:nsid w:val="4B588F54"/>
    <w:multiLevelType w:val="hybridMultilevel"/>
    <w:lvl w:ilvl="0">
      <w:lvlJc w:val="left"/>
      <w:lvlText w:val="%1"/>
      <w:numFmt w:val="lowerRoman"/>
      <w:start w:val="1"/>
    </w:lvl>
    <w:lvl w:ilvl="1">
      <w:lvlJc w:val="left"/>
      <w:lvlText w:val="(%2)"/>
      <w:numFmt w:val="lowerLetter"/>
      <w:start w:val="35"/>
    </w:lvl>
  </w:abstractNum>
  <w:abstractNum w:abstractNumId="38">
    <w:nsid w:val="542289EC"/>
    <w:multiLevelType w:val="hybridMultilevel"/>
    <w:lvl w:ilvl="0">
      <w:lvlJc w:val="left"/>
      <w:lvlText w:val="%1"/>
      <w:numFmt w:val="lowerRoman"/>
      <w:start w:val="1"/>
    </w:lvl>
    <w:lvl w:ilvl="1">
      <w:lvlJc w:val="left"/>
      <w:lvlText w:val="(%2)"/>
      <w:numFmt w:val="lowerLetter"/>
      <w:start w:val="61"/>
    </w:lvl>
  </w:abstractNum>
  <w:abstractNum w:abstractNumId="39">
    <w:nsid w:val="6DE91B18"/>
    <w:multiLevelType w:val="hybridMultilevel"/>
    <w:lvl w:ilvl="0">
      <w:lvlJc w:val="left"/>
      <w:lvlText w:val="(%1)"/>
      <w:numFmt w:val="lowerRoman"/>
      <w:start w:val="4"/>
    </w:lvl>
  </w:abstractNum>
  <w:abstractNum w:abstractNumId="40">
    <w:nsid w:val="38437FDB"/>
    <w:multiLevelType w:val="hybridMultilevel"/>
    <w:lvl w:ilvl="0">
      <w:lvlJc w:val="left"/>
      <w:lvlText w:val="(%1)"/>
      <w:numFmt w:val="lowerLetter"/>
      <w:start w:val="2"/>
    </w:lvl>
  </w:abstractNum>
  <w:abstractNum w:abstractNumId="41">
    <w:nsid w:val="7644A45C"/>
    <w:multiLevelType w:val="hybridMultilevel"/>
    <w:lvl w:ilvl="0">
      <w:lvlJc w:val="left"/>
      <w:lvlText w:val="%1"/>
      <w:numFmt w:val="lowerLetter"/>
      <w:start w:val="1"/>
    </w:lvl>
    <w:lvl w:ilvl="1">
      <w:lvlJc w:val="left"/>
      <w:lvlText w:val="(%2)"/>
      <w:numFmt w:val="lowerLetter"/>
      <w:start w:val="1"/>
    </w:lvl>
  </w:abstractNum>
  <w:abstractNum w:abstractNumId="42">
    <w:nsid w:val="32FFF902"/>
    <w:multiLevelType w:val="hybridMultilevel"/>
    <w:lvl w:ilvl="0">
      <w:lvlJc w:val="left"/>
      <w:lvlText w:val="(%1)"/>
      <w:numFmt w:val="lowerLetter"/>
      <w:start w:val="35"/>
    </w:lvl>
    <w:lvl w:ilvl="1">
      <w:lvlJc w:val="left"/>
      <w:lvlText w:val="(%2)"/>
      <w:numFmt w:val="lowerLetter"/>
      <w:start w:val="2"/>
    </w:lvl>
  </w:abstractNum>
  <w:abstractNum w:abstractNumId="43">
    <w:nsid w:val="684A481A"/>
    <w:multiLevelType w:val="hybridMultilevel"/>
    <w:lvl w:ilvl="0">
      <w:lvlJc w:val="left"/>
      <w:lvlText w:val="(%1)"/>
      <w:numFmt w:val="lowerLetter"/>
      <w:start w:val="3"/>
    </w:lvl>
  </w:abstractNum>
  <w:abstractNum w:abstractNumId="44">
    <w:nsid w:val="579478FE"/>
    <w:multiLevelType w:val="hybridMultilevel"/>
    <w:lvl w:ilvl="0">
      <w:lvlJc w:val="left"/>
      <w:lvlText w:val="%1"/>
      <w:numFmt w:val="lowerLetter"/>
      <w:start w:val="1"/>
    </w:lvl>
    <w:lvl w:ilvl="1">
      <w:lvlJc w:val="left"/>
      <w:lvlText w:val="(%2)"/>
      <w:numFmt w:val="lowerLetter"/>
      <w:start w:val="4"/>
    </w:lvl>
  </w:abstractNum>
  <w:abstractNum w:abstractNumId="45">
    <w:nsid w:val="749ABB43"/>
    <w:multiLevelType w:val="hybridMultilevel"/>
    <w:lvl w:ilvl="0">
      <w:lvlJc w:val="left"/>
      <w:lvlText w:val="(%1)"/>
      <w:numFmt w:val="lowerLetter"/>
      <w:start w:val="9"/>
    </w:lvl>
    <w:lvl w:ilvl="1">
      <w:lvlJc w:val="left"/>
      <w:lvlText w:val="(%2)"/>
      <w:numFmt w:val="lowerLetter"/>
      <w:start w:val="4"/>
    </w:lvl>
  </w:abstractNum>
  <w:abstractNum w:abstractNumId="46">
    <w:nsid w:val="3DC240FB"/>
    <w:multiLevelType w:val="hybridMultilevel"/>
    <w:lvl w:ilvl="0">
      <w:lvlJc w:val="left"/>
      <w:lvlText w:val="(%1)"/>
      <w:numFmt w:val="lowerLetter"/>
      <w:start w:val="1"/>
    </w:lvl>
    <w:lvl w:ilvl="1">
      <w:lvlJc w:val="left"/>
      <w:lvlText w:val="%2"/>
      <w:numFmt w:val="lowerLetter"/>
      <w:start w:val="1"/>
    </w:lvl>
  </w:abstractNum>
  <w:abstractNum w:abstractNumId="47">
    <w:nsid w:val="1BA026FA"/>
    <w:multiLevelType w:val="hybridMultilevel"/>
    <w:lvl w:ilvl="0">
      <w:lvlJc w:val="left"/>
      <w:lvlText w:val="(%1)"/>
      <w:numFmt w:val="lowerLetter"/>
      <w:start w:val="9"/>
    </w:lvl>
    <w:lvl w:ilvl="1">
      <w:lvlJc w:val="left"/>
      <w:lvlText w:val="%2"/>
      <w:numFmt w:val="lowerLetter"/>
      <w:start w:val="1"/>
    </w:lvl>
  </w:abstractNum>
  <w:abstractNum w:abstractNumId="48">
    <w:nsid w:val="79A1DEAA"/>
    <w:multiLevelType w:val="hybridMultilevel"/>
    <w:lvl w:ilvl="0">
      <w:lvlJc w:val="left"/>
      <w:lvlText w:val="(%1)"/>
      <w:numFmt w:val="lowerRoman"/>
      <w:start w:val="2"/>
    </w:lvl>
  </w:abstractNum>
  <w:abstractNum w:abstractNumId="49">
    <w:nsid w:val="75C6C33A"/>
    <w:multiLevelType w:val="hybridMultilevel"/>
    <w:lvl w:ilvl="0">
      <w:lvlJc w:val="left"/>
      <w:lvlText w:val="%1"/>
      <w:numFmt w:val="lowerRoman"/>
      <w:start w:val="1"/>
    </w:lvl>
    <w:lvl w:ilvl="1">
      <w:lvlJc w:val="left"/>
      <w:lvlText w:val="(%2)"/>
      <w:numFmt w:val="lowerLetter"/>
      <w:start w:val="1"/>
    </w:lvl>
  </w:abstractNum>
  <w:abstractNum w:abstractNumId="50">
    <w:nsid w:val="12E685FB"/>
    <w:multiLevelType w:val="hybridMultilevel"/>
    <w:lvl w:ilvl="0">
      <w:lvlJc w:val="left"/>
      <w:lvlText w:val="(%1)"/>
      <w:numFmt w:val="lowerRoman"/>
      <w:start w:val="6"/>
    </w:lvl>
    <w:lvl w:ilvl="1">
      <w:lvlJc w:val="left"/>
      <w:lvlText w:val="%2"/>
      <w:numFmt w:val="lowerLetter"/>
      <w:start w:val="1"/>
    </w:lvl>
  </w:abstractNum>
  <w:abstractNum w:abstractNumId="51">
    <w:nsid w:val="70C6A529"/>
    <w:multiLevelType w:val="hybridMultilevel"/>
    <w:lvl w:ilvl="0">
      <w:lvlJc w:val="left"/>
      <w:lvlText w:val="(%1)"/>
      <w:numFmt w:val="lowerLetter"/>
      <w:start w:val="3"/>
    </w:lvl>
  </w:abstractNum>
  <w:abstractNum w:abstractNumId="52">
    <w:nsid w:val="520EEDD1"/>
    <w:multiLevelType w:val="hybridMultilevel"/>
    <w:lvl w:ilvl="0">
      <w:lvlJc w:val="left"/>
      <w:lvlText w:val="(%1)"/>
      <w:numFmt w:val="lowerLetter"/>
      <w:start w:val="5"/>
    </w:lvl>
  </w:abstractNum>
  <w:abstractNum w:abstractNumId="53">
    <w:nsid w:val="374A3FE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2021-07-23T16:22:08Z</dcterms:created>
  <dcterms:modified xsi:type="dcterms:W3CDTF">2021-07-23T16:22:08Z</dcterms:modified>
</cp:coreProperties>
</file>