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1004"/>
        <w:spacing w:after="0"/>
        <w:rPr>
          <w:sz w:val="20"/>
          <w:szCs w:val="20"/>
          <w:color w:val="auto"/>
        </w:rPr>
      </w:pPr>
      <w:r>
        <w:rPr>
          <w:rFonts w:ascii="Arial" w:cs="Arial" w:eastAsia="Arial" w:hAnsi="Arial"/>
          <w:sz w:val="28"/>
          <w:szCs w:val="28"/>
          <w:b w:val="1"/>
          <w:bCs w:val="1"/>
          <w:color w:val="auto"/>
        </w:rPr>
        <w:t>Securities and Exchange Commission</w:t>
      </w:r>
    </w:p>
    <w:p>
      <w:pPr>
        <w:spacing w:after="0" w:line="44" w:lineRule="exact"/>
        <w:rPr>
          <w:sz w:val="24"/>
          <w:szCs w:val="24"/>
          <w:color w:val="auto"/>
        </w:rPr>
      </w:pP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36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00" w:lineRule="exact"/>
        <w:rPr>
          <w:sz w:val="24"/>
          <w:szCs w:val="24"/>
          <w:color w:val="auto"/>
        </w:rPr>
      </w:pPr>
    </w:p>
    <w:p>
      <w:pPr>
        <w:jc w:val="center"/>
        <w:ind w:right="-1004"/>
        <w:spacing w:after="0"/>
        <w:rPr>
          <w:sz w:val="20"/>
          <w:szCs w:val="20"/>
          <w:color w:val="auto"/>
        </w:rPr>
      </w:pPr>
      <w:r>
        <w:rPr>
          <w:rFonts w:ascii="Arial" w:cs="Arial" w:eastAsia="Arial" w:hAnsi="Arial"/>
          <w:sz w:val="40"/>
          <w:szCs w:val="40"/>
          <w:b w:val="1"/>
          <w:bCs w:val="1"/>
          <w:color w:val="auto"/>
        </w:rPr>
        <w:t>Tempest Therapeutics, Inc.</w:t>
      </w:r>
    </w:p>
    <w:p>
      <w:pPr>
        <w:spacing w:after="0" w:line="35" w:lineRule="exact"/>
        <w:rPr>
          <w:sz w:val="24"/>
          <w:szCs w:val="24"/>
          <w:color w:val="auto"/>
        </w:rPr>
      </w:pPr>
    </w:p>
    <w:p>
      <w:pPr>
        <w:ind w:left="366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6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7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South San Francisco, CA 94080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 TO PROXY STATEMENT FOR THE ANNUAL MEETING OF STOCKHOLDERS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17,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This proxy statement supplement dated May 26, 2022 (this “</w:t>
      </w:r>
      <w:r>
        <w:rPr>
          <w:rFonts w:ascii="Arial" w:cs="Arial" w:eastAsia="Arial" w:hAnsi="Arial"/>
          <w:sz w:val="18"/>
          <w:szCs w:val="18"/>
          <w:b w:val="1"/>
          <w:bCs w:val="1"/>
          <w:i w:val="1"/>
          <w:iCs w:val="1"/>
          <w:color w:val="auto"/>
        </w:rPr>
        <w:t>Supplement</w:t>
      </w:r>
      <w:r>
        <w:rPr>
          <w:rFonts w:ascii="Arial" w:cs="Arial" w:eastAsia="Arial" w:hAnsi="Arial"/>
          <w:sz w:val="18"/>
          <w:szCs w:val="18"/>
          <w:color w:val="auto"/>
        </w:rPr>
        <w:t>”), supplements the definitive proxy statement on Schedule 14A of Tempest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dated May 9, 2022 (the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for the Annual Meeting of Stockholders of the Company to be held Friday, June 17, 2022 at 1:00 P.M. Pacific time.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Supplement updates the 2021 Summary Compensation Table under the “Executive Compensation” section of the Proxy Statement to correct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typographical errors with respect to a certain form of compensation of our Chief Executive Officer, Stephen Brady. Mr. Brady earned $1,065,754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option awards for the fiscal year ending December 31, 2021, rather than $49,325. The total compensation amount for Mr. Brady was adjusted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accordingly in the table. Additionally, this Supplement updates the Non-Employee Director Compensation Table under the “Director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of the Proxy Statement to correct typographical errors with respect to fees earned or paid in cash of our Director, Stella Xu. Dr. Xu earned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$27,125 in cash for the fiscal year ending December 31, 2021, rather than $17,742. The total compensation amount for Dr. Xu was adjusted accordingly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table.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Supplement should be read together with the Proxy Statement, which should be read in its entirety. Capitalized terms used but not otherwise defined in this supplement have the meanings ascribed to them in the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revisions set forth above, the Proxy Statement remains unchanged.</w:t>
      </w:r>
    </w:p>
    <w:p>
      <w:pPr>
        <w:sectPr>
          <w:pgSz w:w="11900" w:h="16838" w:orient="portrait"/>
          <w:cols w:equalWidth="0" w:num="1">
            <w:col w:w="11000"/>
          </w:cols>
          <w:pgMar w:left="440" w:top="1440" w:right="45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AND DIRECTOR COMPENSATION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The following table sets forth information for each of the last two completed fiscal years regarding compensation awarded to or earned by all individuals who served as the Company’s Chief Executive Officer and the Company’s two other most highly compensated executive officers (the “</w:t>
      </w:r>
      <w:r>
        <w:rPr>
          <w:rFonts w:ascii="Arial" w:cs="Arial" w:eastAsia="Arial" w:hAnsi="Arial"/>
          <w:sz w:val="18"/>
          <w:szCs w:val="18"/>
          <w:b w:val="1"/>
          <w:bCs w:val="1"/>
          <w:i w:val="1"/>
          <w:iCs w:val="1"/>
          <w:color w:val="auto"/>
        </w:rPr>
        <w:t>Named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Executive Officers</w:t>
      </w:r>
      <w:r>
        <w:rPr>
          <w:rFonts w:ascii="Arial" w:cs="Arial" w:eastAsia="Arial" w:hAnsi="Arial"/>
          <w:sz w:val="18"/>
          <w:szCs w:val="18"/>
          <w:color w:val="auto"/>
        </w:rPr>
        <w:t>”) during the fiscal years indicated.</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3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Bonus</w:t>
            </w:r>
          </w:p>
        </w:tc>
        <w:tc>
          <w:tcPr>
            <w:tcW w:w="102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Stephen Brady</w:t>
            </w:r>
          </w:p>
        </w:tc>
        <w:tc>
          <w:tcPr>
            <w:tcW w:w="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2021</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475,283</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ind w:left="21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1,065,754</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2"/>
              </w:rPr>
              <w:t>190,113</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1,731,150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Thomas Dubensky</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475,283</w:t>
            </w:r>
          </w:p>
        </w:tc>
        <w:tc>
          <w:tcPr>
            <w:tcW w:w="10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562,094</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190,113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272,677(5)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1,500,167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i w:val="1"/>
                <w:iCs w:val="1"/>
                <w:color w:val="auto"/>
              </w:rPr>
              <w:t>President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Samuel Whiting</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400,000</w:t>
            </w:r>
          </w:p>
        </w:tc>
        <w:tc>
          <w:tcPr>
            <w:tcW w:w="10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296,737</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140,000</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836,737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i w:val="1"/>
                <w:iCs w:val="1"/>
                <w:color w:val="auto"/>
              </w:rPr>
              <w:t>Chief Medical Officer</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Julia C. Owens(3)</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120,415(6)</w:t>
            </w:r>
          </w:p>
        </w:tc>
        <w:tc>
          <w:tcPr>
            <w:tcW w:w="10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35,203</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1,184,175(7)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1,339,793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i w:val="1"/>
                <w:iCs w:val="1"/>
                <w:color w:val="auto"/>
              </w:rPr>
              <w:t>Former Chief Executive Officer</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526,300</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1,483,928</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263,150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8,550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2,281,928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Louis Arcudi III(4)</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211,694</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880,000(8)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541,266</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1,632,960</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i w:val="1"/>
                <w:iCs w:val="1"/>
                <w:color w:val="auto"/>
              </w:rPr>
              <w:t>Former Chief Executive Officer</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378,400</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437,930</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151,360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8,550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976,240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right="80" w:hanging="424"/>
        <w:spacing w:after="0" w:line="268"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Amounts reflect the aggregate grant date fair value of the option awards granted to our named executive officers during the relevant fiscal years under our equity incentive plans, computed in accordance with Financial Accounting Standards Board Accounting Standards Codification Topic 718 (“</w:t>
      </w:r>
      <w:r>
        <w:rPr>
          <w:rFonts w:ascii="Arial" w:cs="Arial" w:eastAsia="Arial" w:hAnsi="Arial"/>
          <w:sz w:val="17"/>
          <w:szCs w:val="17"/>
          <w:b w:val="1"/>
          <w:bCs w:val="1"/>
          <w:i w:val="1"/>
          <w:iCs w:val="1"/>
          <w:color w:val="auto"/>
        </w:rPr>
        <w:t>ASC 718</w:t>
      </w:r>
      <w:r>
        <w:rPr>
          <w:rFonts w:ascii="Arial" w:cs="Arial" w:eastAsia="Arial" w:hAnsi="Arial"/>
          <w:sz w:val="17"/>
          <w:szCs w:val="17"/>
          <w:color w:val="auto"/>
        </w:rPr>
        <w:t>”). The assumptions used in calculating the grant date fair value of the restricted stock units are set forth in the notes to our audited consolidated financial statements included in our Annual Report on Form 10-K for the fiscal year ended December 31, 2021. These amounts do not reflect the actual economic value that may be realized by our named executive officers.</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amounts represent the cash bonuses paid to each named executive officer in 2022 for performance in fiscal year 2021.</w:t>
      </w:r>
    </w:p>
    <w:p>
      <w:pPr>
        <w:spacing w:after="0" w:line="9" w:lineRule="exact"/>
        <w:rPr>
          <w:rFonts w:ascii="Arial" w:cs="Arial" w:eastAsia="Arial" w:hAnsi="Arial"/>
          <w:sz w:val="18"/>
          <w:szCs w:val="18"/>
          <w:color w:val="auto"/>
        </w:rPr>
      </w:pPr>
    </w:p>
    <w:p>
      <w:pPr>
        <w:ind w:left="424" w:right="780" w:hanging="424"/>
        <w:spacing w:after="0" w:line="25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Dr. Owens resigned as the Chief Executive Officer and President of Millendo on January 31, 2021. Dr. Owens remained on the Board as Executive Chair until the completion of the Merger.</w:t>
      </w:r>
    </w:p>
    <w:p>
      <w:pPr>
        <w:ind w:left="424" w:right="220" w:hanging="424"/>
        <w:spacing w:after="0" w:line="25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Arcudi was appointed as the Chief Executive Officer and President of Millendo and as a member of the Board as of February 1, 2021. Upon completion of the Merger, Mr. Arcudi resigned from these positions.</w:t>
      </w:r>
    </w:p>
    <w:p>
      <w:pPr>
        <w:ind w:left="424" w:right="80" w:hanging="424"/>
        <w:spacing w:after="0" w:line="25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represents the value of a promissory note between us and Mr. Dubensky, which was forgiven in full in connection with and contingent on the completion of the Merger.</w:t>
      </w:r>
    </w:p>
    <w:p>
      <w:pPr>
        <w:ind w:left="424" w:right="460" w:hanging="424"/>
        <w:spacing w:after="0" w:line="25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reflect an aggregate of $43,858 received by Dr. Owens for her services as our Chief Executive Officer and an aggregate of $76,557 received pursuant to our non-employee director compensation policy.</w:t>
      </w: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represents the cash severance benefits paid to Dr. Owens in connection with her resignation from Millendo.</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represents transaction and retention bonuses paid to Mr. Arcudi in connection with the Merger.</w:t>
      </w:r>
    </w:p>
    <w:p>
      <w:pPr>
        <w:sectPr>
          <w:pgSz w:w="11900" w:h="16838" w:orient="portrait"/>
          <w:cols w:equalWidth="0" w:num="1">
            <w:col w:w="11024"/>
          </w:cols>
          <w:pgMar w:left="436" w:top="270"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Non-Employee Director Compensation Table</w:t>
      </w:r>
    </w:p>
    <w:p>
      <w:pPr>
        <w:spacing w:after="0" w:line="121"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following table sets forth information for the year ended December 31, 2021 regarding the compensation awarded to or earned by our non-employee directors. Mr. Brady and Dr. Dubensky are not included in the table below, as they were employees and received no additional compensation for their service as directors. As a named executive officer, the compensation received by Mr. Brady and Dr. Dubensky is shown above in “—Executive Compensation—Summary Compensation Table.”</w:t>
      </w:r>
    </w:p>
    <w:p>
      <w:pPr>
        <w:spacing w:after="0" w:line="19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5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Fees Earned or</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w:t>
            </w: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spacing w:after="0"/>
              <w:rPr>
                <w:sz w:val="12"/>
                <w:szCs w:val="12"/>
                <w:color w:val="auto"/>
              </w:rPr>
            </w:pPr>
          </w:p>
        </w:tc>
        <w:tc>
          <w:tcPr>
            <w:tcW w:w="13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312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)(1)(5)</w:t>
            </w:r>
          </w:p>
        </w:tc>
        <w:tc>
          <w:tcPr>
            <w:tcW w:w="42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Geoff Nichol</w:t>
            </w:r>
          </w:p>
        </w:tc>
        <w:tc>
          <w:tcPr>
            <w:tcW w:w="2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44,130</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Christine Pellizzari</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27,500</w:t>
            </w:r>
          </w:p>
        </w:tc>
        <w:tc>
          <w:tcPr>
            <w:tcW w:w="4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87"/>
              </w:rPr>
              <w:t>44,130</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Michael Raab</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44,175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89,722</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Ronit Simantov</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17,742</w:t>
            </w:r>
          </w:p>
        </w:tc>
        <w:tc>
          <w:tcPr>
            <w:tcW w:w="4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87"/>
              </w:rPr>
              <w:t>54,083</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Thomas Woiwode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29,967</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44,130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Stella Xu(2)</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27,125</w:t>
            </w:r>
          </w:p>
        </w:tc>
        <w:tc>
          <w:tcPr>
            <w:tcW w:w="4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87"/>
              </w:rPr>
              <w:t>44,130</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Carol G. Gallagher (3)(4)</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50,036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Howe, III(4)</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38,654</w:t>
            </w:r>
          </w:p>
        </w:tc>
        <w:tc>
          <w:tcPr>
            <w:tcW w:w="42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Carole L. Nuechterlein(4)</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James M. Hindman(4)</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40,495</w:t>
            </w:r>
          </w:p>
        </w:tc>
        <w:tc>
          <w:tcPr>
            <w:tcW w:w="42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Habib J. Dable(4)</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Mary Lynne Hedley(4)</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420" w:type="dxa"/>
            <w:vAlign w:val="bottom"/>
          </w:tcPr>
          <w:p>
            <w:pPr>
              <w:spacing w:after="0"/>
              <w:rPr>
                <w:sz w:val="20"/>
                <w:szCs w:val="20"/>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400" w:hanging="424"/>
        <w:spacing w:after="0" w:line="274"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accordance with SEC rules, this column reflects the aggregate grant date fair value of the option awards granted during 2021 computed in accordance with ASC 718. These amounts do not reflect the actual economic value that will be realized by the director.</w:t>
      </w: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Xu resigned from the Board effective January 5, 2022.</w:t>
      </w:r>
    </w:p>
    <w:p>
      <w:pPr>
        <w:spacing w:after="0" w:line="9" w:lineRule="exact"/>
        <w:rPr>
          <w:rFonts w:ascii="Arial" w:cs="Arial" w:eastAsia="Arial" w:hAnsi="Arial"/>
          <w:sz w:val="18"/>
          <w:szCs w:val="18"/>
          <w:color w:val="auto"/>
        </w:rPr>
      </w:pPr>
    </w:p>
    <w:p>
      <w:pPr>
        <w:ind w:left="424" w:right="52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compensation for Dr. Gallagher’s service on Millendo’s board of directors and compensation committee is paid to NEA Management Company, LLC.</w:t>
      </w: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Resigned from our Board in connection with the completion of the Merger.</w:t>
      </w:r>
    </w:p>
    <w:p>
      <w:pPr>
        <w:spacing w:after="0" w:line="9" w:lineRule="exact"/>
        <w:rPr>
          <w:rFonts w:ascii="Arial" w:cs="Arial" w:eastAsia="Arial" w:hAnsi="Arial"/>
          <w:sz w:val="18"/>
          <w:szCs w:val="18"/>
          <w:color w:val="auto"/>
        </w:rPr>
      </w:pPr>
    </w:p>
    <w:p>
      <w:pPr>
        <w:ind w:left="424" w:right="440" w:hanging="424"/>
        <w:spacing w:after="0" w:line="26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table provides information regarding the aggregate number of equity awards granted to our non-employee directors that were outstanding as of December 31, 2021:</w:t>
      </w:r>
    </w:p>
    <w:p>
      <w:pPr>
        <w:spacing w:after="0" w:line="191"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Option Awards</w:t>
            </w:r>
          </w:p>
        </w:tc>
        <w:tc>
          <w:tcPr>
            <w:tcW w:w="0" w:type="dxa"/>
            <w:vAlign w:val="bottom"/>
          </w:tcPr>
          <w:p>
            <w:pPr>
              <w:spacing w:after="0"/>
              <w:rPr>
                <w:sz w:val="1"/>
                <w:szCs w:val="1"/>
                <w:color w:val="auto"/>
              </w:rPr>
            </w:pPr>
          </w:p>
        </w:tc>
      </w:tr>
      <w:tr>
        <w:trPr>
          <w:trHeight w:val="148"/>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71"/>
        </w:trPr>
        <w:tc>
          <w:tcPr>
            <w:tcW w:w="6500" w:type="dxa"/>
            <w:vAlign w:val="bottom"/>
            <w:vMerge w:val="continue"/>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Year-End</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Geoff Nichol</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Christine Pellizzari</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Michael Raab</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37,909</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Ronit Simantov</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Thomas Woiwode</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Stella Xu</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Carol G. Gallagher (4)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John Howe, III(4)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Carole L. Nuechterlein(4)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James M. Hindman(4)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Habib J. Dable(4)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Mary Lynne Hedley(4)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44"/>
      </w:cols>
      <w:pgMar w:left="436"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2022-05-26T15:32:59Z</dcterms:created>
  <dcterms:modified xsi:type="dcterms:W3CDTF">2022-05-26T15:32:59Z</dcterms:modified>
</cp:coreProperties>
</file>