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30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(Amendment No.)</w:t>
      </w:r>
    </w:p>
    <w:p>
      <w:pPr>
        <w:spacing w:after="0" w:line="5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6"/>
          <w:szCs w:val="36"/>
          <w:b w:val="1"/>
          <w:bCs w:val="1"/>
          <w:color w:val="auto"/>
        </w:rPr>
        <w:t>Tempest Therapeutics, Inc.</w:t>
      </w:r>
    </w:p>
    <w:p>
      <w:pPr>
        <w:spacing w:after="0" w:line="5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08"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93345</wp:posOffset>
            </wp:positionV>
            <wp:extent cx="925830" cy="85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Brisbane, CA 94005</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18, 2026</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59" w:lineRule="exact"/>
        <w:rPr>
          <w:sz w:val="20"/>
          <w:szCs w:val="20"/>
          <w:color w:val="auto"/>
        </w:rPr>
      </w:pPr>
    </w:p>
    <w:p>
      <w:pPr>
        <w:ind w:left="300" w:right="419"/>
        <w:spacing w:after="0" w:line="262" w:lineRule="auto"/>
        <w:rPr>
          <w:sz w:val="20"/>
          <w:szCs w:val="20"/>
          <w:color w:val="auto"/>
        </w:rPr>
      </w:pPr>
      <w:r>
        <w:rPr>
          <w:rFonts w:ascii="Times New Roman" w:cs="Times New Roman" w:eastAsia="Times New Roman" w:hAnsi="Times New Roman"/>
          <w:sz w:val="18"/>
          <w:szCs w:val="18"/>
          <w:color w:val="auto"/>
        </w:rPr>
        <w:t xml:space="preserve">You are cordially invited to attend a Special Meeting of Stockholders (the “Special Meeting”) of </w:t>
      </w:r>
      <w:r>
        <w:rPr>
          <w:rFonts w:ascii="Times New Roman" w:cs="Times New Roman" w:eastAsia="Times New Roman" w:hAnsi="Times New Roman"/>
          <w:sz w:val="18"/>
          <w:szCs w:val="18"/>
          <w:b w:val="1"/>
          <w:bCs w:val="1"/>
          <w:color w:val="auto"/>
        </w:rPr>
        <w:t>TEMPEST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THERAPEUTICS, INC.</w:t>
      </w:r>
      <w:r>
        <w:rPr>
          <w:rFonts w:ascii="Times New Roman" w:cs="Times New Roman" w:eastAsia="Times New Roman" w:hAnsi="Times New Roman"/>
          <w:sz w:val="18"/>
          <w:szCs w:val="18"/>
          <w:color w:val="auto"/>
        </w:rPr>
        <w:t>, a Delaware corporation (the “Company”). The Special Meeting will be held on June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at 12:00 p.m., Eastern Time and will be a virtual stockholder meeting through which you can listen to the meeting, submit questions and vote online, for the following purpose:</w:t>
      </w:r>
    </w:p>
    <w:p>
      <w:pPr>
        <w:spacing w:after="0" w:line="18" w:lineRule="exact"/>
        <w:rPr>
          <w:sz w:val="20"/>
          <w:szCs w:val="20"/>
          <w:color w:val="auto"/>
        </w:rPr>
      </w:pPr>
    </w:p>
    <w:p>
      <w:pPr>
        <w:ind w:left="1000" w:right="579" w:hanging="348"/>
        <w:spacing w:after="0" w:line="25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pursuant to Nasdaq Rule 5635, the issuance of up to (i) 925,927 shares of the Company’s common stock, par value $0.001 per share (“common stock”) issuable upon the exercise of outstanding Series A Warrants, (ii) 925,927 shares of the Company’s common stock issuable upon the exercise of outstanding Series B Warrants which were issued in connection with our private placement offering pursuant to the terms of the securities purchase agreement dated March 20, 2026 by and among the Company and the investors thereto; and</w:t>
      </w:r>
    </w:p>
    <w:p>
      <w:pPr>
        <w:spacing w:after="0" w:line="25" w:lineRule="exact"/>
        <w:rPr>
          <w:rFonts w:ascii="Times New Roman" w:cs="Times New Roman" w:eastAsia="Times New Roman" w:hAnsi="Times New Roman"/>
          <w:sz w:val="18"/>
          <w:szCs w:val="18"/>
          <w:color w:val="auto"/>
        </w:rPr>
      </w:pPr>
    </w:p>
    <w:p>
      <w:pPr>
        <w:ind w:left="1000" w:right="69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pursuant to Nasdaq Rule 5635, the issuance of up to 2,344,828 shares of the Company’s common stock issuable upon the exercise of outstanding Common Warrants which were issued in connection with an Inducement Offer to Exercise Common Stock Purchase Warrants Issued in November 2025 pursuant to the terms of the letter agreement dated May 28, 2026 by and between the Company and the investor thereto.</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61" w:lineRule="exact"/>
        <w:rPr>
          <w:sz w:val="20"/>
          <w:szCs w:val="20"/>
          <w:color w:val="auto"/>
        </w:rPr>
      </w:pPr>
    </w:p>
    <w:p>
      <w:pPr>
        <w:ind w:left="300" w:right="559"/>
        <w:spacing w:after="0" w:line="267" w:lineRule="auto"/>
        <w:rPr>
          <w:sz w:val="20"/>
          <w:szCs w:val="20"/>
          <w:color w:val="auto"/>
        </w:rPr>
      </w:pPr>
      <w:r>
        <w:rPr>
          <w:rFonts w:ascii="Times New Roman" w:cs="Times New Roman" w:eastAsia="Times New Roman" w:hAnsi="Times New Roman"/>
          <w:sz w:val="18"/>
          <w:szCs w:val="18"/>
          <w:color w:val="auto"/>
        </w:rPr>
        <w:t xml:space="preserve">The Special Meeting can be accessed by visiting </w:t>
      </w:r>
      <w:r>
        <w:rPr>
          <w:rFonts w:ascii="Times New Roman" w:cs="Times New Roman" w:eastAsia="Times New Roman" w:hAnsi="Times New Roman"/>
          <w:sz w:val="18"/>
          <w:szCs w:val="18"/>
          <w:i w:val="1"/>
          <w:iCs w:val="1"/>
          <w:color w:val="auto"/>
        </w:rPr>
        <w:t>www.virtualshareholdermeeting.com/TPST2026SM</w:t>
      </w:r>
      <w:r>
        <w:rPr>
          <w:rFonts w:ascii="Times New Roman" w:cs="Times New Roman" w:eastAsia="Times New Roman" w:hAnsi="Times New Roman"/>
          <w:sz w:val="18"/>
          <w:szCs w:val="18"/>
          <w:color w:val="auto"/>
        </w:rPr>
        <w:t xml:space="preserve"> and entering the control number included in the proxy card in the enclosed proxy materials. You will not be able to attend the meeting in person.</w:t>
      </w:r>
    </w:p>
    <w:p>
      <w:pPr>
        <w:spacing w:after="0" w:line="13"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The record date for the Special Meeting is May 28, 2026. Only stockholders of record at the close of business on that date may vote at the Special Meeting or any adjournment thereof.</w:t>
      </w:r>
    </w:p>
    <w:p>
      <w:pPr>
        <w:spacing w:after="0" w:line="23" w:lineRule="exact"/>
        <w:rPr>
          <w:sz w:val="20"/>
          <w:szCs w:val="20"/>
          <w:color w:val="auto"/>
        </w:rPr>
      </w:pPr>
    </w:p>
    <w:p>
      <w:pPr>
        <w:jc w:val="center"/>
        <w:ind w:left="1780" w:right="2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Virtual Stockholders’ Meeting to be held on June 18, 2026 at 12:00 p.m., Eastern Time.</w:t>
      </w:r>
    </w:p>
    <w:p>
      <w:pPr>
        <w:spacing w:after="0" w:line="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 xml:space="preserve">The proxy statement is available at </w:t>
      </w:r>
      <w:r>
        <w:rPr>
          <w:rFonts w:ascii="Times New Roman" w:cs="Times New Roman" w:eastAsia="Times New Roman" w:hAnsi="Times New Roman"/>
          <w:sz w:val="18"/>
          <w:szCs w:val="18"/>
          <w:i w:val="1"/>
          <w:iCs w:val="1"/>
          <w:color w:val="auto"/>
        </w:rPr>
        <w:t>ir.tempesttx.com</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Justin Trojanowski</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Justin Trojanowski</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Brisbane, California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8, 2026</w:t>
      </w:r>
    </w:p>
    <w:p>
      <w:pPr>
        <w:spacing w:after="0" w:line="41"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virtual Special Meeting. You will not be able to attend the Special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Special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648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THESE PROXY MATERIALS AND VOTING</w:t>
            </w:r>
          </w:p>
        </w:tc>
        <w:tc>
          <w:tcPr>
            <w:tcW w:w="1640" w:type="dxa"/>
            <w:vAlign w:val="bottom"/>
            <w:gridSpan w:val="3"/>
            <w:shd w:val="clear" w:color="auto" w:fill="CCEEFF"/>
          </w:tcPr>
          <w:p>
            <w:pPr>
              <w:spacing w:after="0"/>
              <w:rPr>
                <w:sz w:val="17"/>
                <w:szCs w:val="17"/>
                <w:color w:val="auto"/>
              </w:rPr>
            </w:pPr>
          </w:p>
        </w:tc>
        <w:tc>
          <w:tcPr>
            <w:tcW w:w="24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1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9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PROPOSAL 1 APPROVAL OF THE ISSUANCE OF SHARES OF COMMON STOCK ISSUABLE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1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UPON EXERCISE OF THE PIPE WARRANTS</w:t>
            </w:r>
          </w:p>
        </w:tc>
        <w:tc>
          <w:tcPr>
            <w:tcW w:w="820" w:type="dxa"/>
            <w:vAlign w:val="bottom"/>
          </w:tcPr>
          <w:p>
            <w:pPr>
              <w:spacing w:after="0"/>
              <w:rPr>
                <w:sz w:val="17"/>
                <w:szCs w:val="17"/>
                <w:color w:val="auto"/>
              </w:rPr>
            </w:pPr>
          </w:p>
        </w:tc>
        <w:tc>
          <w:tcPr>
            <w:tcW w:w="2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19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2 APPROVAL OF THE ISSUANCE OF SHARES OF COMMON STOCK ISSUABLE</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12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UPON EXERCISE OF THE INDUCEMENT WARRANTS</w:t>
            </w:r>
          </w:p>
        </w:tc>
        <w:tc>
          <w:tcPr>
            <w:tcW w:w="8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4"/>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1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19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4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4720" w:type="dxa"/>
            <w:vAlign w:val="bottom"/>
            <w:gridSpan w:val="6"/>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1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OTHER MATTERS</w:t>
            </w:r>
          </w:p>
        </w:tc>
        <w:tc>
          <w:tcPr>
            <w:tcW w:w="1940" w:type="dxa"/>
            <w:vAlign w:val="bottom"/>
          </w:tcPr>
          <w:p>
            <w:pPr>
              <w:spacing w:after="0"/>
              <w:rPr>
                <w:sz w:val="16"/>
                <w:szCs w:val="16"/>
                <w:color w:val="auto"/>
              </w:rPr>
            </w:pPr>
          </w:p>
        </w:tc>
        <w:tc>
          <w:tcPr>
            <w:tcW w:w="4720" w:type="dxa"/>
            <w:vAlign w:val="bottom"/>
            <w:gridSpan w:val="6"/>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JUNE 18,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Tempest Therapeutics, Inc. (sometimes referred to as the “Company” or “Tempest”) is soliciting your proxy to vote at a Special Meeting of Stockholders to be held on June 18, 2026 (the “Special Meeting”), including at any adjournments or postponements of the meeting. You are invited to attend the Special Meeting to vote on the proposal described in this proxy statement. However, you do not need to attend the meeting to vote your shares. Instead, you may simply complete, sign and return the enclosed proxy card</w:t>
      </w:r>
      <w:r>
        <w:rPr>
          <w:rFonts w:ascii="Times New Roman" w:cs="Times New Roman" w:eastAsia="Times New Roman" w:hAnsi="Times New Roman"/>
          <w:sz w:val="18"/>
          <w:szCs w:val="18"/>
          <w:b w:val="1"/>
          <w:bCs w:val="1"/>
          <w:color w:val="auto"/>
        </w:rPr>
        <w:t>, or follow the instructions below to submit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over the telephone or through the internet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We intend to mail these proxy materials on or about June 8, 2026 to all stockholders of record entitled to vote at the Special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Special Meeting?</w:t>
      </w:r>
    </w:p>
    <w:p>
      <w:pPr>
        <w:spacing w:after="0" w:line="119" w:lineRule="exact"/>
        <w:rPr>
          <w:sz w:val="20"/>
          <w:szCs w:val="20"/>
          <w:color w:val="auto"/>
        </w:rPr>
      </w:pPr>
    </w:p>
    <w:p>
      <w:pPr>
        <w:ind w:left="300" w:right="359"/>
        <w:spacing w:after="0" w:line="267" w:lineRule="auto"/>
        <w:rPr>
          <w:sz w:val="20"/>
          <w:szCs w:val="20"/>
          <w:color w:val="auto"/>
        </w:rPr>
      </w:pPr>
      <w:r>
        <w:rPr>
          <w:rFonts w:ascii="Times New Roman" w:cs="Times New Roman" w:eastAsia="Times New Roman" w:hAnsi="Times New Roman"/>
          <w:sz w:val="18"/>
          <w:szCs w:val="18"/>
          <w:color w:val="auto"/>
        </w:rPr>
        <w:t xml:space="preserve">The Special Meeting will be held through a live webcast at </w:t>
      </w:r>
      <w:r>
        <w:rPr>
          <w:rFonts w:ascii="Times New Roman" w:cs="Times New Roman" w:eastAsia="Times New Roman" w:hAnsi="Times New Roman"/>
          <w:sz w:val="18"/>
          <w:szCs w:val="18"/>
          <w:i w:val="1"/>
          <w:iCs w:val="1"/>
          <w:color w:val="auto"/>
        </w:rPr>
        <w:t>www.virtualshareholdermeeting.com/TPST2026SM</w:t>
      </w:r>
      <w:r>
        <w:rPr>
          <w:rFonts w:ascii="Times New Roman" w:cs="Times New Roman" w:eastAsia="Times New Roman" w:hAnsi="Times New Roman"/>
          <w:sz w:val="18"/>
          <w:szCs w:val="18"/>
          <w:color w:val="auto"/>
        </w:rPr>
        <w:t>. You will not be able to attend the Special Meeting in person. Stockholders attending the virtual Special Meeting will be afforded the same rights and opportunities to participate as they would at an in-person meeting.</w:t>
      </w:r>
    </w:p>
    <w:p>
      <w:pPr>
        <w:spacing w:after="0" w:line="67"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 xml:space="preserve">You are entitled to attend the Special Meeting if you were a stockholder as of the close of business on May 28, 2026 (the “Record Date”), or hold a valid proxy for the meeting. To be admitted to the Special Meeting, you will need to visit </w:t>
      </w:r>
      <w:r>
        <w:rPr>
          <w:rFonts w:ascii="Times New Roman" w:cs="Times New Roman" w:eastAsia="Times New Roman" w:hAnsi="Times New Roman"/>
          <w:sz w:val="18"/>
          <w:szCs w:val="18"/>
          <w:i w:val="1"/>
          <w:iCs w:val="1"/>
          <w:color w:val="auto"/>
        </w:rPr>
        <w:t>www.virtualshareholdermeeting.com/TPST2026SM</w:t>
      </w:r>
      <w:r>
        <w:rPr>
          <w:rFonts w:ascii="Times New Roman" w:cs="Times New Roman" w:eastAsia="Times New Roman" w:hAnsi="Times New Roman"/>
          <w:sz w:val="18"/>
          <w:szCs w:val="18"/>
          <w:color w:val="auto"/>
        </w:rPr>
        <w:t xml:space="preserve"> and enter the control number found next to the label “control number” included in the proxy card in the enclosed proxy materials. If you are a beneficial stockholder, you should contact the bank, broker or other institution where you hold your account well in advance of the meeting if you have questions about obtaining your control number or proxy to vote.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Whether or not you participate in the Special Meeting, it is important that you vote your shares.</w:t>
      </w:r>
    </w:p>
    <w:p>
      <w:pPr>
        <w:spacing w:after="0" w:line="121"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The Special Meeting will begin promptly at 12:00 p.m. Eastern Time on Thursday, June 18, 2026. We encourage you to access the Special Meeting a few minutes before it begins. Online check-in will start approximately 15 minutes before the meeting begins.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jc w:val="both"/>
        <w:ind w:left="300" w:right="339"/>
        <w:spacing w:after="0" w:line="281" w:lineRule="auto"/>
        <w:rPr>
          <w:sz w:val="20"/>
          <w:szCs w:val="20"/>
          <w:color w:val="auto"/>
        </w:rPr>
      </w:pPr>
      <w:r>
        <w:rPr>
          <w:rFonts w:ascii="Times New Roman" w:cs="Times New Roman" w:eastAsia="Times New Roman" w:hAnsi="Times New Roman"/>
          <w:sz w:val="17"/>
          <w:szCs w:val="17"/>
          <w:color w:val="auto"/>
        </w:rPr>
        <w:t xml:space="preserve">If you do not have your control number and you are a registered stockholder, please contact us at cc@tempesttx.com and we will be able to provide your control number to you. If you do not have a control number, you will be able to login as a guest. To view the meeting webcast, visit </w:t>
      </w:r>
      <w:r>
        <w:rPr>
          <w:rFonts w:ascii="Times New Roman" w:cs="Times New Roman" w:eastAsia="Times New Roman" w:hAnsi="Times New Roman"/>
          <w:sz w:val="17"/>
          <w:szCs w:val="17"/>
          <w:i w:val="1"/>
          <w:iCs w:val="1"/>
          <w:color w:val="auto"/>
        </w:rPr>
        <w:t>www.virtualshareholdermeeting.com/TPST2026SM</w:t>
      </w:r>
      <w:r>
        <w:rPr>
          <w:rFonts w:ascii="Times New Roman" w:cs="Times New Roman" w:eastAsia="Times New Roman" w:hAnsi="Times New Roman"/>
          <w:sz w:val="17"/>
          <w:szCs w:val="17"/>
          <w:color w:val="auto"/>
        </w:rPr>
        <w:t xml:space="preserve"> and register as a guest. If you login as a guest, you will not be able to vote your shares or ask questions.</w:t>
      </w:r>
    </w:p>
    <w:p>
      <w:pPr>
        <w:spacing w:after="0" w:line="56"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Special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Special Meeting?</w:t>
      </w:r>
    </w:p>
    <w:p>
      <w:pPr>
        <w:spacing w:after="0" w:line="121" w:lineRule="exact"/>
        <w:rPr>
          <w:sz w:val="20"/>
          <w:szCs w:val="20"/>
          <w:color w:val="auto"/>
        </w:rPr>
      </w:pPr>
    </w:p>
    <w:p>
      <w:pPr>
        <w:ind w:left="300" w:right="779"/>
        <w:spacing w:after="0" w:line="261"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Special Meeting. If you encounter any difficulties accessing the virtual Special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www.virtualshareholdermeeting.com/TPST2026SM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 xml:space="preserve">A list of our record stockholders as of the close of business on the Record Date will be made available to stockholders during the meeting at </w:t>
      </w:r>
      <w:r>
        <w:rPr>
          <w:rFonts w:ascii="Times New Roman" w:cs="Times New Roman" w:eastAsia="Times New Roman" w:hAnsi="Times New Roman"/>
          <w:sz w:val="18"/>
          <w:szCs w:val="18"/>
          <w:i w:val="1"/>
          <w:iCs w:val="1"/>
          <w:color w:val="auto"/>
        </w:rPr>
        <w:t>www.virtualshareholdermeeting.com/TPST2026SM</w:t>
      </w:r>
      <w:r>
        <w:rPr>
          <w:rFonts w:ascii="Times New Roman" w:cs="Times New Roman" w:eastAsia="Times New Roman" w:hAnsi="Times New Roman"/>
          <w:sz w:val="18"/>
          <w:szCs w:val="18"/>
          <w:color w:val="auto"/>
        </w:rPr>
        <w:t>. In addition, for the 10 days prior to the Special Meeting, the list will be available for examination by any stockholder of record for a legally valid purpose during regular business hours. To access the list of record stockholders beginning May 28, 2026 and until the meeting, stockholders should email cc@tempesttx.com.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Special Meeting?</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28, 2026 will be entitled to vote at the Special Meeting. On the Record Date, there were 14,806,997 shares of the Company’s common stock, par value $0.001 per share (“common stock”) outstanding and entitled to vote. Whether or not you participate in the Special Meeting, it is important that you vote your shares.</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Company’s transfer agent, Computershare Trust Company, N.A., then you are a stockholder of record. As a stockholder of record, you may vote online during the meeting or vote by proxy. Whether or not you plan to attend the Special Meeting, to ensure your vote is counted, we urge you to vote by proxy by using the enclosed proxy card, or by voting over the telephone or through the internet.</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are also invited to attend the Special Meeting. However, since you are not the stockholder of record, you may not vote your shares online during the meeting unless you request and obtain a valid proxy from your broker, bank or other agent.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two matters scheduled for a vote:</w:t>
      </w:r>
    </w:p>
    <w:p>
      <w:pPr>
        <w:spacing w:after="0" w:line="117" w:lineRule="exact"/>
        <w:rPr>
          <w:sz w:val="20"/>
          <w:szCs w:val="20"/>
          <w:color w:val="auto"/>
        </w:rPr>
      </w:pPr>
    </w:p>
    <w:p>
      <w:pPr>
        <w:ind w:left="1000" w:right="419" w:hanging="348"/>
        <w:spacing w:after="0" w:line="255"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issuance of up to (i) 925,927 shares of common stock issuable upon the exercise of outstanding Series A Warrants (the “Series A Warrants”), (ii) 925,927 shares of the Company’s common stock issuable upon the exercise of outstanding Series B Warrants (the “Series B Warrants,” and together with the Series A Warrants, the “PIPE Warrants”) which were issued in connection with our private placement offering pursuant to the terms of the securities purchase agreement dated March 20, 2026 by and among the Company and the investors thereto (the “SPA”), pursuant to Nasdaq Rule 5635 (the “PIPE Proposal” or “Proposal 1”).</w:t>
      </w:r>
    </w:p>
    <w:p>
      <w:pPr>
        <w:spacing w:after="0" w:line="80"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Approval of the issuance of up to 2,344,828 shares of the Company’s common stock issuable upon the exercise of outstanding Common Warrants (the “Inducement Warrants”) which were issued in connection with an </w:t>
      </w:r>
      <w:r>
        <w:rPr>
          <w:rFonts w:ascii="Times New Roman" w:cs="Times New Roman" w:eastAsia="Times New Roman" w:hAnsi="Times New Roman"/>
          <w:sz w:val="18"/>
          <w:szCs w:val="18"/>
          <w:u w:val="single" w:color="auto"/>
          <w:color w:val="auto"/>
        </w:rPr>
        <w:t>Inducement Offer to Exercise Common Stock Purchase Warrants Issued in November 2025</w:t>
      </w:r>
      <w:r>
        <w:rPr>
          <w:rFonts w:ascii="Times New Roman" w:cs="Times New Roman" w:eastAsia="Times New Roman" w:hAnsi="Times New Roman"/>
          <w:sz w:val="18"/>
          <w:szCs w:val="18"/>
          <w:color w:val="auto"/>
        </w:rPr>
        <w:t xml:space="preserve"> pursuant to the terms of the letter agreement dated May 28, 2026 by and between the Company and the investor thereto (the “Inducement Letter”), pursuant to Nasdaq Rule 5635 (the “Inducement Proposal” or “Proposal 2”).</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Special Meeting?</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matter to be voted on, you may vote “For” or “Against” or abstain from voting.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Special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72" w:lineRule="exact"/>
        <w:rPr>
          <w:sz w:val="20"/>
          <w:szCs w:val="20"/>
          <w:color w:val="auto"/>
        </w:rPr>
      </w:pPr>
    </w:p>
    <w:p>
      <w:pPr>
        <w:ind w:left="1000" w:right="3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during the meeting, access the Special Meeting materials by following the instructions you will receive in your email and submit an electronic ballot during the meeting.</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Special Meeting, we will vote your shares as you direct.</w:t>
      </w:r>
    </w:p>
    <w:p>
      <w:pPr>
        <w:spacing w:after="0" w:line="67" w:lineRule="exact"/>
        <w:rPr>
          <w:rFonts w:ascii="Times New Roman" w:cs="Times New Roman" w:eastAsia="Times New Roman" w:hAnsi="Times New Roman"/>
          <w:sz w:val="18"/>
          <w:szCs w:val="18"/>
          <w:color w:val="auto"/>
        </w:rPr>
      </w:pPr>
    </w:p>
    <w:p>
      <w:pPr>
        <w:ind w:left="1000" w:right="65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enclosed proxy card. To ensure your vote is counted, your telephone vote must be received before 11:59 p.m., Eastern Time on June 17, 2026.</w:t>
      </w:r>
    </w:p>
    <w:p>
      <w:pPr>
        <w:spacing w:after="0" w:line="71" w:lineRule="exact"/>
        <w:rPr>
          <w:rFonts w:ascii="Times New Roman" w:cs="Times New Roman" w:eastAsia="Times New Roman" w:hAnsi="Times New Roman"/>
          <w:sz w:val="18"/>
          <w:szCs w:val="18"/>
          <w:color w:val="auto"/>
        </w:rPr>
      </w:pPr>
    </w:p>
    <w:p>
      <w:pPr>
        <w:ind w:left="1000" w:right="399" w:hanging="348"/>
        <w:spacing w:after="0" w:line="289"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through the internet, go to www.proxyvote.com to complete an electronic proxy card. You will be asked to provide the company number and control number from the enclosed proxy card. To ensure your vote is counted, your internet vote must be received before 11:59 p.m., Eastern Time on June 17, 2026.</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online during the Special Meeting, you must obtain a valid proxy from your broker, bank or other agent. Follow the instructions from your broker, bank or other agent included with these proxy materials, or contact that organization to request a proxy form. You must also register to attend the meeting at </w:t>
      </w:r>
      <w:r>
        <w:rPr>
          <w:rFonts w:ascii="Times New Roman" w:cs="Times New Roman" w:eastAsia="Times New Roman" w:hAnsi="Times New Roman"/>
          <w:sz w:val="18"/>
          <w:szCs w:val="18"/>
          <w:i w:val="1"/>
          <w:iCs w:val="1"/>
          <w:color w:val="auto"/>
        </w:rPr>
        <w:t>www.virtualshareholdermeeting.com/TPST2026SM</w:t>
      </w:r>
      <w:r>
        <w:rPr>
          <w:rFonts w:ascii="Times New Roman" w:cs="Times New Roman" w:eastAsia="Times New Roman" w:hAnsi="Times New Roman"/>
          <w:sz w:val="18"/>
          <w:szCs w:val="18"/>
          <w:color w:val="auto"/>
        </w:rPr>
        <w:t xml:space="preserve"> using the control number as provided by your broker, bank or other agent.</w:t>
      </w:r>
    </w:p>
    <w:p>
      <w:pPr>
        <w:spacing w:after="0" w:line="80" w:lineRule="exact"/>
        <w:rPr>
          <w:sz w:val="20"/>
          <w:szCs w:val="20"/>
          <w:color w:val="auto"/>
        </w:rPr>
      </w:pPr>
    </w:p>
    <w:p>
      <w:pPr>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If you are a holder of our common stock, on each matter to be voted upon, you have one vote for each share of common stock you held as of the close of business on the Record Date.</w:t>
      </w:r>
    </w:p>
    <w:p>
      <w:pPr>
        <w:spacing w:after="0" w:line="306"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Special Meeting, your shares will not be voted.</w:t>
      </w:r>
    </w:p>
    <w:p>
      <w:pPr>
        <w:spacing w:after="0" w:line="54"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“For” the PIPE Proposal and “For” the Inducement Proposal. If any other matter is properly presented at the meeting, your proxyholder (one of the individuals named on your proxy card) will vote your shares using their best judgment.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51"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(the “NYSE”), brokers, banks and other securities</w:t>
      </w:r>
    </w:p>
    <w:p>
      <w:pPr>
        <w:spacing w:after="0" w:line="68"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intermediaries that are subject to NYSE rules may use their discretion to vote your “uninstructed” shares with respect to matters considered to be “routine” under NYSE rules, but not with respect to “non-routine” matters. In this regard, Proposals 1 and 2 are considered to be “non-routine” under NYSE rules, meaning that your broker may not vote your shares on those proposals in the absence of your voting instructions.</w:t>
      </w:r>
    </w:p>
    <w:p>
      <w:pPr>
        <w:spacing w:after="0" w:line="70"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If you are a beneficial owner of shares held in street name and you do not plan to obtain a proxy from your broker, bank or other agent and vote at the Special Meeting, in order to ensure your shares are voted in the way you would prefer, you </w:t>
      </w:r>
      <w:r>
        <w:rPr>
          <w:rFonts w:ascii="Times New Roman" w:cs="Times New Roman" w:eastAsia="Times New Roman" w:hAnsi="Times New Roman"/>
          <w:sz w:val="18"/>
          <w:szCs w:val="18"/>
          <w:i w:val="1"/>
          <w:iCs w:val="1"/>
          <w:u w:val="single" w:color="auto"/>
          <w:color w:val="auto"/>
        </w:rPr>
        <w:t>must</w:t>
      </w:r>
      <w:r>
        <w:rPr>
          <w:rFonts w:ascii="Times New Roman" w:cs="Times New Roman" w:eastAsia="Times New Roman" w:hAnsi="Times New Roman"/>
          <w:sz w:val="18"/>
          <w:szCs w:val="18"/>
          <w:i w:val="1"/>
          <w:iCs w:val="1"/>
          <w:color w:val="auto"/>
        </w:rPr>
        <w:t xml:space="preserve"> provide voting instructions to your broker, bank or other agent by the deadline provided in the materials you receive from your broker, bank or other agent.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at least one “routine” matter but does not vote on “non-routine” matters because you did not provide voting instructions on such matters. Proposals 1 and 2 are considered non-routine under applicable stock exchange rules, and without your instruction, your broker, bank or other agent cannot vote your shares on those matters. Please instruct your broker, bank or other agent so your vote can be counted.</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21"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You can revoke your proxy at any time before the final vote at the Special Meeting. If you are the record holder of your shares, you may revoke your proxy in any one of the following ways:</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a written notice that you are revoking your proxy to our Corporate Secretary at 2000 Sierra Point Parkway, Suite 400, Brisbane, CA 94005; or</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Special Meeting and vote online. Simply attending the meeting will not, by itself, revoke your proxy.</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Special Meeting, who will separately count “For” and “Against” votes and abstentions.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the proposal?</w:t>
      </w:r>
    </w:p>
    <w:p>
      <w:pPr>
        <w:spacing w:after="0" w:line="12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20" w:type="dxa"/>
            <w:vAlign w:val="bottom"/>
          </w:tcPr>
          <w:p>
            <w:pPr>
              <w:spacing w:after="0"/>
              <w:rPr>
                <w:sz w:val="13"/>
                <w:szCs w:val="13"/>
                <w:color w:val="auto"/>
              </w:rPr>
            </w:pPr>
          </w:p>
        </w:tc>
        <w:tc>
          <w:tcPr>
            <w:tcW w:w="8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48"/>
        </w:trPr>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10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90"/>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6"/>
                <w:szCs w:val="16"/>
                <w:color w:val="auto"/>
              </w:rPr>
            </w:pPr>
          </w:p>
        </w:tc>
        <w:tc>
          <w:tcPr>
            <w:tcW w:w="4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0" w:type="dxa"/>
            <w:vAlign w:val="bottom"/>
          </w:tcPr>
          <w:p>
            <w:pPr>
              <w:spacing w:after="0"/>
              <w:rPr>
                <w:sz w:val="16"/>
                <w:szCs w:val="16"/>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23"/>
        </w:trPr>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PIPE Proposal</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 the voting</w:t>
            </w:r>
          </w:p>
        </w:tc>
        <w:tc>
          <w:tcPr>
            <w:tcW w:w="2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94"/>
              </w:rPr>
              <w:t>No effect</w:t>
            </w:r>
          </w:p>
        </w:tc>
        <w:tc>
          <w:tcPr>
            <w:tcW w:w="220" w:type="dxa"/>
            <w:vAlign w:val="bottom"/>
          </w:tcPr>
          <w:p>
            <w:pPr>
              <w:spacing w:after="0"/>
              <w:rPr>
                <w:sz w:val="18"/>
                <w:szCs w:val="18"/>
                <w:color w:val="auto"/>
              </w:rPr>
            </w:pPr>
          </w:p>
        </w:tc>
        <w:tc>
          <w:tcPr>
            <w:tcW w:w="86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w w:val="94"/>
              </w:rPr>
              <w:t>No effect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power of the votes cast by the holders of all the shares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present or represented by proxy at the meeting and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voting on such matter</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Inducement</w:t>
            </w:r>
          </w:p>
        </w:tc>
        <w:tc>
          <w:tcPr>
            <w:tcW w:w="2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 the voting</w:t>
            </w:r>
          </w:p>
        </w:tc>
        <w:tc>
          <w:tcPr>
            <w:tcW w:w="22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94"/>
              </w:rPr>
              <w:t>No effect</w:t>
            </w:r>
          </w:p>
        </w:tc>
        <w:tc>
          <w:tcPr>
            <w:tcW w:w="220" w:type="dxa"/>
            <w:vAlign w:val="bottom"/>
          </w:tcPr>
          <w:p>
            <w:pPr>
              <w:spacing w:after="0"/>
              <w:rPr>
                <w:sz w:val="19"/>
                <w:szCs w:val="19"/>
                <w:color w:val="auto"/>
              </w:rPr>
            </w:pPr>
          </w:p>
        </w:tc>
        <w:tc>
          <w:tcPr>
            <w:tcW w:w="86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w w:val="94"/>
              </w:rPr>
              <w:t>No effect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Proposal</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power of the votes cast by the holders of all the shares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present or represented by proxy at the meeting and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voting on such matter</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meeting or represented by proxy. On the Record Date, there were 14,806,997 shares outstanding and entitled to vote. Thus, the holders of 7,403,499 shares must be present or represented by proxy at the meeting to have a quorum.</w:t>
      </w:r>
    </w:p>
    <w:p>
      <w:pPr>
        <w:spacing w:after="0" w:line="72"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online at the Special Meeting. Abstentions will be counted towards the quorum requirement. If there is no quorum, either the chairperson of the meeting or the holders of a majority of shares present at the meeting or represented by proxy may adjourn the meeting to another date.</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ask a question at the Special Meeting?</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 xml:space="preserve">Only stockholders of record as of the Record Date may submit questions or comments at the Special Meeting. If you would like to submit a question, you may do so by joining the virtual meeting at </w:t>
      </w:r>
      <w:r>
        <w:rPr>
          <w:rFonts w:ascii="Times New Roman" w:cs="Times New Roman" w:eastAsia="Times New Roman" w:hAnsi="Times New Roman"/>
          <w:sz w:val="18"/>
          <w:szCs w:val="18"/>
          <w:i w:val="1"/>
          <w:iCs w:val="1"/>
          <w:color w:val="auto"/>
        </w:rPr>
        <w:t xml:space="preserve">www.virtualshareholdermeeting.com/TPST2026SM </w:t>
      </w:r>
      <w:r>
        <w:rPr>
          <w:rFonts w:ascii="Times New Roman" w:cs="Times New Roman" w:eastAsia="Times New Roman" w:hAnsi="Times New Roman"/>
          <w:sz w:val="18"/>
          <w:szCs w:val="18"/>
          <w:color w:val="auto"/>
        </w:rPr>
        <w:t>and typing your question in the box in the meeting portal.</w:t>
      </w:r>
    </w:p>
    <w:p>
      <w:pPr>
        <w:spacing w:after="0" w:line="68" w:lineRule="exact"/>
        <w:rPr>
          <w:sz w:val="20"/>
          <w:szCs w:val="20"/>
          <w:color w:val="auto"/>
        </w:rPr>
      </w:pPr>
    </w:p>
    <w:p>
      <w:pPr>
        <w:ind w:left="300" w:right="319"/>
        <w:spacing w:after="0" w:line="273" w:lineRule="auto"/>
        <w:rPr>
          <w:sz w:val="20"/>
          <w:szCs w:val="20"/>
          <w:color w:val="auto"/>
        </w:rPr>
      </w:pPr>
      <w:r>
        <w:rPr>
          <w:rFonts w:ascii="Times New Roman" w:cs="Times New Roman" w:eastAsia="Times New Roman" w:hAnsi="Times New Roman"/>
          <w:sz w:val="17"/>
          <w:szCs w:val="17"/>
          <w:color w:val="auto"/>
        </w:rPr>
        <w:t>To help ensure that we have a productive and efficient meeting, and in fairness to all stockholders in attendance, you will also find posted our rules of conduct for the Special Meeting when you log in prior to the start of the Special Meeting. In accordance with the rules of conduct, we ask that you limit your questions and remarks to those that are relevant to the proposal at the Special Meeting. Our management may group questions by topic with a representative question read aloud and answered. In addition, questions may be ruled out of order if they are, among other things, irrelevant to the proposal at the Special Meeting, related to pending or threatened litigation, disorderly, repetitious of statements already made, or in furtherance of the speaker’s own personal, political or business interests.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The proxy statement is available at </w:t>
      </w:r>
      <w:r>
        <w:rPr>
          <w:rFonts w:ascii="Times New Roman" w:cs="Times New Roman" w:eastAsia="Times New Roman" w:hAnsi="Times New Roman"/>
          <w:sz w:val="18"/>
          <w:szCs w:val="18"/>
          <w:i w:val="1"/>
          <w:iCs w:val="1"/>
          <w:color w:val="auto"/>
        </w:rPr>
        <w:t>ir.tempesttx.com.</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Company proposing each of the PIPE Proposal and Inducement Proposal?</w:t>
      </w:r>
    </w:p>
    <w:p>
      <w:pPr>
        <w:spacing w:after="0" w:line="121" w:lineRule="exact"/>
        <w:rPr>
          <w:sz w:val="20"/>
          <w:szCs w:val="20"/>
          <w:color w:val="auto"/>
        </w:rPr>
      </w:pPr>
    </w:p>
    <w:p>
      <w:pPr>
        <w:ind w:left="300" w:right="479"/>
        <w:spacing w:after="0" w:line="289" w:lineRule="auto"/>
        <w:rPr>
          <w:sz w:val="20"/>
          <w:szCs w:val="20"/>
          <w:color w:val="auto"/>
        </w:rPr>
      </w:pPr>
      <w:r>
        <w:rPr>
          <w:rFonts w:ascii="Times New Roman" w:cs="Times New Roman" w:eastAsia="Times New Roman" w:hAnsi="Times New Roman"/>
          <w:sz w:val="17"/>
          <w:szCs w:val="17"/>
          <w:color w:val="auto"/>
        </w:rPr>
        <w:t>Pursuant to the SPA, the Company agreed to seek approval from its stockholders for the issuance of the shares issuable upon exercise of the PIPE Warrants within 90 days following the date of the SPA (the “</w:t>
      </w:r>
      <w:r>
        <w:rPr>
          <w:rFonts w:ascii="Times New Roman" w:cs="Times New Roman" w:eastAsia="Times New Roman" w:hAnsi="Times New Roman"/>
          <w:sz w:val="17"/>
          <w:szCs w:val="17"/>
          <w:b w:val="1"/>
          <w:bCs w:val="1"/>
          <w:i w:val="1"/>
          <w:iCs w:val="1"/>
          <w:color w:val="auto"/>
        </w:rPr>
        <w:t>PIPE Stockholder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Approval</w:t>
      </w:r>
      <w:r>
        <w:rPr>
          <w:rFonts w:ascii="Times New Roman" w:cs="Times New Roman" w:eastAsia="Times New Roman" w:hAnsi="Times New Roman"/>
          <w:sz w:val="17"/>
          <w:szCs w:val="17"/>
          <w:color w:val="auto"/>
        </w:rPr>
        <w:t>”). Pursuant to the Inducement Letter, the Company agreed to call and hold a special meeting 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stockholders on or prior to July 15, 2026 (the “</w:t>
      </w:r>
      <w:r>
        <w:rPr>
          <w:rFonts w:ascii="Times New Roman" w:cs="Times New Roman" w:eastAsia="Times New Roman" w:hAnsi="Times New Roman"/>
          <w:sz w:val="18"/>
          <w:szCs w:val="18"/>
          <w:b w:val="1"/>
          <w:bCs w:val="1"/>
          <w:i w:val="1"/>
          <w:iCs w:val="1"/>
          <w:color w:val="auto"/>
        </w:rPr>
        <w:t>Inducement Stockholder Approval</w:t>
      </w:r>
      <w:r>
        <w:rPr>
          <w:rFonts w:ascii="Times New Roman" w:cs="Times New Roman" w:eastAsia="Times New Roman" w:hAnsi="Times New Roman"/>
          <w:sz w:val="18"/>
          <w:szCs w:val="18"/>
          <w:color w:val="auto"/>
        </w:rPr>
        <w:t>”). The Series A Warrants will become exercisable on the effective date of the PIPE Stockholder Approval (the “</w:t>
      </w:r>
      <w:r>
        <w:rPr>
          <w:rFonts w:ascii="Times New Roman" w:cs="Times New Roman" w:eastAsia="Times New Roman" w:hAnsi="Times New Roman"/>
          <w:sz w:val="18"/>
          <w:szCs w:val="18"/>
          <w:b w:val="1"/>
          <w:bCs w:val="1"/>
          <w:i w:val="1"/>
          <w:iCs w:val="1"/>
          <w:color w:val="auto"/>
        </w:rPr>
        <w:t>PIPE Stockholder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and have a term of five years from the later of the PIPE Stockholder Approval Date and the Effectiveness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(as defined below). The Series B Warrants will become exercisable on the PIPE Stockholder Approval Date and have a term of twenty-four months from the later of the PIPE Stockholder Approval Date and the Effectiveness Date. The Inducement Warrants will be exercisable at any time on or after the Inducement Stockholder Approval Date and expire two (2) years following the initial issuance date.</w:t>
      </w:r>
    </w:p>
    <w:p>
      <w:pPr>
        <w:spacing w:after="0" w:line="79"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of the stock issuances described above in order to comply with Nasdaq Stock Market Rules 5635(c) and (d), as applicable.</w:t>
      </w:r>
    </w:p>
    <w:p>
      <w:pPr>
        <w:spacing w:after="0" w:line="54"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Nasdaq Listing Rule 5635(d) requires stockholder approval of transactions other than a public offering involving the sale or issuance by the issuer of common stock (or securities convertible into or exercisable for common stock) equal to 20% or more of the common stock or 20% or more of the voting power outstanding before the issuance for a price that is less than the lower of: (i) the closing price of the common stock immediately preceding the signing of the binding agreement for the issuance of such securities; or (ii) the average closing price of the common stock for the five trading days immediately preceding the signing of the binding agreement for the issuance of such securities (the “Minimum Price”), regardless of whether such shares are issued to one person or group or are more widely distributed.</w:t>
      </w:r>
    </w:p>
    <w:p>
      <w:pPr>
        <w:spacing w:after="0" w:line="84"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Nasdaq Listing Rule 5635(c) requires stockholder approval in connection with certain equity compensation, subject to exceptions specified therein. For this purpose, “equity compensation” includes common stock (and/or securities convertible into or exercisable for common stock) issued to a company’s officers, directors, employees or consultants at a discount to the Market Value (as defined below) of such company’s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APPROVAL OF THE ISSUANCE OF SHARES OF COMMON STOCK ISSUABLE UPON EXERCISE OF THE PIPE WARRANTS</w:t>
      </w: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March 20, 2026, we entered into the SPA with (a) two institutional investors (the “Institutional Investors”) and (b) Factor Bioscience Inc. (“Factor” and, together with the Institutional Investors, each, an “Investor” and, together, the “Investors”), pursuant to which we agreed to issue and sell in a private placement (the “Private Placement”) an aggregate of 462,964 shares of our common stock (the “Shares”), and, in lieu of common stock, Pre-Funded Warrants to purchase up to 462,963 shares of our common stock, in each case accompanied by (i) Series A Warrants to purchase up to 925,927 shares of our common stock and (ii) Series B Warrants to purchase up to 925,927 shares of our common stock (collectively, the “Pre-Funded Warrant Shares”). The shares of common stock and the PIPE Warrants were immediately separable and were issued separately.</w:t>
      </w:r>
    </w:p>
    <w:p>
      <w:pPr>
        <w:spacing w:after="0" w:line="8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Further, Dr. Matthew Angel, who is our Chief Executive Officer and a director, is a majority equityholder of the parent of Factor and Chairman of the Board of Directors of Factor. Pursuant to the SPA, we sold an aggregate of 231,482 shares of our common stock, 231,482 Series A Warrants and 231,482 Series B Warrants to Factor in exchange for $500,001.12, before deducting placement agent fees and other offering expenses payable by us.</w:t>
      </w:r>
    </w:p>
    <w:p>
      <w:pPr>
        <w:spacing w:after="0" w:line="72"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Pursuant to the SPA, we agreed to seek approval from our stockholders for the issuance of the shares issuable upon exercise of the PIPE Warrants within 90 days following the date of the SPA. The Company further agreed to solicit proxies from its stockholders in connection therewith in the same manner as all other management proposals in such proxy statement and all management appointed proxyholders shall vote their proxies in favor of such proposals. The Series A Warrants will become exercisable on the PIPE Stockholder Approval Date and have a term of five years from the later of the PIPE Stockholder Approval Date and the Effectiveness Date (as defined below). The Series B Warrants will become exercisable on the PIPE Stockholder Approval Date and have a term of twenty-four months from the later of the PIPE Stockholder Approval Date and the Effectiveness Date. The PIPE Warrants have an exercise price of $2.16 per share.</w:t>
      </w:r>
    </w:p>
    <w:p>
      <w:pPr>
        <w:spacing w:after="0" w:line="80"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Each Investor has agreed that, if it holds any Shares or Pre-Funded Warrant Shares as of the record date for the Special Meeting, it will not vote such Shares or Pre-Funded Warrant Shares on the proposal to approve the issuance of the shares issuable upon exercise of the PIPE Warrants.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Stockholder Approval</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as such, we are subject to the applicable rules of the Nasdaq Stock Market, including Nasdaq Listing Rule 5635(c), which requires stockholder approval in connection with certain equity compensation, subject to exceptions specified therein. For this purpose, “equity compensation” includes common stock (and/or securities convertible into or exercisable for common stock) issued to a company’s officers, directors, employees or consultants at a discount to the Market Value (as defined herein) of such company’s common stock. There is an exception to such requirement for plans that merely provide a convenient way to purchase shares on the open market or from a listed company at the consolidated closing bid price (as reflected on Nasdaq.net) immediately preceding the time that the listed company enters into a binding agreement with such officer, director, employee or consultant to issue the equity compensation (“Market Value”).</w:t>
      </w:r>
    </w:p>
    <w:p>
      <w:pPr>
        <w:spacing w:after="0" w:line="80"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issuance of our common stock underlying the PIPE Warrants may result in shares of our common stock being issued to Factor at a price below the Market Value of our common stock as of the time we entered into the SPA. Thus, the issuance of the warrants to Factor may be considered “equity compensation” under Nasdaq Listing Rule 5635(c).</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 addition, Nasdaq Listing Rule 5635(d) requires stockholder approval of transactions other than a public offering involving the sale or issuance by the issuer of common stock (or securities convertible into or exercisable for common stock) equal to 20% or more of the common stock or 20% or more of the voting power outstanding before the issuance for a price that is less than the lower of: (i) the closing price of the common stock immediately preceding the signing of the binding agreement for the issuance of such securities; or (ii) the average closing price of the common stock for the five trading days immediately preceding the signing of the binding agreement for the issuance of such securities (the “Minimum Price”), regardless of whether such shares are issued to one person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group or are more widely distributed. Accordingly, we are seeking stockholder approval of this Proposal 1 under Nasdaq Listing Rule 5635(d) because the shares issuable in the Private Placement (including the shares issuable upon exercise of the PIPE Warrants) may represent 20% or more of our outstanding common stock (or voting power) and the effective price of such issuance was below the Minimum Price.</w:t>
      </w:r>
    </w:p>
    <w:p>
      <w:pPr>
        <w:spacing w:after="0" w:line="72"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By approving this Proposal 1, you are approving the proposal for purposes of the requirements under Nasdaq Listing Rule 5635(c) and (d), which would result in Factor being able to acquire shares of our common stock at a price of less than Market Value.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the Warrants</w:t>
      </w:r>
    </w:p>
    <w:p>
      <w:pPr>
        <w:spacing w:after="0" w:line="119"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Exercise Price and Duration</w:t>
      </w:r>
      <w:r>
        <w:rPr>
          <w:rFonts w:ascii="Times New Roman" w:cs="Times New Roman" w:eastAsia="Times New Roman" w:hAnsi="Times New Roman"/>
          <w:sz w:val="18"/>
          <w:szCs w:val="18"/>
          <w:color w:val="auto"/>
        </w:rPr>
        <w:t>. The Series A and Series B Warrants will be immediately exercisable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thereof upon stockholder approval of this Proposal 1 and may be exercised at any time beginning on the PIPE Stockholder Approval Date and ending on the date that is the applicable expiration date for such warrant. The Series A Warrants may be exercised for a period of five years from the date that is the later of the PIPE Stockholder Approval Date and the effectiveness date of the applicable resale registration statement (the “Effectiveness Date”), and the Series B Warrants may be exercised for a period of twenty-four months from the date that is the later of the PIPE Stockholder Approval Date and the Effectiveness Date. The exercise price of the Series A and Series B Warrants is $2.16 per share. The exercise price is subject to appropriate adjustment in the event of certain stock dividends and distributions, stock splits, stock combinations, reclassifications or similar events affecting our shares of common stock. The Series A and Series B Warrants may also be exercised by means of a “cashless exercise” as provided for in the applicable warrant.</w:t>
      </w:r>
    </w:p>
    <w:p>
      <w:pPr>
        <w:spacing w:after="0" w:line="84"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 The PIPE Warrants contain a beneficial ownership limitation that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restricts a holder from exercising the warrants if, after giving effect to such exercise, the holder would beneficially own more than 4.99% (or, at the holder’s election, 9.99%) of our outstanding common stock, subject to adjustment in accordance with the terms of the warrants.</w:t>
      </w:r>
    </w:p>
    <w:p>
      <w:pPr>
        <w:spacing w:after="0" w:line="72"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If a Fundamental Transaction (as defined in the PIPE Warrant, as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then, upon any subsequent exercise of such warrant, the holder shall have the right to receive, for each warrant share that would have been issuable upon such exercise immediately prior to the occurrence of such Fundamental Transaction, at the option of the holder (without regard to any beneficial ownership limitation), the number of shares of common stock of the successor or acquiring corporation or of our Company, if we are the surviving corporation, and any additional consideration (the “Alternative Consideration”) receivable as a result of such Fundamental Transaction. If holders of our common stock are given any choice as to the securities, cash or property to be received in a Fundamental Transaction, then the holder of the Series A or Series B Warrant, as applicable, shall be given the same choice as to the Alternative Consideration it receives upon any exercise of such warrant following such Fundamental Transaction.</w:t>
      </w:r>
    </w:p>
    <w:p>
      <w:pPr>
        <w:spacing w:after="0" w:line="77"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set forth in the PIPE Warrants, the holders of the PIPE Warrants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or privileges of a holder of our common stock, including any voting rights, until such warrants are exercised.</w:t>
      </w:r>
    </w:p>
    <w:p>
      <w:pPr>
        <w:spacing w:after="0" w:line="65" w:lineRule="exact"/>
        <w:rPr>
          <w:sz w:val="20"/>
          <w:szCs w:val="20"/>
          <w:color w:val="auto"/>
        </w:rPr>
      </w:pPr>
    </w:p>
    <w:p>
      <w:pPr>
        <w:ind w:left="300" w:right="4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PIPE Warrants may be offered for sale, sold, transferred or assigned without our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compliance with applicable securities laws and the conditions set forth in the PIPE Warrants.</w:t>
      </w:r>
    </w:p>
    <w:p>
      <w:pPr>
        <w:spacing w:after="0" w:line="50"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shares of common stock will be issued upon the exercise of the Series 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 Warrants. As to any fraction of a share which the holder would otherwise be entitled to purchase upon such exercise, we shall, at our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300" w:right="6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Amendment and Waiver</w:t>
      </w:r>
      <w:r>
        <w:rPr>
          <w:rFonts w:ascii="Times New Roman" w:cs="Times New Roman" w:eastAsia="Times New Roman" w:hAnsi="Times New Roman"/>
          <w:sz w:val="18"/>
          <w:szCs w:val="18"/>
          <w:color w:val="auto"/>
        </w:rPr>
        <w:t>. Each of the PIPE Warrants may be modified or amended or the provisions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waived with the written consent of our Company and the respective holder.</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Issuable Upon Exercise</w:t>
      </w:r>
    </w:p>
    <w:p>
      <w:pPr>
        <w:spacing w:after="0" w:line="121" w:lineRule="exact"/>
        <w:rPr>
          <w:sz w:val="20"/>
          <w:szCs w:val="20"/>
          <w:color w:val="auto"/>
        </w:rPr>
      </w:pPr>
    </w:p>
    <w:p>
      <w:pPr>
        <w:ind w:left="300" w:right="419" w:firstLine="360"/>
        <w:spacing w:after="0" w:line="281" w:lineRule="auto"/>
        <w:rPr>
          <w:sz w:val="20"/>
          <w:szCs w:val="20"/>
          <w:color w:val="auto"/>
        </w:rPr>
      </w:pPr>
      <w:r>
        <w:rPr>
          <w:rFonts w:ascii="Times New Roman" w:cs="Times New Roman" w:eastAsia="Times New Roman" w:hAnsi="Times New Roman"/>
          <w:sz w:val="17"/>
          <w:szCs w:val="17"/>
          <w:color w:val="auto"/>
        </w:rPr>
        <w:t>Following stockholder approval of this Proposal 1, up to 1,851,854 shares of common stock will be issuable upon exercise of the PIPE Warrants. The shares of common stock issuable upon exercise of the PIPE Warrants may not be sold or otherwise transferred for as long as a registration statement filed under the Securities Act of 1933, as amended (the “Securities Act”) covering the resale of such shares remains effective, or pursuant to exemption from</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registration under the Securities Act. The sale into the public market of the shares of common stock underlying the PIPE Warrants could materially and adversely affect the market price of our common stock.</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Effects of the Proposal</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If our stockholders do not approve this Proposal 1, the limitation on the Investors exercising the PIPE Warrants will remain in effect and neither we, nor the Investors as holders of the PIPE Warrants will be entitled to exercise the PIPE Warrants for shares of our common stock. Your approval of this Proposal 1 will assist us in meeting our obligations under the SPA. In addition, our ability to access the capital contemplated by the Private Placement is important to support our liquidity and fund our operations. The inability of the Investors to exercise the PIPE Warrants could further jeopardize our future financing prospects because prospective purchasers of securities may consider our stockholders as unsupportive of financings approved by our Board.</w:t>
      </w:r>
    </w:p>
    <w:p>
      <w:pPr>
        <w:spacing w:after="0" w:line="8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If our stockholders do not approve this Proposal 1 at the Special Meeting, pursuant to the SPA, we are required to call a meeting every ninety (90) days thereafter to seek stockholder approval until the earlier of the date on which stockholder approval is obtained or the PIPE Warrants are no longer outstanding. Failure to receive approval of this Proposal 1 at the Special Meeting will therefore increase our general and administrative expenses, funds that we believe would be better spent pursuing our business plan.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This summary is intended to provide you with basic information concerning the Private Placement. For a more complete description of the SPA and Private Placement, please see our Current Report on Form 8-K filed on March 20, 2026 and the exhibits filed therewith.</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IN FAVOR OF PROPOSAL 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APPROVAL OF THE ISSUANCE OF SHARES OF COMMON STOCK ISSUABLE UPON EXERCISE OF THE INDUCEMENT WARRANTS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On May 28, 2026, we entered into a definitive agreement with an investor for the immediate exercise of certain outstanding warrants to purchase an aggregate of 1,172,414 shares of the Company’s common stock originally issued by the Company on November 26, 2025, having an original exercise price of $3.50 per share, at a reduced exercise price of $1.73 per share.</w:t>
      </w:r>
    </w:p>
    <w:p>
      <w:pPr>
        <w:spacing w:after="0" w:line="72"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As consideration for the exercise of such existing warrants for cash, the Company agreed to issue the “Inducement Warrants”, which are new unregistered short-term warrants to purchase up to an aggregate of 2,344,828 shares of common stock at an exercise price of $1.73 per share. The Inducement Warrants will be exercisable at any time on or after the Inducement Stockholder Approval Date and expire two (2) years following the initial issuance date.</w:t>
      </w:r>
    </w:p>
    <w:p>
      <w:pPr>
        <w:spacing w:after="0" w:line="75" w:lineRule="exact"/>
        <w:rPr>
          <w:sz w:val="20"/>
          <w:szCs w:val="20"/>
          <w:color w:val="auto"/>
        </w:rPr>
      </w:pPr>
    </w:p>
    <w:p>
      <w:pPr>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The inducement transaction closed on May 29, 2026, and on that date, we also issued the placement agent warrants (“PA Warrants”) to designees of H.C. Wainwright &amp; Co., LLC, as partial compensation for services rendered in connection with the inducement transaction.</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Pursuant to the Inducement Letter, the Company agreed to call and hold a special meeting of stockholders on or prior to July 15, 2026, with the recommendation of the Company’s Board that such proposal is approved. The Company further agreed to solicit proxies from its stockholders in connection therewith in the same manner as all other management proposals in such proxy statement and all management-appointed proxyholders shall vote their proxies in favor of such proposals.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Stockholder Approval</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as such, we are subject to the applicable rules of the Nasdaq Stock Market, including Nasdaq Listing Rule 5635(d), which requires stockholder approval of transactions other than a public offering involving the sale or issuance by the issuer of common stock (or securities convertible into or exercisable for common stock) equal to 20% or more of the common stock or 20% or more of the voting power outstanding before the issuance for less than the Minimum Price, regardless of whether such shares are issued to one person or group or are more widely distributed. Accordingly, we are seeking stockholder approval of this Proposal 2 under Nasdaq Listing Rule 5635(d) because the shares issuable upon exercise of the Inducement Warrants may represent 20% or more of our outstanding common stock (or voting power) and the effective price of such issuance was below the Minimum Price.</w:t>
      </w:r>
    </w:p>
    <w:p>
      <w:pPr>
        <w:spacing w:after="0" w:line="80"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By approving this Proposal 2, you are approving the proposal for purposes of the requirements under Nasdaq Listing Rule 5635(d).</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the Warrants</w:t>
      </w:r>
    </w:p>
    <w:p>
      <w:pPr>
        <w:spacing w:after="0" w:line="119"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Exercise Price and Duration</w:t>
      </w:r>
      <w:r>
        <w:rPr>
          <w:rFonts w:ascii="Times New Roman" w:cs="Times New Roman" w:eastAsia="Times New Roman" w:hAnsi="Times New Roman"/>
          <w:sz w:val="18"/>
          <w:szCs w:val="18"/>
          <w:color w:val="auto"/>
        </w:rPr>
        <w:t>. The Inducement Warrants will be exercisable at any time on or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Inducement Stockholder Approval Date and expire two (2) years following the initial issuance date. The exercise price of the Inducement Warrants is $1.73 per share. The exercise price is subject to appropriate adjustment in the event of certain stock dividends and distributions, stock splits, stock combinations, reclassifications or similar events affecting our shares of common stock. The Inducement Warrants may also be exercised by means of a “cashless exercise” as provided for in the applicable warrant.</w:t>
      </w:r>
    </w:p>
    <w:p>
      <w:pPr>
        <w:spacing w:after="0" w:line="7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 The Inducement Warrants contain a beneficial ownership limitation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restricts a holder from exercising the warrants if, after giving effect to such exercise, the holder would beneficially own more than 4.99% (or, at the holder’s election, 9.99%) of our outstanding common stock, subject to adjustment in accordance with the terms of the warrants.</w:t>
      </w:r>
    </w:p>
    <w:p>
      <w:pPr>
        <w:spacing w:after="0" w:line="72" w:lineRule="exact"/>
        <w:rPr>
          <w:sz w:val="20"/>
          <w:szCs w:val="20"/>
          <w:color w:val="auto"/>
        </w:rPr>
      </w:pPr>
    </w:p>
    <w:p>
      <w:pPr>
        <w:ind w:left="300" w:right="339" w:firstLine="360"/>
        <w:spacing w:after="0" w:line="290" w:lineRule="auto"/>
        <w:rPr>
          <w:sz w:val="20"/>
          <w:szCs w:val="20"/>
          <w:color w:val="auto"/>
        </w:rPr>
      </w:pPr>
      <w:r>
        <w:rPr>
          <w:rFonts w:ascii="Times New Roman" w:cs="Times New Roman" w:eastAsia="Times New Roman" w:hAnsi="Times New Roman"/>
          <w:sz w:val="17"/>
          <w:szCs w:val="17"/>
          <w:i w:val="1"/>
          <w:iCs w:val="1"/>
          <w:color w:val="auto"/>
        </w:rPr>
        <w:t>Fundamental Transactions</w:t>
      </w:r>
      <w:r>
        <w:rPr>
          <w:rFonts w:ascii="Times New Roman" w:cs="Times New Roman" w:eastAsia="Times New Roman" w:hAnsi="Times New Roman"/>
          <w:sz w:val="17"/>
          <w:szCs w:val="17"/>
          <w:color w:val="auto"/>
        </w:rPr>
        <w:t>. If a Fundamental Transaction (as defined in the Inducement Warrant, as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occurs, then, upon any subsequent exercise of such warrant, the holder shall have the right to receive, for each warrant share that would have been issuable upon such exercise immediately prior to the occurrence of such</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Fundamental Transaction, at the option of the holder (without regard to any beneficial ownership limitation), the number of shares of common stock of the successor or acquiring corporation or of our Company, if we are the surviving corporation, and any additional consideration (the “Alternate Consideration”) receivable as a result of such Fundamental Transaction. If holders of our common stock are given any choice as to the securities, cash or property to be received in a Fundamental Transaction, then the holder of the Inducement Warrant, as applicable, shall be given the same choice as to the Alternate Consideration it receives upon any exercise of such warrant following such Fundamental Transaction.</w:t>
      </w:r>
    </w:p>
    <w:p>
      <w:pPr>
        <w:spacing w:after="0" w:line="79" w:lineRule="exact"/>
        <w:rPr>
          <w:sz w:val="20"/>
          <w:szCs w:val="20"/>
          <w:color w:val="auto"/>
        </w:rPr>
      </w:pPr>
    </w:p>
    <w:p>
      <w:pPr>
        <w:ind w:left="300" w:right="6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set forth in the Inducement Warrants, the holders of the Inducement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do not have the rights or privileges of a holder of our common stock, including any voting rights, until such warrants are exercised.</w:t>
      </w:r>
    </w:p>
    <w:p>
      <w:pPr>
        <w:spacing w:after="0" w:line="65" w:lineRule="exact"/>
        <w:rPr>
          <w:sz w:val="20"/>
          <w:szCs w:val="20"/>
          <w:color w:val="auto"/>
        </w:rPr>
      </w:pPr>
    </w:p>
    <w:p>
      <w:pPr>
        <w:ind w:left="300" w:right="6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Inducement Warrants may be offered for sale, sold, transferred or assigned without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subject to compliance with applicable securities laws and the conditions set forth in the Inducement Warrants.</w:t>
      </w:r>
    </w:p>
    <w:p>
      <w:pPr>
        <w:spacing w:after="0" w:line="6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shares of common stock will be issued upon the exercise of the Inducement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As to any fraction of a share which the holder would otherwise be entitled to purchase upon such exercise, we shall, at our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30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Amendment and Waiver</w:t>
      </w:r>
      <w:r>
        <w:rPr>
          <w:rFonts w:ascii="Times New Roman" w:cs="Times New Roman" w:eastAsia="Times New Roman" w:hAnsi="Times New Roman"/>
          <w:sz w:val="18"/>
          <w:szCs w:val="18"/>
          <w:color w:val="auto"/>
        </w:rPr>
        <w:t>. Each of the Inducement Warrants may be modified or amended or the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waived with the written consent of our Company and the respective holder.</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Placement Agent Warrants</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The PA Warrants bear substantially the same terms of the Inducement Warrants, except that the PA warrants have an exercise price of $2.1625 per share, are exercisable commencing on the effective date of Inducement Stockholder Approval and expire two years following the initial issuance date. Under the terms of the PA Warrants, the investor may not exercise the warrants to the extent such exercise would cause the investor, together with its affiliates and attribution parties, to beneficially own a number of shares of common stock which would exceed 4.99% (or, at such investor’s option upon issuance, up to 9.99%), of the Company’s then outstanding common stock following such exercise, excluding for purposes of such determination shares of common stock issuable upon exercise of such warrants which have not been exercised.</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Issuable Upon Exercise</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Following stockholder approval of this Proposal 2, up to 2,344,828 shares of common stock will be issuable upon exercise of the Inducement Warrants, and up to 82,069 shares of common stock will be issuable upon exercise of the PA Warrants. The shares of common stock issuable upon exercise of the Inducement Warrants and PA Warrants may not be sold or otherwise transferred for as long as a registration statement filed under the Securities Act covering the resale of such shares remains effective, or pursuant to exemption from registration under the Securities Act. The sale into the public market of the shares of common stock underlying the Inducement Warrants and PA Warrants could materially and adversely affect the market price of our common stock.</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Effects of the Proposal</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our stockholders do not approve this Proposal 2, the limitation on the investor exercising the Inducement Warrants and PA Warrant will remain in effect and neither we, nor the investor as holder of the Inducement Warrants will be entitled to exercise the Inducement Warrants or PA Warrants for shares of our common stock. Your approval of this Proposal 2 will assist us in meeting our obligations under the Inducement Letter. In addition, our ability to access the capital contemplated by the Inducement Letter is important to support our liquidity and fund our operations. The inability of the investor to exercise the Inducement Warrants or PA Warrants could further jeopardize our future financing prospects because prospective purchasers of securities may consider our stockholders as unsupportive of financings approved by our Board.</w:t>
      </w:r>
    </w:p>
    <w:p>
      <w:pPr>
        <w:spacing w:after="0" w:line="84"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If our stockholders do not approve this Proposal 2 at the Special Meeting, pursuant to the Inducement Letter, we are required to call a meeting every ninety (90) days thereafter to seek stockholder approval until the earlier of the date on which stockholder approval is obtained or the Inducement Warrants are no longer outstanding. Failure to receive approval of this Proposal 2 at the Special Meeting will therefore increase our general and administrative expenses, funds that we believe would be better spent pursuing our business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This summary is intended to provide you with basic information concerning the inducement transaction and the Inducement Warrants. For a more complete description of the Inducement Letter and Inducement Warrant, please see the Current Report on Form 8-K filed on June 2, 2026 and the exhibits filed therewith.</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IN FAVOR OF PROPOSAL 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 March 31, 2026, the most recent practicable date for computing beneficial ownership, by:</w:t>
      </w:r>
    </w:p>
    <w:p>
      <w:pPr>
        <w:spacing w:after="0" w:line="54"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1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pacing w:after="0" w:line="75" w:lineRule="exact"/>
        <w:rPr>
          <w:sz w:val="20"/>
          <w:szCs w:val="20"/>
          <w:color w:val="auto"/>
        </w:rPr>
      </w:pPr>
    </w:p>
    <w:p>
      <w:pPr>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Applicable percentage ownership is based on 14,344,034 shares of our common stock issued and outstanding as of March 31, 2026.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March 31, 2026. However, we did not deem these shares outstanding for the purpose of computing the percentage ownership of any other person.</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3"/>
                <w:szCs w:val="13"/>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214"/>
        </w:trPr>
        <w:tc>
          <w:tcPr>
            <w:tcW w:w="64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8"/>
                <w:szCs w:val="18"/>
                <w:color w:val="auto"/>
              </w:rPr>
            </w:pPr>
          </w:p>
        </w:tc>
        <w:tc>
          <w:tcPr>
            <w:tcW w:w="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Owning Greater than 5%:</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Entities affiliated with Lotus Capital BVI Limited</w:t>
            </w:r>
            <w:r>
              <w:rPr>
                <w:rFonts w:ascii="Times New Roman" w:cs="Times New Roman" w:eastAsia="Times New Roman" w:hAnsi="Times New Roman"/>
                <w:sz w:val="28"/>
                <w:szCs w:val="28"/>
                <w:color w:val="auto"/>
                <w:vertAlign w:val="superscript"/>
              </w:rPr>
              <w:t>(2)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3,431,425</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23.9%</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Matthew Angel</w:t>
            </w:r>
            <w:r>
              <w:rPr>
                <w:rFonts w:ascii="Times New Roman" w:cs="Times New Roman" w:eastAsia="Times New Roman" w:hAnsi="Times New Roman"/>
                <w:sz w:val="28"/>
                <w:szCs w:val="28"/>
                <w:color w:val="auto"/>
                <w:vertAlign w:val="superscript"/>
              </w:rPr>
              <w:t>(3)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5,068,552</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35.3%</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Stephen Brady</w:t>
            </w:r>
            <w:r>
              <w:rPr>
                <w:rFonts w:ascii="Times New Roman" w:cs="Times New Roman" w:eastAsia="Times New Roman" w:hAnsi="Times New Roman"/>
                <w:sz w:val="28"/>
                <w:szCs w:val="28"/>
                <w:color w:val="auto"/>
                <w:vertAlign w:val="superscript"/>
              </w:rPr>
              <w:t>(4)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174,597</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1.2%</w:t>
            </w:r>
          </w:p>
        </w:tc>
        <w:tc>
          <w:tcPr>
            <w:tcW w:w="0" w:type="dxa"/>
            <w:vAlign w:val="bottom"/>
          </w:tcPr>
          <w:p>
            <w:pPr>
              <w:spacing w:after="0"/>
              <w:rPr>
                <w:sz w:val="1"/>
                <w:szCs w:val="1"/>
                <w:color w:val="auto"/>
              </w:rPr>
            </w:pPr>
          </w:p>
        </w:tc>
      </w:tr>
      <w:tr>
        <w:trPr>
          <w:trHeight w:val="243"/>
        </w:trPr>
        <w:tc>
          <w:tcPr>
            <w:tcW w:w="6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Samuel Whiting</w:t>
            </w:r>
            <w:r>
              <w:rPr>
                <w:rFonts w:ascii="Times New Roman" w:cs="Times New Roman" w:eastAsia="Times New Roman" w:hAnsi="Times New Roman"/>
                <w:sz w:val="28"/>
                <w:szCs w:val="28"/>
                <w:color w:val="auto"/>
                <w:vertAlign w:val="superscript"/>
              </w:rPr>
              <w:t>(5)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Nicholas Maestas</w:t>
            </w:r>
            <w:r>
              <w:rPr>
                <w:rFonts w:ascii="Times New Roman" w:cs="Times New Roman" w:eastAsia="Times New Roman" w:hAnsi="Times New Roman"/>
                <w:sz w:val="28"/>
                <w:szCs w:val="28"/>
                <w:color w:val="auto"/>
                <w:vertAlign w:val="superscript"/>
              </w:rPr>
              <w:t>(6)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Christine Pellizzari</w:t>
            </w:r>
            <w:r>
              <w:rPr>
                <w:rFonts w:ascii="Times New Roman" w:cs="Times New Roman" w:eastAsia="Times New Roman" w:hAnsi="Times New Roman"/>
                <w:sz w:val="28"/>
                <w:szCs w:val="28"/>
                <w:color w:val="auto"/>
                <w:vertAlign w:val="superscript"/>
              </w:rPr>
              <w:t>(7)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Michael Raab</w:t>
            </w:r>
            <w:r>
              <w:rPr>
                <w:rFonts w:ascii="Times New Roman" w:cs="Times New Roman" w:eastAsia="Times New Roman" w:hAnsi="Times New Roman"/>
                <w:sz w:val="28"/>
                <w:szCs w:val="28"/>
                <w:color w:val="auto"/>
                <w:vertAlign w:val="superscript"/>
              </w:rPr>
              <w:t>(8)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Ronit Simantov</w:t>
            </w:r>
            <w:r>
              <w:rPr>
                <w:rFonts w:ascii="Times New Roman" w:cs="Times New Roman" w:eastAsia="Times New Roman" w:hAnsi="Times New Roman"/>
                <w:sz w:val="28"/>
                <w:szCs w:val="28"/>
                <w:color w:val="auto"/>
                <w:vertAlign w:val="superscript"/>
              </w:rPr>
              <w:t>(9)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b w:val="1"/>
                <w:bCs w:val="1"/>
                <w:i w:val="1"/>
                <w:iCs w:val="1"/>
                <w:color w:val="auto"/>
              </w:rPr>
              <w:t>All directors and executive officers as a group (7 persons)</w:t>
            </w:r>
            <w:r>
              <w:rPr>
                <w:rFonts w:ascii="Times New Roman" w:cs="Times New Roman" w:eastAsia="Times New Roman" w:hAnsi="Times New Roman"/>
                <w:sz w:val="26"/>
                <w:szCs w:val="26"/>
                <w:color w:val="auto"/>
                <w:vertAlign w:val="superscript"/>
              </w:rPr>
              <w:t>(10)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5,294,084</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36.3%</w:t>
            </w:r>
          </w:p>
        </w:tc>
        <w:tc>
          <w:tcPr>
            <w:tcW w:w="0" w:type="dxa"/>
            <w:vAlign w:val="bottom"/>
          </w:tcPr>
          <w:p>
            <w:pPr>
              <w:spacing w:after="0"/>
              <w:rPr>
                <w:sz w:val="1"/>
                <w:szCs w:val="1"/>
                <w:color w:val="auto"/>
              </w:rPr>
            </w:pPr>
          </w:p>
        </w:tc>
      </w:tr>
      <w:tr>
        <w:trPr>
          <w:trHeight w:val="54"/>
        </w:trPr>
        <w:tc>
          <w:tcPr>
            <w:tcW w:w="64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42" w:lineRule="exact"/>
        <w:rPr>
          <w:sz w:val="20"/>
          <w:szCs w:val="20"/>
          <w:color w:val="auto"/>
        </w:rPr>
      </w:pPr>
    </w:p>
    <w:p>
      <w:pPr>
        <w:ind w:left="640" w:right="659" w:hanging="348"/>
        <w:spacing w:after="0" w:line="26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each director and executive officer is c/o Tempest Therapeutics, Inc., 2000 Sierra Point Parkway, Suite 400, Brisbane, California, 94005.</w:t>
      </w:r>
    </w:p>
    <w:p>
      <w:pPr>
        <w:ind w:left="640" w:right="819" w:hanging="348"/>
        <w:spacing w:after="0" w:line="26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are held by Erigen LLC. Lotus Capital BVI Limited is the beneficial owner of such shares. The address of Lotus Capital BVI Limited is Mandar House, 3rd Floor Johnson’s Ghut, Tortola VG1110 British Virgin Islands.</w:t>
      </w:r>
    </w:p>
    <w:p>
      <w:pPr>
        <w:ind w:left="640" w:right="419" w:hanging="348"/>
        <w:spacing w:after="0" w:line="24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4,837,070 shares of common stock held by Dr. Angel and 231,482 shares of common stock held by Factor. Dr. Angel is the majority stockholder and Chairman of the Board of Directors of Factor and exercises voting and investment power over the shares held by Factor Bioscience Inc. The address of Factor Bioscience Inc. is 1035 Cambridge St Ste 17B, Cambridge MA 02141.</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3,613 shares of common stock and (ii) 170,984 shares of common stock subject to options that are exercisable within 60 days of March 31, 2026.</w:t>
      </w: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71,666 shares of common stock subject to options that are exercisable within 60 days of March 31, 2026.</w:t>
      </w:r>
    </w:p>
    <w:p>
      <w:pPr>
        <w:spacing w:after="0" w:line="41" w:lineRule="exact"/>
        <w:rPr>
          <w:rFonts w:ascii="Times New Roman" w:cs="Times New Roman" w:eastAsia="Times New Roman" w:hAnsi="Times New Roman"/>
          <w:sz w:val="14"/>
          <w:szCs w:val="14"/>
          <w:color w:val="auto"/>
        </w:rPr>
      </w:pPr>
    </w:p>
    <w:p>
      <w:pPr>
        <w:ind w:left="640" w:right="339" w:hanging="348"/>
        <w:spacing w:after="0" w:line="26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590 shares of common stock and (ii) 36,333 shares of common stock subject to options that are exercisable within 60 days of March 31, 2026.</w:t>
      </w: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3,869 shares of common stock subject to options that are exercisable within 60 days of March 31,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2,639 shares of common stock subject to options that are exercisable within 60 days of March 31,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3,869 shares of common stock subject to options that are exercisable within 60 days of March 31, 2026.</w:t>
      </w:r>
    </w:p>
    <w:p>
      <w:pPr>
        <w:spacing w:after="0" w:line="41" w:lineRule="exact"/>
        <w:rPr>
          <w:rFonts w:ascii="Times New Roman" w:cs="Times New Roman" w:eastAsia="Times New Roman" w:hAnsi="Times New Roman"/>
          <w:sz w:val="14"/>
          <w:szCs w:val="14"/>
          <w:color w:val="auto"/>
        </w:rPr>
      </w:pPr>
    </w:p>
    <w:p>
      <w:pPr>
        <w:ind w:left="640" w:right="539" w:hanging="348"/>
        <w:spacing w:after="0" w:line="26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5,072,755 shares of common stock and (ii) 221,329 shares of common stock subject to options that are exercisable within 60 days of March 31, 2026.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360" w:lineRule="exact"/>
        <w:rPr>
          <w:sz w:val="20"/>
          <w:szCs w:val="20"/>
          <w:color w:val="auto"/>
        </w:rPr>
      </w:pPr>
    </w:p>
    <w:p>
      <w:pPr>
        <w:ind w:left="300" w:right="3039"/>
        <w:spacing w:after="0" w:line="416" w:lineRule="auto"/>
        <w:rPr>
          <w:sz w:val="20"/>
          <w:szCs w:val="20"/>
          <w:color w:val="auto"/>
        </w:rPr>
      </w:pPr>
      <w:r>
        <w:rPr>
          <w:rFonts w:ascii="Times New Roman" w:cs="Times New Roman" w:eastAsia="Times New Roman" w:hAnsi="Times New Roman"/>
          <w:sz w:val="17"/>
          <w:szCs w:val="17"/>
          <w:b w:val="1"/>
          <w:bCs w:val="1"/>
          <w:color w:val="auto"/>
        </w:rPr>
        <w:t xml:space="preserve">Stockholder Proposals for the 2026 Special Meeting of Stockholders </w:t>
      </w:r>
      <w:r>
        <w:rPr>
          <w:rFonts w:ascii="Times New Roman" w:cs="Times New Roman" w:eastAsia="Times New Roman" w:hAnsi="Times New Roman"/>
          <w:sz w:val="17"/>
          <w:szCs w:val="17"/>
          <w:i w:val="1"/>
          <w:iCs w:val="1"/>
          <w:color w:val="auto"/>
        </w:rPr>
        <w:t>Requirements for stockholder proposals to be brought before a special meeting</w:t>
      </w:r>
    </w:p>
    <w:p>
      <w:pPr>
        <w:spacing w:after="0" w:line="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Our Bylaws provide that, for stockholder director nominations or other proposals to be considered at an annual meeting, the stockholder must give timely notice thereof in writing to our Corporate Secretary at</w:t>
      </w:r>
    </w:p>
    <w:p>
      <w:pPr>
        <w:ind w:left="300" w:right="399"/>
        <w:spacing w:after="0" w:line="265" w:lineRule="auto"/>
        <w:rPr>
          <w:sz w:val="20"/>
          <w:szCs w:val="20"/>
          <w:color w:val="auto"/>
        </w:rPr>
      </w:pPr>
      <w:r>
        <w:rPr>
          <w:rFonts w:ascii="Times New Roman" w:cs="Times New Roman" w:eastAsia="Times New Roman" w:hAnsi="Times New Roman"/>
          <w:sz w:val="17"/>
          <w:szCs w:val="17"/>
          <w:color w:val="auto"/>
        </w:rPr>
        <w:t xml:space="preserve">Tempest Therapeutics, Inc., 2000 Sierra Point Parkway, Suite 400, Brisbane, California, 94005. To be timely for the 2026 Annual Meeting of Stockholders, a stockholder’s notice must be delivered to or mailed and received by our Secretary at our principal executive offices between September 29, 2026 and October 29, 2026;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date of that annual meeting of stockholders is advanced by more than 20 days or delayed by more than</w:t>
      </w:r>
    </w:p>
    <w:p>
      <w:pPr>
        <w:spacing w:after="0" w:line="1" w:lineRule="exact"/>
        <w:rPr>
          <w:sz w:val="20"/>
          <w:szCs w:val="20"/>
          <w:color w:val="auto"/>
        </w:rPr>
      </w:pPr>
    </w:p>
    <w:p>
      <w:pPr>
        <w:ind w:left="300" w:right="339"/>
        <w:spacing w:after="0" w:line="271" w:lineRule="auto"/>
        <w:rPr>
          <w:sz w:val="20"/>
          <w:szCs w:val="20"/>
          <w:color w:val="auto"/>
        </w:rPr>
      </w:pPr>
      <w:r>
        <w:rPr>
          <w:rFonts w:ascii="Times New Roman" w:cs="Times New Roman" w:eastAsia="Times New Roman" w:hAnsi="Times New Roman"/>
          <w:sz w:val="17"/>
          <w:szCs w:val="17"/>
          <w:color w:val="auto"/>
        </w:rPr>
        <w:t>60 days from the anniversary of the preceding year’s annual meeting, you must give the required notice not earlier than the 120th day prior to the meeting date and not later than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 including your name and address and the class and number of shares of our stock that you beneficially own.</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our proxy materials.</w:t>
      </w:r>
    </w:p>
    <w:p>
      <w:pPr>
        <w:spacing w:after="0" w:line="119"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Stockholder proposals submitted pursuant to Rule 14a-8 under the Exchange Act, and intended to be presented at the 2026 Annual Meeting of Stockholders must be received by us not later than September 8, 2026 in order to be considered for inclusion in our proxy materials for that meeting. However, if the 2026 Annual Meeting of Stockholders is advanced by more than 30 days prior to or delayed by more than 30 days after January 27, 2027, then the deadline will be a reasonable time prior to the time we begin to print and send our proxy materials. In addition, stockholders who intend to solicit proxies in support of director nominees other than our nominees must also comply with the additional requirements of Rule 14a-19 under the Exchange Act.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the delivery requirements for proxy statement materials with respect to two or more stockholders sharing the same address by delivering a single set of these materials addressed to those stockholders. This process, which is commonly referred to as “householding,” potentially means extra convenience for stockholders and cost savings for companies.</w:t>
      </w:r>
    </w:p>
    <w:p>
      <w:pPr>
        <w:spacing w:after="0" w:line="56"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For this meeting, a number of brokers with account holders who are our stockholders will be “householding” the Company’s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or us. Direct your written request to Tempest Therapeutics, Inc., Attention: Corporate Secretary, 2000 Sierra Point Parkway, Suite 400, Brisbane, CA 94005. Stockholders who currently receive multiple copies of the Special Meeting materials at their addresses and would like to request “householding” of their communications should contact their brokers.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Special Meeting. If any other matters are properly brought before the meeting, it is the intention of the persons named in the accompanying proxy to vote on such matters in accordance with their best judgment.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Justin Trojanowski</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Justin Trojanowski</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June 8, 2026</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93345</wp:posOffset>
            </wp:positionV>
            <wp:extent cx="6574790" cy="8512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74790" cy="85121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93345</wp:posOffset>
            </wp:positionV>
            <wp:extent cx="6574790" cy="8512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74790" cy="85121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2026-06-08T15:10:09Z</dcterms:created>
  <dcterms:modified xsi:type="dcterms:W3CDTF">2026-06-08T15:10:09Z</dcterms:modified>
</cp:coreProperties>
</file>