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0870d10ka.htm"/>
      <w:bookmarkStart w:id="1" w:name="ksd920870d10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10-K/A</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December 31, 2024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001-35890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3935"/>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45-1472564</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2000 Sierra Point Parkway, Suite 400</w:t>
            </w:r>
          </w:p>
          <w:p>
            <w:pPr>
              <w:pStyle w:val="TableContents"/>
              <w:bidi w:val="0"/>
              <w:spacing w:before="0" w:after="20"/>
              <w:jc w:val="center"/>
              <w:rPr>
                <w:rFonts w:ascii="Times New Roman" w:hAnsi="Times New Roman"/>
                <w:b/>
                <w:sz w:val="20"/>
              </w:rPr>
            </w:pPr>
            <w:r>
              <w:rPr>
                <w:rFonts w:ascii="Times New Roman" w:hAnsi="Times New Roman"/>
                <w:b/>
                <w:sz w:val="20"/>
              </w:rPr>
              <w:t>Brisbane, California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94005</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(415)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798-8589</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9930" w:type="dxa"/>
        <w:jc w:val="left"/>
        <w:tblInd w:w="0" w:type="dxa"/>
        <w:tblLayout w:type="fixed"/>
        <w:tblCellMar>
          <w:top w:w="0" w:type="dxa"/>
          <w:left w:w="0" w:type="dxa"/>
          <w:bottom w:w="0" w:type="dxa"/>
          <w:right w:w="0" w:type="dxa"/>
        </w:tblCellMar>
      </w:tblPr>
      <w:tblGrid>
        <w:gridCol w:w="5765"/>
        <w:gridCol w:w="60"/>
        <w:gridCol w:w="740"/>
        <w:gridCol w:w="60"/>
        <w:gridCol w:w="3305"/>
      </w:tblGrid>
      <w:tr>
        <w:trPr/>
        <w:tc>
          <w:tcPr>
            <w:tcW w:w="5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57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3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765" w:type="dxa"/>
            <w:tcBorders/>
            <w:vAlign w:val="center"/>
          </w:tcPr>
          <w:p>
            <w:pPr>
              <w:pStyle w:val="TableContents"/>
              <w:bidi w:val="0"/>
              <w:spacing w:before="0" w:after="0"/>
              <w:jc w:val="center"/>
              <w:rPr>
                <w:b/>
                <w:spacing w:val="0"/>
              </w:rPr>
            </w:pPr>
            <w:r>
              <w:rPr>
                <w:b/>
                <w:spacing w:val="0"/>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TPST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b/>
                <w:spacing w:val="0"/>
              </w:rPr>
            </w:pPr>
            <w:r>
              <w:rPr>
                <w:b/>
                <w:spacing w:val="0"/>
              </w:rPr>
              <w:t>The Nasdaq Stock Market LLC</w:t>
            </w:r>
          </w:p>
        </w:tc>
      </w:tr>
      <w:tr>
        <w:trPr/>
        <w:tc>
          <w:tcPr>
            <w:tcW w:w="5765" w:type="dxa"/>
            <w:tcBorders/>
            <w:vAlign w:val="center"/>
          </w:tcPr>
          <w:p>
            <w:pPr>
              <w:pStyle w:val="TableContents"/>
              <w:bidi w:val="0"/>
              <w:spacing w:before="0" w:after="0"/>
              <w:jc w:val="center"/>
              <w:rPr>
                <w:b/>
              </w:rPr>
            </w:pPr>
            <w:r>
              <w:rPr>
                <w:b/>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rPr>
            </w:pPr>
            <w:r>
              <w:rPr>
                <w:b/>
              </w:rPr>
              <w:t>N/A</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b/>
              </w:rPr>
            </w:pPr>
            <w:r>
              <w:rPr>
                <w:b/>
              </w:rPr>
              <w:t>The Nasdaq Stock Market LLC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12(g) of the Act: 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not required to file reports pursuant to Section 13 or 15(d) of the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 232.405 of this chapter) during the preceding 12 months (or for such shorter period that the </w:t>
      </w:r>
    </w:p>
    <w:p>
      <w:pPr>
        <w:pStyle w:val="TextBody"/>
        <w:bidi w:val="0"/>
        <w:spacing w:before="240" w:after="0"/>
        <w:jc w:val="left"/>
        <w:rPr>
          <w:rFonts w:ascii="Times New Roman" w:hAnsi="Times New Roman"/>
          <w:sz w:val="20"/>
        </w:rPr>
      </w:pPr>
      <w:r>
        <w:rPr>
          <w:rFonts w:ascii="Times New Roman" w:hAnsi="Times New Roman"/>
          <w:sz w:val="20"/>
        </w:rPr>
        <w:t xml:space="preserve">registrant </w:t>
      </w:r>
    </w:p>
    <w:p>
      <w:pPr>
        <w:pStyle w:val="TextBody"/>
        <w:bidi w:val="0"/>
        <w:spacing w:before="240" w:after="0"/>
        <w:jc w:val="left"/>
        <w:rPr>
          <w:rFonts w:ascii="Times New Roman" w:hAnsi="Times New Roman"/>
          <w:sz w:val="20"/>
        </w:rPr>
      </w:pPr>
      <w:r>
        <w:rPr>
          <w:rFonts w:ascii="Times New Roman" w:hAnsi="Times New Roman"/>
          <w:sz w:val="20"/>
        </w:rPr>
        <w:t xml:space="preserve">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0"/>
        <w:jc w:val="left"/>
        <w:rPr/>
      </w:pPr>
      <w:r>
        <w:rPr/>
        <w:t>☐</w:t>
      </w:r>
    </w:p>
    <w:p>
      <w:pPr>
        <w:pStyle w:val="TextBody"/>
        <w:bidi w:val="0"/>
        <w:spacing w:before="240" w:after="0"/>
        <w:jc w:val="left"/>
        <w:rPr>
          <w:rFonts w:ascii="Times New Roman" w:hAnsi="Times New Roman"/>
          <w:sz w:val="20"/>
        </w:rPr>
      </w:pPr>
      <w:r>
        <w:rPr>
          <w:rFonts w:ascii="Times New Roman" w:hAnsi="Times New Roman"/>
          <w:sz w:val="20"/>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240.10D-1(b). ☐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Act). Yes ☐ No ☒ </w:t>
      </w:r>
    </w:p>
    <w:p>
      <w:pPr>
        <w:pStyle w:val="TextBody"/>
        <w:bidi w:val="0"/>
        <w:spacing w:before="240" w:after="0"/>
        <w:jc w:val="left"/>
        <w:rPr>
          <w:rFonts w:ascii="Times New Roman" w:hAnsi="Times New Roman"/>
          <w:sz w:val="20"/>
        </w:rPr>
      </w:pPr>
      <w:r>
        <w:rPr>
          <w:rFonts w:ascii="Times New Roman" w:hAnsi="Times New Roman"/>
          <w:sz w:val="20"/>
        </w:rPr>
        <w:t xml:space="preserve">The aggregate market value of the voting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non-voting</w:t>
      </w:r>
    </w:p>
    <w:p>
      <w:pPr>
        <w:pStyle w:val="TextBody"/>
        <w:bidi w:val="0"/>
        <w:spacing w:before="240" w:after="0"/>
        <w:jc w:val="left"/>
        <w:rPr>
          <w:rFonts w:ascii="Times New Roman" w:hAnsi="Times New Roman"/>
          <w:sz w:val="20"/>
        </w:rPr>
      </w:pPr>
      <w:r>
        <w:rPr>
          <w:rFonts w:ascii="Times New Roman" w:hAnsi="Times New Roman"/>
          <w:sz w:val="20"/>
        </w:rPr>
        <w:t xml:space="preserve">common equity of the registrant held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non-affiliates</w:t>
      </w:r>
    </w:p>
    <w:p>
      <w:pPr>
        <w:pStyle w:val="TextBody"/>
        <w:bidi w:val="0"/>
        <w:spacing w:before="240" w:after="0"/>
        <w:jc w:val="left"/>
        <w:rPr>
          <w:rFonts w:ascii="Times New Roman" w:hAnsi="Times New Roman"/>
          <w:sz w:val="20"/>
        </w:rPr>
      </w:pPr>
      <w:r>
        <w:rPr>
          <w:rFonts w:ascii="Times New Roman" w:hAnsi="Times New Roman"/>
          <w:sz w:val="20"/>
        </w:rPr>
        <w:t xml:space="preserve">as of June 28, 2024 (the last business day of the registrant’s most recently completed second fiscal quarter), based on a closing price of $28.47 per share (on a reverse split basis) of the registrant’s common stock as reported on The Nasdaq Stock Market LLC on June 28, 2024, was approximately $53.6 million. For purposes of this computation, all officers, directors, and stockholders that the registrant has concluded are affiliates of the registrant are deemed to be affiliates. This calculation does not reflect a determination that certain holders are affiliates of the Registrant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As of April 25, 2025, the registrant had 3,655,015 shares of common stock, $0.001 par value per share, outstanding. </w:t>
      </w:r>
    </w:p>
    <w:p>
      <w:pPr>
        <w:pStyle w:val="TextBody"/>
        <w:bidi w:val="0"/>
        <w:spacing w:before="240" w:after="0"/>
        <w:jc w:val="center"/>
        <w:rPr>
          <w:rFonts w:ascii="Times New Roman" w:hAnsi="Times New Roman"/>
          <w:b/>
          <w:sz w:val="20"/>
        </w:rPr>
      </w:pPr>
      <w:r>
        <w:rPr>
          <w:rFonts w:ascii="Times New Roman" w:hAnsi="Times New Roman"/>
          <w:b/>
          <w:sz w:val="20"/>
        </w:rPr>
        <w:t xml:space="preserve">DOCUMENTS INCORPORATED BY REFERENCE </w:t>
      </w:r>
    </w:p>
    <w:p>
      <w:pPr>
        <w:pStyle w:val="TextBody"/>
        <w:bidi w:val="0"/>
        <w:spacing w:before="240" w:after="0"/>
        <w:jc w:val="center"/>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8940" w:type="dxa"/>
        <w:jc w:val="left"/>
        <w:tblInd w:w="0" w:type="dxa"/>
        <w:tblLayout w:type="fixed"/>
        <w:tblCellMar>
          <w:top w:w="0" w:type="dxa"/>
          <w:left w:w="0" w:type="dxa"/>
          <w:bottom w:w="0" w:type="dxa"/>
          <w:right w:w="0" w:type="dxa"/>
        </w:tblCellMar>
      </w:tblPr>
      <w:tblGrid>
        <w:gridCol w:w="3470"/>
        <w:gridCol w:w="120"/>
        <w:gridCol w:w="3275"/>
        <w:gridCol w:w="120"/>
        <w:gridCol w:w="1955"/>
      </w:tblGrid>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283"/>
              <w:jc w:val="left"/>
              <w:rPr/>
            </w:pPr>
            <w:r>
              <w:rPr/>
              <w:t>Auditor Name: Ernst &amp; Young LLP</w:t>
            </w:r>
          </w:p>
        </w:tc>
        <w:tc>
          <w:tcPr>
            <w:tcW w:w="1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Auditor Location Chicago, Illinois</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Auditor Firm ID: 42</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(the “Company”) is filing this Amendment No. 1 to its Annual Report on Form 10-K (“Amendment”), originally filed with the Securities and Exchange Commission (the “SEC”) on March 27, 2025 (the “Initial Filing”), to (i) include the information required by Items 10 through 14 of Part III of Form 10-K and (ii) amend Item 15 of Part IV of the Initial Filing to update the exhibit list. We are filing this Amendment to include Part III information in our Form 10-K because the Company’s definitive proxy statement will not be filed within 120 days after the end of the fiscal year covered by the Company’s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In addition, Item 15 of the Initial Filing has also been amended to reflect the filing of the new certifications of its principal executive officer and principal financial officer pursuant to Section 302 of the Sarbanes-Oxley Act of 2002. Since no new financial statements have been included in this Amendment and this Amendment does not contain or amend any disclosure with respect to Items 307 and 308 of Regulation S-K, paragraphs 3, 4, and 5 of the certifications have been omitted. Because no financial statements are contained within this Amendment, the Company is not including certifications 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Except as contained herein, this Amendment does not modify or update disclosures contained in the Initial Filing. This Amendment should be read in conjunction with the Company’s other filings made with the SEC subsequent to the date of the Initial Filing.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NOTE REGARDING THE 2025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April 2025, following stockholder approval, we effected a one-for-thirteen reverse stock split (“Reverse Stock Split”) of our issued and outstanding common stock. The Reverse Stock Split took effect on April 8, 2025, and our shares began trading on a post-split basis on April 9, 2025. Accordingly, all share and per share amounts for all periods presented in this Amendment have been retroactively adjusted to reflect the Reverse Stock Split. In addition, all equity awards outstanding immediately prior to the Reverse Stock Split were proportionally adjusted.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0"/>
        <w:gridCol w:w="60"/>
        <w:gridCol w:w="8744"/>
        <w:gridCol w:w="120"/>
        <w:gridCol w:w="96"/>
        <w:gridCol w:w="419"/>
        <w:gridCol w:w="76"/>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6" w:type="dxa"/>
            <w:tcBorders/>
            <w:vAlign w:val="center"/>
          </w:tcPr>
          <w:p>
            <w:pPr>
              <w:pStyle w:val="TableContents"/>
              <w:bidi w:val="0"/>
              <w:spacing w:before="0" w:after="283"/>
              <w:jc w:val="left"/>
              <w:rPr/>
            </w:pPr>
            <w:r>
              <w:rPr/>
              <w:t> </w:t>
            </w:r>
          </w:p>
        </w:tc>
      </w:tr>
      <w:tr>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vAlign w:val="center"/>
          </w:tcPr>
          <w:p>
            <w:pPr>
              <w:pStyle w:val="TableContents"/>
              <w:bidi w:val="0"/>
              <w:spacing w:before="0" w:after="0"/>
              <w:jc w:val="left"/>
              <w:rPr/>
            </w:pPr>
            <w:hyperlink w:anchor="txb920870_1">
              <w:r>
                <w:rPr>
                  <w:rStyle w:val="InternetLink"/>
                  <w:rFonts w:ascii="Times New Roman" w:hAnsi="Times New Roman"/>
                  <w:b/>
                  <w:sz w:val="20"/>
                </w:rPr>
                <w:t xml:space="preserve">PART III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b/>
              </w:rPr>
            </w:pPr>
            <w:r>
              <w:rPr>
                <w:b/>
              </w:rPr>
              <w:t>4</w:t>
            </w:r>
          </w:p>
        </w:tc>
        <w:tc>
          <w:tcPr>
            <w:tcW w:w="76"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10.</w:t>
            </w:r>
          </w:p>
        </w:tc>
        <w:tc>
          <w:tcPr>
            <w:tcW w:w="6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hyperlink w:anchor="txb920870_2">
              <w:r>
                <w:rPr>
                  <w:rStyle w:val="InternetLink"/>
                </w:rPr>
                <w:t>Directors, Executive Officers and Corporate Governance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6"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11.</w:t>
            </w:r>
          </w:p>
        </w:tc>
        <w:tc>
          <w:tcPr>
            <w:tcW w:w="6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hyperlink w:anchor="txb920870_3">
              <w:r>
                <w:rPr>
                  <w:rStyle w:val="InternetLink"/>
                </w:rPr>
                <w:t>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w:t>
            </w:r>
          </w:p>
        </w:tc>
        <w:tc>
          <w:tcPr>
            <w:tcW w:w="76"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12.</w:t>
            </w:r>
          </w:p>
        </w:tc>
        <w:tc>
          <w:tcPr>
            <w:tcW w:w="6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hyperlink w:anchor="txb920870_4">
              <w:r>
                <w:rPr>
                  <w:rStyle w:val="InternetLink"/>
                </w:rPr>
                <w:t>Security Ownership of Certain Beneficial Owners and Management and Related Stockholder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6"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13.</w:t>
            </w:r>
          </w:p>
        </w:tc>
        <w:tc>
          <w:tcPr>
            <w:tcW w:w="6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hyperlink w:anchor="txb920870_5">
              <w:r>
                <w:rPr>
                  <w:rStyle w:val="InternetLink"/>
                </w:rPr>
                <w:t>Certain Relationships and Related Transactions, and Director Independence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6"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14.</w:t>
            </w:r>
          </w:p>
        </w:tc>
        <w:tc>
          <w:tcPr>
            <w:tcW w:w="6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hyperlink w:anchor="txb920870_6">
              <w:r>
                <w:rPr>
                  <w:rStyle w:val="InternetLink"/>
                </w:rPr>
                <w:t>Principal Accountant Fees and Services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6" w:type="dxa"/>
            <w:tcBorders/>
            <w:vAlign w:val="center"/>
          </w:tcPr>
          <w:p>
            <w:pPr>
              <w:pStyle w:val="TableContents"/>
              <w:bidi w:val="0"/>
              <w:spacing w:before="0" w:after="283"/>
              <w:jc w:val="left"/>
              <w:rPr/>
            </w:pPr>
            <w:r>
              <w:rPr/>
              <w:t> </w:t>
            </w:r>
          </w:p>
        </w:tc>
      </w:tr>
      <w:tr>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vAlign w:val="center"/>
          </w:tcPr>
          <w:p>
            <w:pPr>
              <w:pStyle w:val="TableContents"/>
              <w:bidi w:val="0"/>
              <w:spacing w:before="0" w:after="0"/>
              <w:jc w:val="left"/>
              <w:rPr/>
            </w:pPr>
            <w:hyperlink w:anchor="txb920870_7">
              <w:r>
                <w:rPr>
                  <w:rStyle w:val="InternetLink"/>
                  <w:rFonts w:ascii="Times New Roman" w:hAnsi="Times New Roman"/>
                  <w:b/>
                  <w:sz w:val="20"/>
                </w:rPr>
                <w:t xml:space="preserve">PART IV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b/>
              </w:rPr>
            </w:pPr>
            <w:r>
              <w:rPr>
                <w:b/>
              </w:rPr>
              <w:t>16</w:t>
            </w:r>
          </w:p>
        </w:tc>
        <w:tc>
          <w:tcPr>
            <w:tcW w:w="76"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15.</w:t>
            </w:r>
          </w:p>
        </w:tc>
        <w:tc>
          <w:tcPr>
            <w:tcW w:w="6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hyperlink w:anchor="txb920870_8">
              <w:r>
                <w:rPr>
                  <w:rStyle w:val="InternetLink"/>
                </w:rPr>
                <w:t xml:space="preserve">Exhibit and Financial Statement Schedules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6" w:type="dxa"/>
            <w:tcBorders/>
            <w:vAlign w:val="center"/>
          </w:tcPr>
          <w:p>
            <w:pPr>
              <w:pStyle w:val="TableContents"/>
              <w:bidi w:val="0"/>
              <w:spacing w:before="0" w:after="283"/>
              <w:jc w:val="left"/>
              <w:rPr/>
            </w:pPr>
            <w:r>
              <w:rPr/>
              <w:t> </w:t>
            </w:r>
          </w:p>
        </w:tc>
      </w:tr>
      <w:tr>
        <w:trPr/>
        <w:tc>
          <w:tcPr>
            <w:tcW w:w="9494" w:type="dxa"/>
            <w:gridSpan w:val="3"/>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9494" w:type="dxa"/>
            <w:gridSpan w:val="3"/>
            <w:tcBorders/>
            <w:vAlign w:val="center"/>
          </w:tcPr>
          <w:p>
            <w:pPr>
              <w:pStyle w:val="TableContents"/>
              <w:bidi w:val="0"/>
              <w:spacing w:before="0" w:after="0"/>
              <w:jc w:val="left"/>
              <w:rPr/>
            </w:pPr>
            <w:hyperlink w:anchor="txb920870_9">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 w:name="txb920870_1"/>
      <w:bookmarkEnd w:id="3"/>
      <w:r>
        <w:rPr>
          <w:rFonts w:ascii="Times New Roman" w:hAnsi="Times New Roman"/>
          <w:b/>
          <w:sz w:val="20"/>
        </w:rPr>
        <w:t xml:space="preserve">PART III </w:t>
      </w:r>
    </w:p>
    <w:p>
      <w:pPr>
        <w:pStyle w:val="TextBody"/>
        <w:bidi w:val="0"/>
        <w:spacing w:before="240" w:after="0"/>
        <w:jc w:val="left"/>
        <w:rPr>
          <w:rFonts w:ascii="Times New Roman" w:hAnsi="Times New Roman"/>
          <w:b/>
          <w:sz w:val="20"/>
        </w:rPr>
      </w:pPr>
      <w:bookmarkStart w:id="4" w:name="txb920870_2"/>
      <w:bookmarkEnd w:id="4"/>
      <w:r>
        <w:rPr>
          <w:rFonts w:ascii="Times New Roman" w:hAnsi="Times New Roman"/>
          <w:b/>
          <w:sz w:val="20"/>
        </w:rPr>
        <w:t xml:space="preserve">ITEM 10. DIRECTORS, EXECUTIVE OFFICERS AND CORPORATE GOVERNANCE. </w:t>
      </w:r>
    </w:p>
    <w:p>
      <w:pPr>
        <w:pStyle w:val="TextBody"/>
        <w:bidi w:val="0"/>
        <w:spacing w:before="120" w:after="0"/>
        <w:jc w:val="left"/>
        <w:rPr>
          <w:rFonts w:ascii="Times New Roman" w:hAnsi="Times New Roman"/>
          <w:b/>
          <w:sz w:val="20"/>
        </w:rPr>
      </w:pPr>
      <w:r>
        <w:rPr>
          <w:rFonts w:ascii="Times New Roman" w:hAnsi="Times New Roman"/>
          <w:b/>
          <w:sz w:val="20"/>
        </w:rPr>
        <w:t>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each member of our Board of Directors (the “Board”), including their ages as of March 31, 2025. There are no family relationships among any of our directors. </w:t>
      </w:r>
    </w:p>
    <w:p>
      <w:pPr>
        <w:pStyle w:val="TextBody"/>
        <w:bidi w:val="0"/>
        <w:spacing w:before="0" w:after="0"/>
        <w:jc w:val="left"/>
        <w:rPr/>
      </w:pPr>
      <w:r>
        <w:rPr/>
        <w:t> </w:t>
      </w:r>
    </w:p>
    <w:tbl>
      <w:tblPr>
        <w:tblW w:w="7700" w:type="dxa"/>
        <w:jc w:val="left"/>
        <w:tblInd w:w="0" w:type="dxa"/>
        <w:tblLayout w:type="fixed"/>
        <w:tblCellMar>
          <w:top w:w="0" w:type="dxa"/>
          <w:left w:w="0" w:type="dxa"/>
          <w:bottom w:w="0" w:type="dxa"/>
          <w:right w:w="0" w:type="dxa"/>
        </w:tblCellMar>
      </w:tblPr>
      <w:tblGrid>
        <w:gridCol w:w="1595"/>
        <w:gridCol w:w="120"/>
        <w:gridCol w:w="425"/>
        <w:gridCol w:w="120"/>
        <w:gridCol w:w="3830"/>
        <w:gridCol w:w="120"/>
        <w:gridCol w:w="1490"/>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38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Director Since</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Brady</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55</w:t>
            </w:r>
          </w:p>
        </w:tc>
        <w:tc>
          <w:tcPr>
            <w:tcW w:w="120" w:type="dxa"/>
            <w:tcBorders/>
            <w:shd w:fill="CCEEFF" w:val="clear"/>
            <w:vAlign w:val="center"/>
          </w:tcPr>
          <w:p>
            <w:pPr>
              <w:pStyle w:val="TableContents"/>
              <w:bidi w:val="0"/>
              <w:spacing w:before="0" w:after="283"/>
              <w:jc w:val="left"/>
              <w:rPr/>
            </w:pPr>
            <w:r>
              <w:rPr/>
              <w:t>  </w:t>
            </w:r>
          </w:p>
        </w:tc>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2021</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Geoff Nichol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70</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2019</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Christine Pellizzari</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57</w:t>
            </w:r>
          </w:p>
        </w:tc>
        <w:tc>
          <w:tcPr>
            <w:tcW w:w="120" w:type="dxa"/>
            <w:tcBorders/>
            <w:shd w:fill="CCEEFF" w:val="clear"/>
            <w:vAlign w:val="center"/>
          </w:tcPr>
          <w:p>
            <w:pPr>
              <w:pStyle w:val="TableContents"/>
              <w:bidi w:val="0"/>
              <w:spacing w:before="0" w:after="283"/>
              <w:jc w:val="left"/>
              <w:rPr/>
            </w:pPr>
            <w:r>
              <w:rPr/>
              <w:t>  </w:t>
            </w:r>
          </w:p>
        </w:tc>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2021</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Ronit Simantov</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2021</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Raab</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60</w:t>
            </w:r>
          </w:p>
        </w:tc>
        <w:tc>
          <w:tcPr>
            <w:tcW w:w="120" w:type="dxa"/>
            <w:tcBorders/>
            <w:shd w:fill="CCEEFF" w:val="clear"/>
            <w:vAlign w:val="center"/>
          </w:tcPr>
          <w:p>
            <w:pPr>
              <w:pStyle w:val="TableContents"/>
              <w:bidi w:val="0"/>
              <w:spacing w:before="0" w:after="283"/>
              <w:jc w:val="left"/>
              <w:rPr/>
            </w:pPr>
            <w:r>
              <w:rPr/>
              <w:t>  </w:t>
            </w:r>
          </w:p>
        </w:tc>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Chairman of the Board</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2021</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Stephen Brady </w:t>
      </w:r>
    </w:p>
    <w:p>
      <w:pPr>
        <w:pStyle w:val="TextBody"/>
        <w:bidi w:val="0"/>
        <w:spacing w:before="120" w:after="0"/>
        <w:jc w:val="left"/>
        <w:rPr>
          <w:rFonts w:ascii="Times New Roman" w:hAnsi="Times New Roman"/>
          <w:sz w:val="20"/>
        </w:rPr>
      </w:pPr>
      <w:r>
        <w:rPr>
          <w:rFonts w:ascii="Times New Roman" w:hAnsi="Times New Roman"/>
          <w:sz w:val="20"/>
        </w:rPr>
        <w:t xml:space="preserve">Stephen Brady has served as our Chief Executive Officer and as a member of our Board since June 2021 and as our President since September 2023. Mr. Brady also served as President and Chief Operating Officer of our legacy company from September 2019 until June 2021. Previously, from September 2013 until April 2019, Mr. Brady served in various leadership positions, most recently as Executive Vice President, Strategy and Finance, at Immune Design, Inc., a biopharmaceutical company that was acquired by Merck in 2019. At Immune Design, Mr. Brady led the general and administrative functions at the company, including strategy, corporate development, finance and investor and public relations. Prior to Immune Design, he held roles of increasing responsibility in multiple biopharmaceutical companies, including as Vice President of Corporate Development at Proteolix, where he had primary responsibility for the company’s business development activities and sale to Onyx Pharmaceuticals. Mr. Brady served as a member of the board of directors of Atreca, Inc. from July 2021 to May 2024, and has served as a member of the board of the Biotechnology Innovation Organization (BIO), Emerging Companies Section Governing Board, since 2022. Mr. Brady received a B.A. in English from the University of Oregon, a J.D. from the University of the Pacific and an LL.M. from New York University School of Law. Mr. Brady’s role as our Chief Executive Officer, his business expertise and his prior leadership roles in biotechnology companies provides him with the qualifications and skills to serve as a member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Geoff Nichol, M.B., Ch.B., M.B.A. </w:t>
      </w:r>
    </w:p>
    <w:p>
      <w:pPr>
        <w:pStyle w:val="TextBody"/>
        <w:bidi w:val="0"/>
        <w:spacing w:before="120" w:after="0"/>
        <w:jc w:val="left"/>
        <w:rPr>
          <w:rFonts w:ascii="Times New Roman" w:hAnsi="Times New Roman"/>
          <w:sz w:val="20"/>
        </w:rPr>
      </w:pPr>
      <w:r>
        <w:rPr>
          <w:rFonts w:ascii="Times New Roman" w:hAnsi="Times New Roman"/>
          <w:sz w:val="20"/>
        </w:rPr>
        <w:t xml:space="preserve">Geoff Nichol has served as a member of our Board since June 2021, and served as a member of the board of our legacy company December 2019 until June 2021. Dr. Nichol has nearly 30 years’ experience in drug development. Dr. Nichol has served as SVP, Development at AbCellera Biologics, a monoclonal antibody discovery and development company since May 2023. From November 2016 to October 2021, Mr. Nichol served as Chief Medical Officer at BioMarin Pharmaceutical Inc., where he managed an active portfolio of clinical development programs. In October 2021, Dr. Nichol transitioned into a Senior Advisor role until his retirement from Biomarin in April 2023. Prior to Biomarin, Dr. Nichol was Executive Vice President, Research and Development at Sangamo BioSciences from July 2011 to November 2016, where he managed the preclinical development of several IND candidates and Senior Vice President of Development at Medarex, where he was responsible for a portfolio of clinical development programs. Prior to joining Medarex, Dr. Nichol was Vice President at Novartis, where he managed a clinical development therapeutic area, United States Medical Affairs, and Global Project and Portfolio Management. Before Novartis, Dr. Nichol held various positions up to Group Medical Director, Clinical Development at SmithKline Beecham, where he was responsible for anti-infective development and medical affairs. Dr. Nichol received a B.Med.Sc., M.B., Ch.B., or the equivalent of an M.D. in the United States, from Otago University Medical School in New Zealand and an M.B.A. from Warwick University in the United Kingdom. Mr. Nichol’s financial and business expertise, including his background as an executive officer of pharmaceutical and biotechnology companies, provides him with the qualifications and skills to serve as a member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Christine Pellizzari </w:t>
      </w:r>
    </w:p>
    <w:p>
      <w:pPr>
        <w:pStyle w:val="TextBody"/>
        <w:bidi w:val="0"/>
        <w:spacing w:before="120" w:after="0"/>
        <w:jc w:val="left"/>
        <w:rPr>
          <w:rFonts w:ascii="Times New Roman" w:hAnsi="Times New Roman"/>
          <w:sz w:val="20"/>
        </w:rPr>
      </w:pPr>
      <w:r>
        <w:rPr>
          <w:rFonts w:ascii="Times New Roman" w:hAnsi="Times New Roman"/>
          <w:sz w:val="20"/>
        </w:rPr>
        <w:t xml:space="preserve">Christine Pellizzari has served as a member of our Board since July 2021. Ms. Pellizzari has served as the Principal of CAP Strategic Advisory Services since May 2024, and previously served as the Chief Legal and Human Resources Officer of Science 37 Holdings, Inc. (Science 37) from July 2021 to May 2024. Ms. Pellizzari has served as a director and member of audit committee of Imunon, Inc. (formerly Celsion Corporation) since June 2021 and a director and member of the audit and compensation committees of Neurosense Therapeutics Ltd. since December 2021. Ms. Pellizzari served as Chief Legal Officer of Insmed, Inc. from 2018 to 2021 and prior to that as the General Counsel and Corporate Secretary from 2013 to 2018. Prior to joining Insmed,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Ms. Pellizzari held various legal positions of increasing responsibility at Aegerion Pharmaceuticals, Inc., most recently as Executive Vice President, General Counsel and Secretary. Prior to Aegerion, Ms. Pellizzari served as Senior Vice President, General Counsel and Secretary of Dendrite International, Inc. Ms. Pellizzari joined Dendrite from the law firm of Wilentz, Goldman &amp; Spitzer where she specialized in health care transactions and related regulatory matters. She previously served as law clerk to the Honorable Reginald Stanton, Assignment Judge for the Superior Court of New Jersey. Ms. Pellizzari received her B.A. from the University of Massachusetts, Amherst and her J.D. from the University of Colorado, Boulder. Ms. Pellizzari’s legal, financial and business expertise in the biotechnology industry, including her experience in the capital markets and financial and legal compliance, qualifies her to serve as a member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Ronit Simantov, M.D. </w:t>
      </w:r>
    </w:p>
    <w:p>
      <w:pPr>
        <w:pStyle w:val="TextBody"/>
        <w:bidi w:val="0"/>
        <w:spacing w:before="120" w:after="0"/>
        <w:jc w:val="left"/>
        <w:rPr>
          <w:rFonts w:ascii="Times New Roman" w:hAnsi="Times New Roman"/>
          <w:sz w:val="20"/>
        </w:rPr>
      </w:pPr>
      <w:r>
        <w:rPr>
          <w:rFonts w:ascii="Times New Roman" w:hAnsi="Times New Roman"/>
          <w:sz w:val="20"/>
        </w:rPr>
        <w:t xml:space="preserve">Ronit Simantov, M.D. has served as member of our Board since August 2021. Dr. Simantov has served as Chief Medical Officer of Gamida Cell Ltd. since July 2017 and as the Chief Scientific Officer since July 2021. From July 2021 to July 2023, Dr. Simantov served as a member of the board of directors of Clovis Oncology, Inc. Prior to joining Gamida Cell, Dr. Simantov served as Vice President, Oncology Global Medical Affairs at Pfizer Inc., where she was responsible for multiple oncology programs in various roles. Prior to Pfizer, Dr. Simantov served as Vice President of Clinical Research at OSI Pharmaceuticals, as Chief Medical Officer at CuraGen Corporation (acquired by Celldex) where she led development of small molecules and antibody-drug conjugates, and at Bayer HealthCare Pharmaceuticals, where she led the Phase 3 study of Nexavar® (sorafenib) resulting in the first approval of a tyrosine kinase inhibitor in renal cell carcinoma. Prior to joining industry, Dr. Simantov spent seven years on the academic faculty at Weill Medical College of Cornell University, where she directed the fellowship program and conducted angiogenesis and vascular biology research. She has authored over 40 peer-reviewed manuscripts. Dr. Simantov holds an M.D. from New York University School of Medicine and a B.A. from Johns Hopkins University. She completed a residency in internal medicine at New York Hospital Cornell Medical Center, and a fellowship in hematology and oncology at Weill Cornell Medicine. Dr. Simantov’s extensive clinical and scientific experience provides her with the qualifications and skills to serve as a member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Michael Raab </w:t>
      </w:r>
    </w:p>
    <w:p>
      <w:pPr>
        <w:pStyle w:val="TextBody"/>
        <w:bidi w:val="0"/>
        <w:spacing w:before="120" w:after="0"/>
        <w:jc w:val="left"/>
        <w:rPr>
          <w:rFonts w:ascii="Times New Roman" w:hAnsi="Times New Roman"/>
          <w:sz w:val="20"/>
        </w:rPr>
      </w:pPr>
      <w:r>
        <w:rPr>
          <w:rFonts w:ascii="Times New Roman" w:hAnsi="Times New Roman"/>
          <w:sz w:val="20"/>
        </w:rPr>
        <w:t xml:space="preserve">Michael Raab has served as a member and as Chairman of our Board since June 2021, and served as a member and Chairman of the board of directors of our legacy company from December 2018 until June 2021. Mr. Raab has served as Ardelyx Inc.’s President and Chief Executive Officer since March 2009 and as a member of the board of directors since 2008. Before Ardelyx, Mr. Raab was a partner at New Enterprise Associates (“NEA”), where he focused on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has been the lead independent director of Amicus Therapeutics, Inc. since 2004. Mr. Raab received his B.A. from DePauw University. Mr. Raab’s industry and investment experience qualifies him to serve as a member of our Board. </w:t>
      </w:r>
    </w:p>
    <w:p>
      <w:pPr>
        <w:pStyle w:val="TextBody"/>
        <w:bidi w:val="0"/>
        <w:spacing w:before="36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XECUTIVE</w:t>
      </w:r>
      <w:r>
        <w:rPr>
          <w:rFonts w:ascii="Times New Roman" w:hAnsi="Times New Roman"/>
          <w:b/>
          <w:sz w:val="20"/>
        </w:rPr>
        <w:t xml:space="preserve"> O</w:t>
      </w:r>
      <w:r>
        <w:rPr>
          <w:rFonts w:ascii="Times New Roman" w:hAnsi="Times New Roman"/>
          <w:b/>
          <w:sz w:val="20"/>
          <w:u w:val="single"/>
        </w:rPr>
        <w:t>FFICERS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our executive officers who are not listed above as a member of our board of directors, including their ages as of March 31, 2025. There are no family relationships among any of our executive officers. </w:t>
      </w:r>
    </w:p>
    <w:p>
      <w:pPr>
        <w:pStyle w:val="TextBody"/>
        <w:bidi w:val="0"/>
        <w:spacing w:before="0" w:after="0"/>
        <w:jc w:val="left"/>
        <w:rPr/>
      </w:pPr>
      <w:r>
        <w:rPr/>
        <w:t> </w:t>
      </w:r>
    </w:p>
    <w:tbl>
      <w:tblPr>
        <w:tblW w:w="6360" w:type="dxa"/>
        <w:jc w:val="left"/>
        <w:tblInd w:w="0" w:type="dxa"/>
        <w:tblLayout w:type="fixed"/>
        <w:tblCellMar>
          <w:top w:w="0" w:type="dxa"/>
          <w:left w:w="0" w:type="dxa"/>
          <w:bottom w:w="0" w:type="dxa"/>
          <w:right w:w="0" w:type="dxa"/>
        </w:tblCellMar>
      </w:tblPr>
      <w:tblGrid>
        <w:gridCol w:w="1460"/>
        <w:gridCol w:w="120"/>
        <w:gridCol w:w="425"/>
        <w:gridCol w:w="120"/>
        <w:gridCol w:w="423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4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Brady</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55</w:t>
            </w:r>
          </w:p>
        </w:tc>
        <w:tc>
          <w:tcPr>
            <w:tcW w:w="120" w:type="dxa"/>
            <w:tcBorders/>
            <w:shd w:fill="CCEEFF" w:val="clear"/>
            <w:vAlign w:val="center"/>
          </w:tcPr>
          <w:p>
            <w:pPr>
              <w:pStyle w:val="TableContents"/>
              <w:bidi w:val="0"/>
              <w:spacing w:before="0" w:after="283"/>
              <w:jc w:val="left"/>
              <w:rPr/>
            </w:pPr>
            <w:r>
              <w:rPr/>
              <w:t>  </w:t>
            </w:r>
          </w:p>
        </w:tc>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w:t>
            </w:r>
          </w:p>
        </w:tc>
      </w:tr>
      <w:tr>
        <w:trPr/>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Samuel Whiting</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59</w:t>
            </w:r>
          </w:p>
        </w:tc>
        <w:tc>
          <w:tcPr>
            <w:tcW w:w="12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Medical Officer</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Nicholas Maestas</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45</w:t>
            </w:r>
          </w:p>
        </w:tc>
        <w:tc>
          <w:tcPr>
            <w:tcW w:w="120" w:type="dxa"/>
            <w:tcBorders/>
            <w:shd w:fill="CCEEFF" w:val="clear"/>
            <w:vAlign w:val="center"/>
          </w:tcPr>
          <w:p>
            <w:pPr>
              <w:pStyle w:val="TableContents"/>
              <w:bidi w:val="0"/>
              <w:spacing w:before="0" w:after="283"/>
              <w:jc w:val="left"/>
              <w:rPr/>
            </w:pPr>
            <w:r>
              <w:rPr/>
              <w:t>  </w:t>
            </w:r>
          </w:p>
        </w:tc>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 and Corporate Secretary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Samuel Whiting, M.D., Ph.D. </w:t>
      </w:r>
    </w:p>
    <w:p>
      <w:pPr>
        <w:pStyle w:val="TextBody"/>
        <w:bidi w:val="0"/>
        <w:spacing w:before="120" w:after="0"/>
        <w:jc w:val="left"/>
        <w:rPr>
          <w:rFonts w:ascii="Times New Roman" w:hAnsi="Times New Roman"/>
          <w:sz w:val="20"/>
        </w:rPr>
      </w:pPr>
      <w:r>
        <w:rPr>
          <w:rFonts w:ascii="Times New Roman" w:hAnsi="Times New Roman"/>
          <w:sz w:val="20"/>
        </w:rPr>
        <w:t>Dr. Whiting has served as our Executive Vice President and Chief Medical Officer since November 2020. Prior to joining us, Dr. Whiting served as Senior Vice President of Clinical Development at Calithera Biosciences, a clinical-stage biotech company focused on developing treatments for cancer and other life-threatening diseases, from January 2019 to November 2020, and as Vice President, Clinical Development, from May 2016 to December 2018. Before Calithera, Dr. Whiting served as Vice President of Research and Clinical Development at Gradalis and worked in development of small molecule targeted and immuno-</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oncology agents at VentiRx Pharmaceuticals and Oncothyreon. Prior to joining industry, Dr. Whiting served as Assistant Professor of Medical Oncology at the University of Washington, Assistant Member of Clinical Research at the Fred Hutchinson Cancer Research Center, and Clinical Head of Gastrointestinal Oncology at the Seattle Cancer Care Alliance. Dr. Whiting completed fellowship training in medical oncology at the Fred Hutchinson Cancer Research Center. His training in internal medicine was through the ABIM Research Pathway at the University of Washington. Dr. Whiting received his B.S. with Honors in Chemistry from Lewis and Clark College and his M.D. and Ph.D. in the Medical Scientist Training Program at the University of Washington. </w:t>
      </w:r>
    </w:p>
    <w:p>
      <w:pPr>
        <w:pStyle w:val="TextBody"/>
        <w:bidi w:val="0"/>
        <w:spacing w:before="360" w:after="0"/>
        <w:jc w:val="left"/>
        <w:rPr>
          <w:rFonts w:ascii="Times New Roman" w:hAnsi="Times New Roman"/>
          <w:b/>
          <w:sz w:val="20"/>
        </w:rPr>
      </w:pPr>
      <w:r>
        <w:rPr>
          <w:rFonts w:ascii="Times New Roman" w:hAnsi="Times New Roman"/>
          <w:b/>
          <w:sz w:val="20"/>
        </w:rPr>
        <w:t xml:space="preserve">Nicholas Maestas </w:t>
      </w:r>
    </w:p>
    <w:p>
      <w:pPr>
        <w:pStyle w:val="TextBody"/>
        <w:bidi w:val="0"/>
        <w:spacing w:before="120" w:after="0"/>
        <w:jc w:val="left"/>
        <w:rPr>
          <w:rFonts w:ascii="Times New Roman" w:hAnsi="Times New Roman"/>
          <w:sz w:val="20"/>
        </w:rPr>
      </w:pPr>
      <w:r>
        <w:rPr>
          <w:rFonts w:ascii="Times New Roman" w:hAnsi="Times New Roman"/>
          <w:sz w:val="20"/>
        </w:rPr>
        <w:t xml:space="preserve">Mr. Maestas has served as our Chief Financial Officer and Head of Corporate Strategy since January 2025, having previously served as Vice President, Finance and Strategy from July 2021 through December 2024, and has served as our Corporate Secretary since September 2022. Prior to joining us, Mr. Maestas served as the head of FP&amp;A and strategic finance at Alector, a biopharmaceutical company that develops therapies for the treatment of neurodegeneration diseases, from July 2019 to July 2021. Prior to joining Alector, from November 2014 to July 2019, Mr. Maestas served in a variety of roles at Immune Design, an oncology immunotherapy company that was acquired by Merck &amp; Co in 2019, including as Senior Director, Corporate Development &amp; Operations from January to July 2019 and Director, Corporate Development &amp; Operations from January 2017 to December 2018. Mr. Maestas received a B.A. in Molecular and Cell Biology from the University of California, Berkeley and an M.B.A from The Wharton School, University of Pennsylvania. </w:t>
      </w:r>
    </w:p>
    <w:p>
      <w:pPr>
        <w:pStyle w:val="TextBody"/>
        <w:bidi w:val="0"/>
        <w:spacing w:before="36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ORPORATE</w:t>
      </w:r>
      <w:r>
        <w:rPr>
          <w:rFonts w:ascii="Times New Roman" w:hAnsi="Times New Roman"/>
          <w:b/>
          <w:sz w:val="20"/>
        </w:rPr>
        <w:t xml:space="preserve"> G</w:t>
      </w:r>
      <w:r>
        <w:rPr>
          <w:rFonts w:ascii="Times New Roman" w:hAnsi="Times New Roman"/>
          <w:b/>
          <w:sz w:val="20"/>
          <w:u w:val="single"/>
        </w:rPr>
        <w:t>OVERNANCE</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 separately designated Audit Committee (the “Audit Committee”) established in accordance with Section 3(a)(58)(A) of the Exchange Act to oversee the Company’s corporate accounting and financial reporting processes and audits of its financial statements. Geoff Nichol, Christine Pellizzari and Michael Raab, served as members of the Audit Committee during 2024 with Ms. Pellizzari serving as Chair. The Board determined that each member of the Audit Committee satisfies the independence requirements under Nasdaq listing standards and Rule 10A-3(b)(1) of the Exchange Act. Our Board has determined that Ms. Pellizzari is an “audit committee financial expert” within the meaning of SEC regulations. Each member of the Audit Committee can read and understand fundamental financial statements in accordance with applicable requirements. In arriving at these determinations, our Board has examined each Audit Committee member’s scope of experience and the nature of their employment.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Audit Committee is to discharge the responsibilities of the Board with respect to the corporate accounting and financial reporting processes, systems of internal control and financial statement audits, and to oversee the independent registered public accounting firm.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Code of Business Conduct that applies to all officers, directors and employees. If we ever were to amend or waive any provision of our Code of Conduct that applies to our principal executive officer, principal financial officer, principal accounting officer or any person performing similar functions, we intend to promptly disclose on our website (i) the date and nature of any amendment (other than technical, administrative or other non-substantive amendments) to the Code of Conduct that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www.tempesttx.com. The reference to our website address does not constitute incorporation by reference of the information contained at or available through our website, and you should not consider it to be a part of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an insider trading policy governing the purchase, sale, and/or other dispositions of the Company’s securities by directors, officers, employees and designated consultants that is designed to promote compliance with insider trading laws, rules and regulations, as well as procedures designed to further the foregoing purposes. A copy of our insider trading policy is filed as an exhibit to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our fiscal year ended December 31, 2024, originally filed with the SEC on March 27, 2025.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11. EXECUTIVE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for each of the last two completed fiscal years regarding compensation awarded to or earned by our Chief Executive Officer and the two other most highly compensated executive officers (the “Named Executive Officers”) during the fiscal years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0"/>
        <w:gridCol w:w="120"/>
        <w:gridCol w:w="60"/>
        <w:gridCol w:w="500"/>
        <w:gridCol w:w="60"/>
        <w:gridCol w:w="120"/>
        <w:gridCol w:w="60"/>
        <w:gridCol w:w="800"/>
        <w:gridCol w:w="60"/>
        <w:gridCol w:w="120"/>
        <w:gridCol w:w="60"/>
        <w:gridCol w:w="980"/>
        <w:gridCol w:w="60"/>
        <w:gridCol w:w="120"/>
        <w:gridCol w:w="103"/>
        <w:gridCol w:w="1387"/>
        <w:gridCol w:w="60"/>
        <w:gridCol w:w="120"/>
        <w:gridCol w:w="120"/>
        <w:gridCol w:w="1370"/>
        <w:gridCol w:w="60"/>
        <w:gridCol w:w="120"/>
        <w:gridCol w:w="60"/>
        <w:gridCol w:w="980"/>
        <w:gridCol w:w="75"/>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Salary</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r>
          </w:p>
          <w:p>
            <w:pPr>
              <w:pStyle w:val="TableContents"/>
              <w:bidi w:val="0"/>
              <w:spacing w:before="0" w:after="0"/>
              <w:jc w:val="center"/>
              <w:rPr/>
            </w:pPr>
            <w:r>
              <w:rPr/>
            </w:r>
          </w:p>
          <w:p>
            <w:pPr>
              <w:pStyle w:val="TableContents"/>
              <w:bidi w:val="0"/>
              <w:spacing w:before="0" w:after="0"/>
              <w:jc w:val="center"/>
              <w:rPr>
                <w:b/>
                <w:spacing w:val="0"/>
              </w:rPr>
            </w:pPr>
            <w:r>
              <w:rPr>
                <w:b/>
                <w:spacing w:val="0"/>
              </w:rPr>
              <w:t>Awards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p>
            <w:pPr>
              <w:pStyle w:val="TableContents"/>
              <w:bidi w:val="0"/>
              <w:spacing w:before="0" w:after="0"/>
              <w:jc w:val="center"/>
              <w:rPr>
                <w:b/>
                <w:spacing w:val="0"/>
                <w:sz w:val="9"/>
              </w:rPr>
            </w:pPr>
            <w:r>
              <w:rPr>
                <w:b/>
                <w:spacing w:val="0"/>
                <w:sz w:val="9"/>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Non-Equity</w:t>
            </w:r>
          </w:p>
          <w:p>
            <w:pPr>
              <w:pStyle w:val="TableContents"/>
              <w:bidi w:val="0"/>
              <w:spacing w:before="0" w:after="0"/>
              <w:jc w:val="center"/>
              <w:rPr/>
            </w:pPr>
            <w:r>
              <w:rPr/>
            </w:r>
          </w:p>
          <w:p>
            <w:pPr>
              <w:pStyle w:val="TableContents"/>
              <w:bidi w:val="0"/>
              <w:spacing w:before="0" w:after="0"/>
              <w:jc w:val="center"/>
              <w:rPr>
                <w:b/>
                <w:spacing w:val="0"/>
              </w:rPr>
            </w:pPr>
            <w:r>
              <w:rPr>
                <w:b/>
                <w:spacing w:val="0"/>
              </w:rPr>
              <w:t>Incentive Plan</w:t>
            </w:r>
          </w:p>
          <w:p>
            <w:pPr>
              <w:pStyle w:val="TableContents"/>
              <w:bidi w:val="0"/>
              <w:spacing w:before="0" w:after="0"/>
              <w:jc w:val="center"/>
              <w:rPr/>
            </w:pPr>
            <w:r>
              <w:rPr/>
            </w:r>
          </w:p>
          <w:p>
            <w:pPr>
              <w:pStyle w:val="TableContents"/>
              <w:bidi w:val="0"/>
              <w:spacing w:before="0" w:after="0"/>
              <w:jc w:val="center"/>
              <w:rPr>
                <w:b/>
                <w:spacing w:val="0"/>
              </w:rPr>
            </w:pPr>
            <w:r>
              <w:rPr>
                <w:b/>
                <w:spacing w:val="0"/>
              </w:rPr>
              <w:t>Compensation</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p>
            <w:pPr>
              <w:pStyle w:val="TableContents"/>
              <w:bidi w:val="0"/>
              <w:spacing w:before="0" w:after="0"/>
              <w:jc w:val="center"/>
              <w:rPr>
                <w:b/>
                <w:spacing w:val="0"/>
                <w:sz w:val="9"/>
              </w:rPr>
            </w:pPr>
            <w:r>
              <w:rPr>
                <w:b/>
                <w:spacing w:val="0"/>
                <w:sz w:val="9"/>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All 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Compensation</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p>
            <w:pPr>
              <w:pStyle w:val="TableContents"/>
              <w:bidi w:val="0"/>
              <w:spacing w:before="0" w:after="0"/>
              <w:jc w:val="center"/>
              <w:rPr>
                <w:b/>
                <w:spacing w:val="0"/>
                <w:sz w:val="9"/>
              </w:rPr>
            </w:pPr>
            <w:r>
              <w:rPr>
                <w:b/>
                <w:spacing w:val="0"/>
                <w:sz w:val="9"/>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Brady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977,999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280,500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1,872,299</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Chief Executive Officer and President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6,084,172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343,035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7,007,407</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Samuel Whiting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481,749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391,200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175,838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1,062,587</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Chief Medical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454,480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2,717,298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199,971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3,384,949</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Nicholas Maestas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365,547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100,068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622,095</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Chief Financial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853,609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113,355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1,319,038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reflect the aggregate grant date fair value of the option awards granted to our Named Executive Officers during the relevant fiscal years under our equity incentive plans, computed in accordance with Financial Accounting Standards Board Accounting Standards Codification Topic 718 (“</w:t>
            </w:r>
          </w:p>
          <w:p>
            <w:pPr>
              <w:pStyle w:val="TableContents"/>
              <w:bidi w:val="0"/>
              <w:spacing w:before="0" w:after="0"/>
              <w:jc w:val="left"/>
              <w:rPr>
                <w:rFonts w:ascii="Times New Roman" w:hAnsi="Times New Roman"/>
                <w:b/>
                <w:i/>
                <w:spacing w:val="0"/>
                <w:sz w:val="20"/>
              </w:rPr>
            </w:pPr>
            <w:r>
              <w:rPr>
                <w:rFonts w:ascii="Times New Roman" w:hAnsi="Times New Roman"/>
                <w:b/>
                <w:i/>
                <w:spacing w:val="0"/>
                <w:sz w:val="20"/>
              </w:rPr>
              <w:t>ASC 718</w:t>
            </w:r>
          </w:p>
          <w:p>
            <w:pPr>
              <w:pStyle w:val="TableContents"/>
              <w:bidi w:val="0"/>
              <w:spacing w:before="0" w:after="0"/>
              <w:jc w:val="left"/>
              <w:rPr/>
            </w:pPr>
            <w:r>
              <w:rPr/>
              <w:t>”</w:t>
            </w:r>
            <w:r>
              <w:rPr>
                <w:rFonts w:ascii="Times New Roman" w:hAnsi="Times New Roman"/>
                <w:sz w:val="20"/>
              </w:rPr>
              <w:t xml:space="preserve">). The assumptions used in calculating the grant date fair value of the options are set forth in the notes to our audited consolidated financial statements included in our Annual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for the fiscal year ended December 31, 2024. These amounts do not reflect the actual economic value that may be realized by the Named Executive Officers. </w:t>
            </w:r>
          </w:p>
        </w:tc>
      </w:tr>
    </w:tbl>
    <w:tbl>
      <w:tblPr>
        <w:tblW w:w="9475" w:type="dxa"/>
        <w:jc w:val="left"/>
        <w:tblInd w:w="0" w:type="dxa"/>
        <w:tblLayout w:type="fixed"/>
        <w:tblCellMar>
          <w:top w:w="0" w:type="dxa"/>
          <w:left w:w="0" w:type="dxa"/>
          <w:bottom w:w="0" w:type="dxa"/>
          <w:right w:w="0" w:type="dxa"/>
        </w:tblCellMar>
      </w:tblPr>
      <w:tblGrid>
        <w:gridCol w:w="305"/>
        <w:gridCol w:w="9170"/>
      </w:tblGrid>
      <w:tr>
        <w:trPr/>
        <w:tc>
          <w:tcPr>
            <w:tcW w:w="305" w:type="dxa"/>
            <w:tcBorders/>
            <w:vAlign w:val="center"/>
          </w:tcPr>
          <w:p>
            <w:pPr>
              <w:pStyle w:val="TableContents"/>
              <w:bidi w:val="0"/>
              <w:spacing w:before="0" w:after="283"/>
              <w:jc w:val="left"/>
              <w:rPr/>
            </w:pPr>
            <w:r>
              <w:rPr/>
              <w:t>(2)</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See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Narrative Disclosure to Summary Compensation Table—Equity-Based Incentive Awards</w:t>
            </w:r>
          </w:p>
          <w:p>
            <w:pPr>
              <w:pStyle w:val="TableContents"/>
              <w:bidi w:val="0"/>
              <w:spacing w:before="0" w:after="0"/>
              <w:jc w:val="left"/>
              <w:rPr/>
            </w:pPr>
            <w:r>
              <w:rPr/>
              <w:t xml:space="preserve">” </w:t>
            </w:r>
            <w:r>
              <w:rPr>
                <w:rFonts w:ascii="Times New Roman" w:hAnsi="Times New Roman"/>
                <w:sz w:val="20"/>
              </w:rPr>
              <w:t xml:space="preserve">below for a description of the material terms of the program pursuant to which this compensation was awarded.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amounts reported in this column represent annual performance-based bonuses earned based on the achievement of company and individual performance goals and other factors deemed relevant by our Board and Compensation Committee. For additional information, see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Narrative Disclosure to Summary Compensation Table —Annual Performance-Based Cash Compensation</w:t>
            </w:r>
          </w:p>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Company matching contributions made by us to the Named Executive Officer’s 401(k) plan account.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the Summary Compensation Table </w:t>
      </w:r>
    </w:p>
    <w:p>
      <w:pPr>
        <w:pStyle w:val="TextBody"/>
        <w:bidi w:val="0"/>
        <w:spacing w:before="120" w:after="0"/>
        <w:jc w:val="left"/>
        <w:rPr>
          <w:rFonts w:ascii="Times New Roman" w:hAnsi="Times New Roman"/>
          <w:b/>
          <w:i/>
          <w:spacing w:val="0"/>
          <w:sz w:val="20"/>
        </w:rPr>
      </w:pPr>
      <w:r>
        <w:rPr>
          <w:rFonts w:ascii="Times New Roman" w:hAnsi="Times New Roman"/>
          <w:b/>
          <w:i/>
          <w:spacing w:val="0"/>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None of our Named Executive Officers is currently party to an employment agreement or other agreement or arrangement that provides for automatic or scheduled increases in base salary. See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Employment Arrangements</w:t>
      </w:r>
    </w:p>
    <w:p>
      <w:pPr>
        <w:pStyle w:val="TextBody"/>
        <w:bidi w:val="0"/>
        <w:spacing w:before="120" w:after="0"/>
        <w:jc w:val="left"/>
        <w:rPr/>
      </w:pPr>
      <w:r>
        <w:rPr/>
        <w:t xml:space="preserve">” </w:t>
      </w:r>
      <w:r>
        <w:rPr>
          <w:rFonts w:ascii="Times New Roman" w:hAnsi="Times New Roman"/>
          <w:sz w:val="20"/>
        </w:rPr>
        <w:t xml:space="preserve">for additional information.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Our equity award program is the primary vehicle for offering long-term incentives to our executives. We believe that equity awards provide our executives with a strong link to our long-term performance, create an ownership culture and help to align the interests of our executives and our stockholders. The use of options also can provide tax and other advantages relative to other forms of equity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award equity grants broadly to our employees, including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Grants to our executives, including the Named Executive Officers, and other employees are made at the discretion of the Board and are generally made upon commencement of employment, promotion or annually during the first quarter of each year. We believe that our equity awards are an important retention tool for our Named Executive Officers, as well as for our other employees. </w:t>
      </w:r>
    </w:p>
    <w:p>
      <w:pPr>
        <w:pStyle w:val="TextBody"/>
        <w:bidi w:val="0"/>
        <w:spacing w:before="240" w:after="0"/>
        <w:jc w:val="left"/>
        <w:rPr>
          <w:rFonts w:ascii="Times New Roman" w:hAnsi="Times New Roman"/>
          <w:sz w:val="20"/>
        </w:rPr>
      </w:pPr>
      <w:r>
        <w:rPr>
          <w:rFonts w:ascii="Times New Roman" w:hAnsi="Times New Roman"/>
          <w:sz w:val="20"/>
        </w:rPr>
        <w:t>In connection with our annual grant process, on January 2, 2024, our Compensation Committee approved the grant to each of Mr. Brady, Dr. Whiting and Mr. Maestas of an option to purchase 19,230, 7,691 and 3,076 shares of our common stock, respectively, at an exercise price of $60.58 per share, under our Amended and Restated 2019 Equity Incentive Plan (the “2019 EIP”). Each option vests in equal monthly installments over a four-year period, subject to the executive’s continuous service to us through each vesting date.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Outstanding Equity Awards at Fiscal Year End</w:t>
      </w:r>
    </w:p>
    <w:p>
      <w:pPr>
        <w:pStyle w:val="TextBody"/>
        <w:bidi w:val="0"/>
        <w:spacing w:before="240" w:after="0"/>
        <w:jc w:val="left"/>
        <w:rPr/>
      </w:pPr>
      <w:r>
        <w:rPr/>
        <w:t xml:space="preserve">” </w:t>
      </w:r>
      <w:r>
        <w:rPr>
          <w:rFonts w:ascii="Times New Roman" w:hAnsi="Times New Roman"/>
          <w:sz w:val="20"/>
        </w:rPr>
        <w:t xml:space="preserve">for further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pacing w:val="0"/>
          <w:sz w:val="20"/>
        </w:rPr>
      </w:pPr>
      <w:r>
        <w:rPr>
          <w:rFonts w:ascii="Times New Roman" w:hAnsi="Times New Roman"/>
          <w:b/>
          <w:i/>
          <w:spacing w:val="0"/>
          <w:sz w:val="20"/>
        </w:rPr>
        <w:t xml:space="preserve">Annual Performance-Based 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develop a performance-based bonus program annually. Under the 2024 annual performance-based bonus program, each Named Executive Officer was eligible for an annual performance bonus based on (1) the individual’s target bonus, as a percentage of annual base salary, and (2) the percentage attainment of our 2024 corporate goals established by our Board in its sole discretion and communicated to each officer. </w:t>
      </w:r>
    </w:p>
    <w:p>
      <w:pPr>
        <w:pStyle w:val="TextBody"/>
        <w:bidi w:val="0"/>
        <w:spacing w:before="240" w:after="0"/>
        <w:jc w:val="left"/>
        <w:rPr>
          <w:rFonts w:ascii="Times New Roman" w:hAnsi="Times New Roman"/>
          <w:sz w:val="20"/>
        </w:rPr>
      </w:pPr>
      <w:r>
        <w:rPr>
          <w:rFonts w:ascii="Times New Roman" w:hAnsi="Times New Roman"/>
          <w:sz w:val="20"/>
        </w:rPr>
        <w:t xml:space="preserve">Each Named Executive Officer is assigned a target performance bonus expressed as a percentage of their annual base salary, which for 2024 was 55% for Mr. Brady, 40% for Dr. Whiting and 30% for Mr. Maestas. Mr. Brady’s target cash incentive payment is calculated 100% on fulfilment of corporate objectives, and Dr. Whiting and Mr. Maestas’ target cash incentive payments are calculated 75% on fulfilment of corporate objectives and 25% on fulfillment of individual objectives. For 2024, the Board determined that 85% of the corporate objectives were achieved and 110% of individual objectives for each of Dr. Whiting and Mr. Maestas were achieved. These performance-based bonuses are reflected above in the column of the Summary Compensation Table above entitled </w:t>
      </w:r>
    </w:p>
    <w:p>
      <w:pPr>
        <w:pStyle w:val="TextBody"/>
        <w:bidi w:val="0"/>
        <w:spacing w:before="240" w:after="0"/>
        <w:jc w:val="left"/>
        <w:rPr>
          <w:spacing w:val="0"/>
        </w:rPr>
      </w:pPr>
      <w:r>
        <w:rPr>
          <w:spacing w:val="0"/>
        </w:rPr>
        <w:t>“</w:t>
      </w:r>
      <w:r>
        <w:rPr>
          <w:rFonts w:ascii="Times New Roman" w:hAnsi="Times New Roman"/>
          <w:spacing w:val="0"/>
          <w:sz w:val="20"/>
        </w:rPr>
        <w:t>Non-Equity</w:t>
      </w:r>
    </w:p>
    <w:p>
      <w:pPr>
        <w:pStyle w:val="TextBody"/>
        <w:bidi w:val="0"/>
        <w:spacing w:before="240" w:after="0"/>
        <w:jc w:val="left"/>
        <w:rPr>
          <w:rFonts w:ascii="Times New Roman" w:hAnsi="Times New Roman"/>
          <w:sz w:val="20"/>
        </w:rPr>
      </w:pPr>
      <w:r>
        <w:rPr>
          <w:rFonts w:ascii="Times New Roman" w:hAnsi="Times New Roman"/>
          <w:sz w:val="20"/>
        </w:rPr>
        <w:t xml:space="preserve">Incentive Plan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for the fiscal year ended December 31, 2024, certain information regarding outstanding equity awards for the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36"/>
        <w:gridCol w:w="120"/>
        <w:gridCol w:w="60"/>
        <w:gridCol w:w="810"/>
        <w:gridCol w:w="60"/>
        <w:gridCol w:w="120"/>
        <w:gridCol w:w="178"/>
        <w:gridCol w:w="1492"/>
        <w:gridCol w:w="60"/>
        <w:gridCol w:w="120"/>
        <w:gridCol w:w="60"/>
        <w:gridCol w:w="293"/>
        <w:gridCol w:w="60"/>
        <w:gridCol w:w="120"/>
        <w:gridCol w:w="119"/>
        <w:gridCol w:w="996"/>
        <w:gridCol w:w="60"/>
        <w:gridCol w:w="120"/>
        <w:gridCol w:w="102"/>
        <w:gridCol w:w="1163"/>
        <w:gridCol w:w="60"/>
        <w:gridCol w:w="120"/>
        <w:gridCol w:w="117"/>
        <w:gridCol w:w="1328"/>
        <w:gridCol w:w="60"/>
        <w:gridCol w:w="120"/>
        <w:gridCol w:w="70"/>
        <w:gridCol w:w="805"/>
        <w:gridCol w:w="76"/>
      </w:tblGrid>
      <w:tr>
        <w:trPr/>
        <w:tc>
          <w:tcPr>
            <w:tcW w:w="1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336"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Vesting</w:t>
            </w:r>
          </w:p>
          <w:p>
            <w:pPr>
              <w:pStyle w:val="TableContents"/>
              <w:bidi w:val="0"/>
              <w:spacing w:before="0" w:after="0"/>
              <w:jc w:val="center"/>
              <w:rPr/>
            </w:pPr>
            <w:r>
              <w:rPr/>
            </w:r>
          </w:p>
          <w:p>
            <w:pPr>
              <w:pStyle w:val="TableContents"/>
              <w:bidi w:val="0"/>
              <w:spacing w:before="0" w:after="0"/>
              <w:jc w:val="center"/>
              <w:rPr>
                <w:b/>
                <w:spacing w:val="0"/>
              </w:rPr>
            </w:pPr>
            <w:r>
              <w:rPr>
                <w:b/>
                <w:spacing w:val="0"/>
              </w:rPr>
              <w:t>Commencement</w:t>
            </w:r>
          </w:p>
          <w:p>
            <w:pPr>
              <w:pStyle w:val="TableContents"/>
              <w:bidi w:val="0"/>
              <w:spacing w:before="0" w:after="0"/>
              <w:jc w:val="center"/>
              <w:rPr/>
            </w:pPr>
            <w:r>
              <w:rPr/>
            </w:r>
          </w:p>
          <w:p>
            <w:pPr>
              <w:pStyle w:val="TableContents"/>
              <w:bidi w:val="0"/>
              <w:spacing w:before="0" w:after="0"/>
              <w:jc w:val="center"/>
              <w:rPr>
                <w:b/>
                <w:spacing w:val="0"/>
              </w:rPr>
            </w:pPr>
            <w:r>
              <w:rPr>
                <w:b/>
                <w:spacing w:val="0"/>
              </w:rP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3" w:type="dxa"/>
            <w:gridSpan w:val="2"/>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Securities</w:t>
            </w:r>
          </w:p>
          <w:p>
            <w:pPr>
              <w:pStyle w:val="TableContents"/>
              <w:bidi w:val="0"/>
              <w:spacing w:before="0" w:after="0"/>
              <w:jc w:val="center"/>
              <w:rPr/>
            </w:pPr>
            <w:r>
              <w:rPr/>
            </w:r>
          </w:p>
          <w:p>
            <w:pPr>
              <w:pStyle w:val="TableContents"/>
              <w:bidi w:val="0"/>
              <w:spacing w:before="0" w:after="0"/>
              <w:jc w:val="center"/>
              <w:rPr>
                <w:b/>
                <w:spacing w:val="0"/>
              </w:rPr>
            </w:pPr>
            <w:r>
              <w:rPr>
                <w:b/>
                <w:spacing w:val="0"/>
              </w:rPr>
              <w:t>Underlying</w:t>
            </w:r>
          </w:p>
          <w:p>
            <w:pPr>
              <w:pStyle w:val="TableContents"/>
              <w:bidi w:val="0"/>
              <w:spacing w:before="0" w:after="0"/>
              <w:jc w:val="center"/>
              <w:rPr/>
            </w:pPr>
            <w:r>
              <w:rPr/>
            </w:r>
          </w:p>
          <w:p>
            <w:pPr>
              <w:pStyle w:val="TableContents"/>
              <w:bidi w:val="0"/>
              <w:spacing w:before="0" w:after="0"/>
              <w:jc w:val="center"/>
              <w:rPr>
                <w:b/>
                <w:spacing w:val="0"/>
              </w:rPr>
            </w:pPr>
            <w:r>
              <w:rPr>
                <w:b/>
                <w:spacing w:val="0"/>
              </w:rPr>
              <w:t>Unexercised</w:t>
            </w:r>
          </w:p>
          <w:p>
            <w:pPr>
              <w:pStyle w:val="TableContents"/>
              <w:bidi w:val="0"/>
              <w:spacing w:before="0" w:after="0"/>
              <w:jc w:val="center"/>
              <w:rPr/>
            </w:pPr>
            <w:r>
              <w:rPr/>
            </w:r>
          </w:p>
          <w:p>
            <w:pPr>
              <w:pStyle w:val="TableContents"/>
              <w:bidi w:val="0"/>
              <w:spacing w:before="0" w:after="0"/>
              <w:jc w:val="center"/>
              <w:rPr>
                <w:b/>
                <w:spacing w:val="0"/>
              </w:rPr>
            </w:pPr>
            <w:r>
              <w:rPr>
                <w:b/>
                <w:spacing w:val="0"/>
              </w:rPr>
              <w:t>Options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Securities</w:t>
            </w:r>
          </w:p>
          <w:p>
            <w:pPr>
              <w:pStyle w:val="TableContents"/>
              <w:bidi w:val="0"/>
              <w:spacing w:before="0" w:after="0"/>
              <w:jc w:val="center"/>
              <w:rPr/>
            </w:pPr>
            <w:r>
              <w:rPr/>
            </w:r>
          </w:p>
          <w:p>
            <w:pPr>
              <w:pStyle w:val="TableContents"/>
              <w:bidi w:val="0"/>
              <w:spacing w:before="0" w:after="0"/>
              <w:jc w:val="center"/>
              <w:rPr>
                <w:b/>
                <w:spacing w:val="0"/>
              </w:rPr>
            </w:pPr>
            <w:r>
              <w:rPr>
                <w:b/>
                <w:spacing w:val="0"/>
              </w:rPr>
              <w:t>Underlying</w:t>
            </w:r>
          </w:p>
          <w:p>
            <w:pPr>
              <w:pStyle w:val="TableContents"/>
              <w:bidi w:val="0"/>
              <w:spacing w:before="0" w:after="0"/>
              <w:jc w:val="center"/>
              <w:rPr/>
            </w:pPr>
            <w:r>
              <w:rPr/>
            </w:r>
          </w:p>
          <w:p>
            <w:pPr>
              <w:pStyle w:val="TableContents"/>
              <w:bidi w:val="0"/>
              <w:spacing w:before="0" w:after="0"/>
              <w:jc w:val="center"/>
              <w:rPr>
                <w:b/>
                <w:spacing w:val="0"/>
              </w:rPr>
            </w:pPr>
            <w:r>
              <w:rPr>
                <w:b/>
                <w:spacing w:val="0"/>
              </w:rPr>
              <w:t>Unexercised</w:t>
            </w:r>
          </w:p>
          <w:p>
            <w:pPr>
              <w:pStyle w:val="TableContents"/>
              <w:bidi w:val="0"/>
              <w:spacing w:before="0" w:after="0"/>
              <w:jc w:val="center"/>
              <w:rPr/>
            </w:pPr>
            <w:r>
              <w:rPr/>
            </w:r>
          </w:p>
          <w:p>
            <w:pPr>
              <w:pStyle w:val="TableContents"/>
              <w:bidi w:val="0"/>
              <w:spacing w:before="0" w:after="0"/>
              <w:jc w:val="center"/>
              <w:rPr>
                <w:b/>
                <w:spacing w:val="0"/>
              </w:rPr>
            </w:pPr>
            <w:r>
              <w:rPr>
                <w:b/>
                <w:spacing w:val="0"/>
              </w:rPr>
              <w:t>Options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p>
            <w:pPr>
              <w:pStyle w:val="TableContents"/>
              <w:bidi w:val="0"/>
              <w:spacing w:before="0" w:after="0"/>
              <w:jc w:val="center"/>
              <w:rPr/>
            </w:pPr>
            <w:r>
              <w:rPr/>
            </w:r>
          </w:p>
          <w:p>
            <w:pPr>
              <w:pStyle w:val="TableContents"/>
              <w:bidi w:val="0"/>
              <w:spacing w:before="0" w:after="0"/>
              <w:jc w:val="center"/>
              <w:rPr>
                <w:b/>
                <w:spacing w:val="0"/>
              </w:rPr>
            </w:pPr>
            <w:r>
              <w:rPr>
                <w:b/>
                <w:spacing w:val="0"/>
              </w:rP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w:t>
              <w:br/>
              <w:t>Price</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6" w:type="dxa"/>
            <w:tcBorders/>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Brady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1/3/2024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1/3/2024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1/2/2034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4,411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14,819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121.16</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10/11/23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10/11/23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(2)(3)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10/10/33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16,264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39,504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254.02</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1/3/23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1/3/23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6,537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7,100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31.98</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6/21/22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6/21/22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(2)(3)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8,343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5,004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61.10</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1/4/22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1/4/22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1/3/32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5,306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141.70</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4/29/21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6/25/21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4/28/31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4,927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612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343.20</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3/10/21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3/5/21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3/9/31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133.25</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3/30/20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2/20/20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left"/>
              <w:rPr>
                <w:sz w:val="12"/>
              </w:rPr>
            </w:pPr>
            <w:r>
              <w:rPr>
                <w:sz w:val="12"/>
              </w:rPr>
              <w:t>(3)</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3/29/30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5,404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76.70</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9/16/19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9/9/19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left"/>
              <w:rPr>
                <w:sz w:val="12"/>
              </w:rPr>
            </w:pPr>
            <w:r>
              <w:rPr>
                <w:sz w:val="12"/>
              </w:rPr>
              <w:t>(3)</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9/15/29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64.61</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Samuel Whiting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1/3/2024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1/3/2024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1/2/2034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5,920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121.16</w:t>
            </w:r>
          </w:p>
        </w:tc>
        <w:tc>
          <w:tcPr>
            <w:tcW w:w="76"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10/11/23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10/11/23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right"/>
              <w:rPr>
                <w:sz w:val="12"/>
              </w:rPr>
            </w:pPr>
            <w:r>
              <w:rPr>
                <w:sz w:val="12"/>
              </w:rPr>
              <w:t>(2)(3)</w:t>
            </w:r>
          </w:p>
          <w:p>
            <w:pPr>
              <w:pStyle w:val="TableContents"/>
              <w:bidi w:val="0"/>
              <w:spacing w:before="0" w:after="0"/>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10/10/33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7,290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17,710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254.02</w:t>
            </w:r>
          </w:p>
        </w:tc>
        <w:tc>
          <w:tcPr>
            <w:tcW w:w="76"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1/2/33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2,792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31.98</w:t>
            </w:r>
          </w:p>
        </w:tc>
        <w:tc>
          <w:tcPr>
            <w:tcW w:w="76"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6/21/22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6/21/22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right"/>
              <w:rPr>
                <w:sz w:val="12"/>
              </w:rPr>
            </w:pPr>
            <w:r>
              <w:rPr>
                <w:sz w:val="12"/>
              </w:rPr>
              <w:t>(2)(3)</w:t>
            </w:r>
          </w:p>
          <w:p>
            <w:pPr>
              <w:pStyle w:val="TableContents"/>
              <w:bidi w:val="0"/>
              <w:spacing w:before="0" w:after="0"/>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6/20/32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2,676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1,606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61.10</w:t>
            </w:r>
          </w:p>
        </w:tc>
        <w:tc>
          <w:tcPr>
            <w:tcW w:w="76"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1/4/22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1/4/22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602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141.70</w:t>
            </w:r>
          </w:p>
        </w:tc>
        <w:tc>
          <w:tcPr>
            <w:tcW w:w="76"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4/29/21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6/25/21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4/28/31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1,176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343.20</w:t>
            </w:r>
          </w:p>
        </w:tc>
        <w:tc>
          <w:tcPr>
            <w:tcW w:w="76"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3/10/21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3/5/21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3/9/31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133.25</w:t>
            </w:r>
          </w:p>
        </w:tc>
        <w:tc>
          <w:tcPr>
            <w:tcW w:w="76"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11/16/20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11/16/20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sz w:val="12"/>
              </w:rPr>
            </w:pPr>
            <w:r>
              <w:rPr>
                <w:sz w:val="12"/>
              </w:rPr>
              <w:t xml:space="preserve">(3)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11/15/30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4,765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76.70</w:t>
            </w:r>
          </w:p>
        </w:tc>
        <w:tc>
          <w:tcPr>
            <w:tcW w:w="76" w:type="dxa"/>
            <w:tcBorders/>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Nicholas Maestas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1/3/2024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1/3/2024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1/2/2034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708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2,368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121.16</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10/11/23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10/11/23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(2)(3)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10/10/33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2,247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5,444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254.02</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1/3/23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1/3/23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1,422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1,533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31.98</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6/21/22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6/21/22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(2)(3)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2,466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1,477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61.10</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1/4/22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1/4/22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(1)(3)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1/3/32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141.70</w:t>
            </w:r>
          </w:p>
        </w:tc>
        <w:tc>
          <w:tcPr>
            <w:tcW w:w="76" w:type="dxa"/>
            <w:tcBorders/>
            <w:shd w:fill="CCEE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7/12/21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7/12/21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0"/>
              <w:jc w:val="right"/>
              <w:rPr>
                <w:sz w:val="12"/>
              </w:rPr>
            </w:pPr>
            <w:r>
              <w:rPr>
                <w:sz w:val="12"/>
              </w:rPr>
              <w:t>(2)(3)</w:t>
            </w:r>
          </w:p>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7/11/31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1,527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628.94</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underlying the options vest in a series of 48 equal monthly installments measured from the vesting commencement date, subject to the executive’s continued service.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One-fourth</w:t>
            </w:r>
          </w:p>
          <w:p>
            <w:pPr>
              <w:pStyle w:val="TableContents"/>
              <w:bidi w:val="0"/>
              <w:spacing w:before="0" w:after="0"/>
              <w:jc w:val="left"/>
              <w:rPr>
                <w:rFonts w:ascii="Times New Roman" w:hAnsi="Times New Roman"/>
                <w:sz w:val="20"/>
              </w:rPr>
            </w:pPr>
            <w:r>
              <w:rPr>
                <w:rFonts w:ascii="Times New Roman" w:hAnsi="Times New Roman"/>
                <w:sz w:val="20"/>
              </w:rPr>
              <w:t>(1/4</w:t>
            </w:r>
          </w:p>
          <w:p>
            <w:pPr>
              <w:pStyle w:val="TableContents"/>
              <w:bidi w:val="0"/>
              <w:spacing w:before="0" w:after="0"/>
              <w:jc w:val="left"/>
              <w:rPr>
                <w:rFonts w:ascii="Times New Roman" w:hAnsi="Times New Roman"/>
                <w:sz w:val="12"/>
              </w:rPr>
            </w:pPr>
            <w:r>
              <w:rPr>
                <w:rFonts w:ascii="Times New Roman" w:hAnsi="Times New Roman"/>
                <w:sz w:val="12"/>
              </w:rPr>
              <w:t>th</w:t>
            </w:r>
          </w:p>
          <w:p>
            <w:pPr>
              <w:pStyle w:val="TableContents"/>
              <w:bidi w:val="0"/>
              <w:spacing w:before="0" w:after="0"/>
              <w:jc w:val="left"/>
              <w:rPr>
                <w:rFonts w:ascii="Times New Roman" w:hAnsi="Times New Roman"/>
                <w:sz w:val="20"/>
              </w:rPr>
            </w:pPr>
            <w:r>
              <w:rPr>
                <w:rFonts w:ascii="Times New Roman" w:hAnsi="Times New Roman"/>
                <w:sz w:val="20"/>
              </w:rPr>
              <w:t xml:space="preserve">) of the shares of common stock underlying this option vested on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one-year</w:t>
            </w:r>
          </w:p>
          <w:p>
            <w:pPr>
              <w:pStyle w:val="TableContents"/>
              <w:bidi w:val="0"/>
              <w:spacing w:before="0" w:after="0"/>
              <w:jc w:val="left"/>
              <w:rPr>
                <w:rFonts w:ascii="Times New Roman" w:hAnsi="Times New Roman"/>
                <w:sz w:val="20"/>
              </w:rPr>
            </w:pPr>
            <w:r>
              <w:rPr>
                <w:rFonts w:ascii="Times New Roman" w:hAnsi="Times New Roman"/>
                <w:sz w:val="20"/>
              </w:rPr>
              <w:t xml:space="preserve">anniversary of the Vesting Commencement Date, and the remaining shares vest in a series of 36 equal monthly installments thereafter, subject to the executive’s continued service.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consummate a change in control, then the vesting of all of the shares of common stock subject to this option will be immediately accelerated such that all shares will be deemed fully vested and exercisable as of the date immediately prior to the effective date of the change in control, subject to the Named Executive Officer’s continuous service to us through each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Each of our Named Executive Officers’ employment is “at will” and may be terminated at any time. Below is a description of our employment arrangements with each of our Named Executive Officers.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Stephen Brady </w:t>
      </w:r>
    </w:p>
    <w:p>
      <w:pPr>
        <w:pStyle w:val="TextBody"/>
        <w:bidi w:val="0"/>
        <w:spacing w:before="120" w:after="0"/>
        <w:jc w:val="left"/>
        <w:rPr>
          <w:rFonts w:ascii="Times New Roman" w:hAnsi="Times New Roman"/>
          <w:sz w:val="20"/>
        </w:rPr>
      </w:pPr>
      <w:r>
        <w:rPr>
          <w:rFonts w:ascii="Times New Roman" w:hAnsi="Times New Roman"/>
          <w:sz w:val="20"/>
        </w:rPr>
        <w:t xml:space="preserve">Mr. Brady entered into an employment agreement, dated January 12, 2022 that superseded, amended and restated all prior agreements. Under the terms of the agreement, we agreed to an initial annual base salary, which was increased to $600,000, effective January 1, 2024, and which remains in effect. Mr. Brady is eligible to receive an annual bonus equal to 55% of his base salary, as determined by the Board in its sole discretion, and certain change in control and severance benefits as discussed below in “—Change in Control and Severance Arrangements.”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Sam Whiting </w:t>
      </w:r>
    </w:p>
    <w:p>
      <w:pPr>
        <w:pStyle w:val="TextBody"/>
        <w:bidi w:val="0"/>
        <w:spacing w:before="120" w:after="0"/>
        <w:jc w:val="left"/>
        <w:rPr>
          <w:rFonts w:ascii="Times New Roman" w:hAnsi="Times New Roman"/>
          <w:sz w:val="20"/>
        </w:rPr>
      </w:pPr>
      <w:r>
        <w:rPr>
          <w:rFonts w:ascii="Times New Roman" w:hAnsi="Times New Roman"/>
          <w:sz w:val="20"/>
        </w:rPr>
        <w:t xml:space="preserve">Dr. Whiting entered into an employment agreement, dated January 12, 2022 that superseded, amended and restated all prior agreements. Under the terms of the agreement, we agreed to an initial annual base salary, which was increased to $481,749, effective January 1, 2024, and which remains in effect. Dr. Whiting is eligible to receive an annual bonus equal to 40% of his base salary, as determined by the Board in its sole discretion, and to certain change in control and severance benefits as discussed below in “—Change in Control and Severance Arrangements.”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Nicholas Maestas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Maestas’ promotion to Chief Financial Officer, he entered into an employment agreement, dated January 1, 2025, that superseded, amended and restated all prior agreements. Under the terms of the agreement, we agreed to an initial annual base salary of $425,000. Mr. Maestas is eligible for an annual bonus equal to 40% of his base salary beginning in 2025, as determined by the Board in its sole discretion, and to certain change in control and severance benefits as discussed below in “—Change in Control and Severance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Control and Severance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employment agreements with our Named Executive Officers, if a Named Executive Officer’s employment is terminated by us without Cause or if a Named Executive Officer resigns for Good Reason (each as defined below), they will be entitled to receive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(i) bi-weekly</w:t>
      </w:r>
    </w:p>
    <w:p>
      <w:pPr>
        <w:pStyle w:val="TextBody"/>
        <w:bidi w:val="0"/>
        <w:spacing w:before="120" w:after="0"/>
        <w:jc w:val="left"/>
        <w:rPr>
          <w:rFonts w:ascii="Times New Roman" w:hAnsi="Times New Roman"/>
          <w:sz w:val="20"/>
        </w:rPr>
      </w:pPr>
      <w:r>
        <w:rPr>
          <w:rFonts w:ascii="Times New Roman" w:hAnsi="Times New Roman"/>
          <w:sz w:val="20"/>
        </w:rPr>
        <w:t xml:space="preserve">payments equal to the sum of 12 months of the executive’s base salary for Mr. Brady, 9 months for Dr. Whiting and 9 months for Mr. Maestas, plus a prorated portion of the executive’s target annual bonus for the calendar year in which termination occurs and (ii) if the executive elects to continue health insurance coverage under COBRA, the payment of the monthly premium under COBRA until the earlier of 12 months for Mr. Brady, 9 months for Dr. Whiting and 9 months for Mr. Maestas following termination date or the date on which the executive commences full-time employment or employment that provides eligibility for healthcare benefits substantially comparable to those provided by us. </w:t>
      </w:r>
    </w:p>
    <w:p>
      <w:pPr>
        <w:pStyle w:val="TextBody"/>
        <w:bidi w:val="0"/>
        <w:spacing w:before="240" w:after="0"/>
        <w:jc w:val="left"/>
        <w:rPr>
          <w:rFonts w:ascii="Times New Roman" w:hAnsi="Times New Roman"/>
          <w:sz w:val="20"/>
        </w:rPr>
      </w:pPr>
      <w:r>
        <w:rPr>
          <w:rFonts w:ascii="Times New Roman" w:hAnsi="Times New Roman"/>
          <w:sz w:val="20"/>
        </w:rPr>
        <w:t xml:space="preserve">Moreover, if a Named Executive Officer’s employment is terminated by us without Cause or a Named Executive Officer resigns for Good Reason within three months prior to or 12 months following a Change in Control (as defined below), then in lieu of the severance benefits described above the Named Executive Officer will be entitled to receive (i)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lump-sum</w:t>
      </w:r>
    </w:p>
    <w:p>
      <w:pPr>
        <w:pStyle w:val="TextBody"/>
        <w:bidi w:val="0"/>
        <w:spacing w:before="240" w:after="0"/>
        <w:jc w:val="left"/>
        <w:rPr>
          <w:rFonts w:ascii="Times New Roman" w:hAnsi="Times New Roman"/>
          <w:sz w:val="20"/>
        </w:rPr>
      </w:pPr>
      <w:r>
        <w:rPr>
          <w:rFonts w:ascii="Times New Roman" w:hAnsi="Times New Roman"/>
          <w:sz w:val="20"/>
        </w:rPr>
        <w:t xml:space="preserve">amount equal to the sum of 18 months for Mr. Brady, 12 months for Dr. Whiting and 12 months for Mr. Maestas of the executive’s base salary plus the executive’s annual target bonus at 150% for Mr. Brady, 100% for Dr. Whiting and 100% for Mr. Maestas and (ii) payment of COBRA premiums as described above for up to 18 months for Mr. Brady, 12 months for Dr. Whiting and 12 months for Mr. Maestas.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receipt of any severance benefits is subject to the execution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non-revocation</w:t>
      </w:r>
    </w:p>
    <w:p>
      <w:pPr>
        <w:pStyle w:val="TextBody"/>
        <w:bidi w:val="0"/>
        <w:spacing w:before="240" w:after="0"/>
        <w:jc w:val="left"/>
        <w:rPr>
          <w:rFonts w:ascii="Times New Roman" w:hAnsi="Times New Roman"/>
          <w:sz w:val="20"/>
        </w:rPr>
      </w:pPr>
      <w:r>
        <w:rPr>
          <w:rFonts w:ascii="Times New Roman" w:hAnsi="Times New Roman"/>
          <w:sz w:val="20"/>
        </w:rPr>
        <w:t xml:space="preserve">of a separation agreement containing, among other things a general release of claims in favor of us and our related persons and entities, confidentiality, return of property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non-solicitation</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non-disparagement</w:t>
      </w:r>
    </w:p>
    <w:p>
      <w:pPr>
        <w:pStyle w:val="TextBody"/>
        <w:bidi w:val="0"/>
        <w:spacing w:before="240" w:after="0"/>
        <w:jc w:val="left"/>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Further, if we are subject to a Change in Control prior to the termination of a Named Executive Officer’s service, then 100% of any unvested shares subject to any stock options then held by the Named Executive Officer shall vest and become exercisable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each Named Executive Officer’s employment agreements, each of the following terms has the meaning ascribed to such term in the applicable offer letter agreement but are summarized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Cause” means conduct involving one or more of the following by the Named Executive Officer: (i) (1) with respect to Mr. Brady, his willful and continued failure or refusal to perform material, lawful duties required by him as an employee of the Company and (2) with respect to Dr. Whiting and Mr. Maestas, their failure to perform a substantial portion of their duties and responsibilities in accordance with the terms or requirements of the employment agreement and their position with Company, in each case of (1) and (2), which such failure continues for (or is not permanently cured within), a period of 30 days after written notice is given to the Named Executive Officer by the Company (except in the case of physical or mental illness); (ii) (1) with respect to Mr. Brady, his gross negligence, willful misconduct or international misrepresentation in connection with the performance of his duties and (2) with respect to Dr. Whiting and Mr. Maestas, their disloyalty, gross negligence, willful misconduct or dishonesty that materially injures Tempest or their breach of fiduciary duty to Tempest; (iii) conviction of a felony, or a misdemeanor involving moral turpitude or fraud; (iv) commission of an act of embezzlement or fraud; or (v) material breach of any agreement with us. A termination of employment by reason of Disability shall not be treated as an involuntary termination without Cause.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pPr>
            <w:r>
              <w:rPr/>
              <w:t>“</w:t>
            </w:r>
            <w:r>
              <w:rPr>
                <w:rFonts w:ascii="Times New Roman" w:hAnsi="Times New Roman"/>
                <w:sz w:val="20"/>
              </w:rPr>
              <w:t xml:space="preserve">Change in Control” has the meaning ascribed to such term in our 2017 Equity Incentive Plan (“2017 EIP”).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Disability” means the inability to materially engage in duties and responsibilities by reason of any medically determinable physical or mental impairment for a period of not less than 120 consecutive days or not less than 180 days during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one-year</w:t>
            </w:r>
          </w:p>
          <w:p>
            <w:pPr>
              <w:pStyle w:val="TableContents"/>
              <w:bidi w:val="0"/>
              <w:spacing w:before="0" w:after="0"/>
              <w:jc w:val="left"/>
              <w:rPr>
                <w:rFonts w:ascii="Times New Roman" w:hAnsi="Times New Roman"/>
                <w:sz w:val="20"/>
              </w:rPr>
            </w:pPr>
            <w:r>
              <w:rPr>
                <w:rFonts w:ascii="Times New Roman" w:hAnsi="Times New Roman"/>
                <w:sz w:val="20"/>
              </w:rPr>
              <w:t xml:space="preserve">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Good Reason” means, without the Named Executive Officer’s express written consent: (i) any reduction in annual base salary other than a reduction that is proportional to general reductions affecting other senior executive officers generally; (ii) (1) with respect to Mr. Brady, a material diminution in responsibilities, authority or duties and (2) with respect to Dr. Whiting and Mr. Maestas, a material diminution in title or scope of responsibilities (but excluding removal from our Board); and (iii) with respect only to Mr. Brady: (w) a material change in the geographic location at which he provides services to us; (x) a material breach of the Brady Agreement by us; (y) appointing an officer of the Company whose responsibilities, function, title, reports and reporting would indicate that he is subordinate to such officer; or (z) no longer serving as an officer with a similar title or responsibilities at the “top level” corporate entity following our Change in Control.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Benefits; Perquisites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are eligible to participate in our employee benefit plans, including medical, dental, vision, disability and life insurance plans, in each case on the same basis as all of our other full-time employees. Any part-time employees we hire would not be eligible to participate in our employee benefit plans. We generally do not provide perquisites or personal benefits to our Named Executive Officers, except in limited circumstances, and we did not provide any perquisites or personal benefits to our Named Executive Officers in 2024.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We participate in a multiple employer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tax-qualified</w:t>
      </w:r>
    </w:p>
    <w:p>
      <w:pPr>
        <w:pStyle w:val="TextBody"/>
        <w:bidi w:val="0"/>
        <w:spacing w:before="120" w:after="0"/>
        <w:jc w:val="left"/>
        <w:rPr>
          <w:rFonts w:ascii="Times New Roman" w:hAnsi="Times New Roman"/>
          <w:sz w:val="20"/>
        </w:rPr>
      </w:pPr>
      <w:r>
        <w:rPr>
          <w:rFonts w:ascii="Times New Roman" w:hAnsi="Times New Roman"/>
          <w:sz w:val="20"/>
        </w:rPr>
        <w:t xml:space="preserve">401(k) savings plan which allows participants to defer eligible compensation up to the maximum amount allowed under Internal Revenue Service guidelines. Under our 401(k) plan, we currently make matching contributions of 100% on up to 4% of an employee’s eligible contributions to the plan, up to a maximum of $13,800 per year.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Our Incentive Compensation Recoupment Policy (the “Clawback Policy”), designed to comply with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10D-1</w:t>
      </w:r>
    </w:p>
    <w:p>
      <w:pPr>
        <w:pStyle w:val="TextBody"/>
        <w:bidi w:val="0"/>
        <w:spacing w:before="120" w:after="0"/>
        <w:jc w:val="left"/>
        <w:rPr>
          <w:rFonts w:ascii="Times New Roman" w:hAnsi="Times New Roman"/>
          <w:sz w:val="20"/>
        </w:rPr>
      </w:pPr>
      <w:r>
        <w:rPr>
          <w:rFonts w:ascii="Times New Roman" w:hAnsi="Times New Roman"/>
          <w:sz w:val="20"/>
        </w:rPr>
        <w:t xml:space="preserve">of the Exchange Act and Nasdaq Listing Rule 5608,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Policies and Practices Related to the Grant of Certain Equity Awards Close in Time to the Release of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grant stock options to our employees, including our named executive officers. Historically, we have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granted new-hire option</w:t>
      </w:r>
    </w:p>
    <w:p>
      <w:pPr>
        <w:pStyle w:val="TextBody"/>
        <w:bidi w:val="0"/>
        <w:spacing w:before="120" w:after="0"/>
        <w:jc w:val="left"/>
        <w:rPr>
          <w:rFonts w:ascii="Times New Roman" w:hAnsi="Times New Roman"/>
          <w:sz w:val="20"/>
        </w:rPr>
      </w:pPr>
      <w:r>
        <w:rPr>
          <w:rFonts w:ascii="Times New Roman" w:hAnsi="Times New Roman"/>
          <w:sz w:val="20"/>
        </w:rPr>
        <w:t xml:space="preserve">awards on or soon after a new hire’s employment start date and annual refresh employee option grants in the first quarter of each fiscal year, which refresh grants are typically approved at the regularly scheduled meeting of the Compensation Committee occurring in such quarter.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Also, non-employee directors</w:t>
      </w:r>
    </w:p>
    <w:p>
      <w:pPr>
        <w:pStyle w:val="TextBody"/>
        <w:bidi w:val="0"/>
        <w:spacing w:before="120" w:after="0"/>
        <w:jc w:val="left"/>
        <w:rPr>
          <w:rFonts w:ascii="Times New Roman" w:hAnsi="Times New Roman"/>
          <w:sz w:val="20"/>
        </w:rPr>
      </w:pPr>
      <w:r>
        <w:rPr>
          <w:rFonts w:ascii="Times New Roman" w:hAnsi="Times New Roman"/>
          <w:sz w:val="20"/>
        </w:rPr>
        <w:t xml:space="preserve">receive automatic grants of initial and annual stock option awards, on the date of each annual meeting of stockholders, pursuant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non-employee director</w:t>
      </w:r>
    </w:p>
    <w:p>
      <w:pPr>
        <w:pStyle w:val="TextBody"/>
        <w:bidi w:val="0"/>
        <w:spacing w:before="120" w:after="0"/>
        <w:jc w:val="left"/>
        <w:rPr>
          <w:rFonts w:ascii="Times New Roman" w:hAnsi="Times New Roman"/>
          <w:sz w:val="20"/>
        </w:rPr>
      </w:pPr>
      <w:r>
        <w:rPr>
          <w:rFonts w:ascii="Times New Roman" w:hAnsi="Times New Roman"/>
          <w:sz w:val="20"/>
        </w:rPr>
        <w:t>compensation policy, as further described under the heading,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Director Compensation—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Non-Employee</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Director Compensation Program</w:t>
      </w:r>
    </w:p>
    <w:p>
      <w:pPr>
        <w:pStyle w:val="TextBody"/>
        <w:bidi w:val="0"/>
        <w:spacing w:before="120" w:after="0"/>
        <w:jc w:val="left"/>
        <w:rPr/>
      </w:pPr>
      <w:r>
        <w:rPr/>
        <w:t xml:space="preserve">” </w:t>
      </w:r>
      <w:r>
        <w:rPr>
          <w:rFonts w:ascii="Times New Roman" w:hAnsi="Times New Roman"/>
          <w:sz w:val="20"/>
        </w:rPr>
        <w:t xml:space="preserve">below. We do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our public disclosure of MNPI. We have not timed the release of MNPI for the purpose of affecting the value of executive compensation. </w:t>
      </w:r>
    </w:p>
    <w:p>
      <w:pPr>
        <w:pStyle w:val="TextBody"/>
        <w:bidi w:val="0"/>
        <w:spacing w:before="360" w:after="0"/>
        <w:jc w:val="left"/>
        <w:rPr>
          <w:rFonts w:ascii="Times New Roman" w:hAnsi="Times New Roman"/>
          <w:b/>
          <w:sz w:val="20"/>
        </w:rPr>
      </w:pPr>
      <w:r>
        <w:rPr>
          <w:rFonts w:ascii="Times New Roman" w:hAnsi="Times New Roman"/>
          <w:b/>
          <w:sz w:val="20"/>
        </w:rPr>
        <w:t>D</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IRECTOR</w:t>
      </w:r>
    </w:p>
    <w:p>
      <w:pPr>
        <w:pStyle w:val="TextBody"/>
        <w:bidi w:val="0"/>
        <w:spacing w:before="360" w:after="0"/>
        <w:jc w:val="left"/>
        <w:rPr>
          <w:rFonts w:ascii="Times New Roman" w:hAnsi="Times New Roman"/>
          <w:b/>
          <w:sz w:val="20"/>
        </w:rPr>
      </w:pPr>
      <w:r>
        <w:rPr>
          <w:rFonts w:ascii="Times New Roman" w:hAnsi="Times New Roman"/>
          <w:b/>
          <w:sz w:val="20"/>
        </w:rPr>
        <w:t>C</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OMPENSATION</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Non-Employee</w:t>
      </w:r>
    </w:p>
    <w:p>
      <w:pPr>
        <w:pStyle w:val="TextBody"/>
        <w:bidi w:val="0"/>
        <w:spacing w:before="120" w:after="0"/>
        <w:jc w:val="left"/>
        <w:rPr>
          <w:rFonts w:ascii="Times New Roman" w:hAnsi="Times New Roman"/>
          <w:b/>
          <w:sz w:val="20"/>
        </w:rPr>
      </w:pPr>
      <w:r>
        <w:rPr>
          <w:rFonts w:ascii="Times New Roman" w:hAnsi="Times New Roman"/>
          <w:b/>
          <w:sz w:val="20"/>
        </w:rPr>
        <w:t xml:space="preserve">Director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standard compensation arrangements under which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are compensated for their service as directors, including as members of the various committees of our Board. </w:t>
      </w:r>
    </w:p>
    <w:p>
      <w:pPr>
        <w:pStyle w:val="TextBody"/>
        <w:bidi w:val="0"/>
        <w:spacing w:before="240" w:after="0"/>
        <w:jc w:val="left"/>
        <w:rPr>
          <w:rFonts w:ascii="Times New Roman" w:hAnsi="Times New Roman"/>
          <w:sz w:val="20"/>
        </w:rPr>
      </w:pPr>
      <w:r>
        <w:rPr>
          <w:rFonts w:ascii="Times New Roman" w:hAnsi="Times New Roman"/>
          <w:sz w:val="20"/>
        </w:rPr>
        <w:t xml:space="preserve">Each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 receives an annual base retainer of $40,000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Board Chair receiving an additional annual base retainer of $35,000. In addition,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directors receive the following cash compensation for committee services, as applicable: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chair of our Audit, Compensation, Nominating and Corporate Governance and Science &amp; Technology committees receives an additional annual retainer of $15,000, $10,000, $8,000 and $8,000, respectively;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non-chair</w:t>
            </w:r>
          </w:p>
          <w:p>
            <w:pPr>
              <w:pStyle w:val="TableContents"/>
              <w:bidi w:val="0"/>
              <w:spacing w:before="0" w:after="0"/>
              <w:jc w:val="left"/>
              <w:rPr>
                <w:rFonts w:ascii="Times New Roman" w:hAnsi="Times New Roman"/>
                <w:sz w:val="20"/>
              </w:rPr>
            </w:pPr>
            <w:r>
              <w:rPr>
                <w:rFonts w:ascii="Times New Roman" w:hAnsi="Times New Roman"/>
                <w:sz w:val="20"/>
              </w:rPr>
              <w:t xml:space="preserve">member of our Audit, Compensation, Nominating and Corporate Governance and Science &amp; Technology committees receives an additional annual retainer of $7,500, $5,000, $4,000 and $4,000,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retainers are payable in arrears in four equal quarterly installments on the last day of each quarter, provided that the amount of such payment will be prorated for any partial months of service. We also reimburse each of our directors for their travel expenses incurred in connection with their attendance at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In addition,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directors first appointed to the Board are eligible to receive an initial option to purchase 1,923 shares of our common stock. The shares subject to each such stock option will vest over a three-year period, subject to the director’s continued service as a director, with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one-third</w:t>
      </w:r>
    </w:p>
    <w:p>
      <w:pPr>
        <w:pStyle w:val="TextBody"/>
        <w:bidi w:val="0"/>
        <w:spacing w:before="240" w:after="0"/>
        <w:jc w:val="left"/>
        <w:rPr>
          <w:rFonts w:ascii="Times New Roman" w:hAnsi="Times New Roman"/>
          <w:sz w:val="20"/>
        </w:rPr>
      </w:pPr>
      <w:r>
        <w:rPr>
          <w:rFonts w:ascii="Times New Roman" w:hAnsi="Times New Roman"/>
          <w:sz w:val="20"/>
        </w:rPr>
        <w:t xml:space="preserve">of the award vesting on the first anniversary of the grant date and the remainder of the award vesting in equal monthly installments thereafter. Further, on the date of each annual meeting of stockholders, each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director that continues to serve as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240" w:after="0"/>
        <w:jc w:val="left"/>
        <w:rPr>
          <w:rFonts w:ascii="Times New Roman" w:hAnsi="Times New Roman"/>
          <w:sz w:val="20"/>
        </w:rPr>
      </w:pPr>
      <w:r>
        <w:rPr>
          <w:rFonts w:ascii="Times New Roman" w:hAnsi="Times New Roman"/>
          <w:sz w:val="20"/>
        </w:rPr>
        <w:t xml:space="preserve">member on our Board will receive an option to purchase 1,230 shares of our common stock. The shares subject to each such stock option will vest on the earlier to occur of the first anniversary of the grant date and the date of the first annual meeting of stockholders following the grant date, subject to the director’s continued service as a director. The exercise price of these options will equal the fair market value of our common stock on the date of grant. Vested stock options will be exercisable during any period of service to the Company and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one-year</w:t>
      </w:r>
    </w:p>
    <w:p>
      <w:pPr>
        <w:pStyle w:val="TextBody"/>
        <w:bidi w:val="0"/>
        <w:spacing w:before="240" w:after="0"/>
        <w:jc w:val="left"/>
        <w:rPr>
          <w:rFonts w:ascii="Times New Roman" w:hAnsi="Times New Roman"/>
          <w:sz w:val="20"/>
        </w:rPr>
      </w:pPr>
      <w:r>
        <w:rPr>
          <w:rFonts w:ascii="Times New Roman" w:hAnsi="Times New Roman"/>
          <w:sz w:val="20"/>
        </w:rPr>
        <w:t xml:space="preserve">thereafter; provided, that no stock option shall be exercisable more than ten years after the date of the stock option grant. </w:t>
      </w:r>
    </w:p>
    <w:p>
      <w:pPr>
        <w:pStyle w:val="TextBody"/>
        <w:bidi w:val="0"/>
        <w:spacing w:before="240" w:after="0"/>
        <w:jc w:val="left"/>
        <w:rPr>
          <w:rFonts w:ascii="Times New Roman" w:hAnsi="Times New Roman"/>
          <w:sz w:val="20"/>
        </w:rPr>
      </w:pPr>
      <w:r>
        <w:rPr>
          <w:rFonts w:ascii="Times New Roman" w:hAnsi="Times New Roman"/>
          <w:sz w:val="20"/>
        </w:rPr>
        <w:t xml:space="preserve">This policy is intended to provide a total compensation package that enables us to attract and retain qualified and experienced individuals to serve as directors and to align our directors’ interests with those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All directors are entitled to reimbursement of ordinary expenses incurred in connection with attendance at meetings of our Board.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Non-Employee</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for the year ended December 31, 2024 regarding the compensation awarded to or earned by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directors. Mr. Brady is not included in the table below, as he was an employee and received no additional compensation for his service as director. As a Named Executive Officer, the compensation received by Mr. Brady is shown above in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Executive Compensation—Summary Compensation Table</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tbl>
      <w:tblPr>
        <w:tblW w:w="5420" w:type="dxa"/>
        <w:jc w:val="left"/>
        <w:tblInd w:w="0" w:type="dxa"/>
        <w:tblLayout w:type="fixed"/>
        <w:tblCellMar>
          <w:top w:w="0" w:type="dxa"/>
          <w:left w:w="0" w:type="dxa"/>
          <w:bottom w:w="0" w:type="dxa"/>
          <w:right w:w="0" w:type="dxa"/>
        </w:tblCellMar>
      </w:tblPr>
      <w:tblGrid>
        <w:gridCol w:w="1595"/>
        <w:gridCol w:w="120"/>
        <w:gridCol w:w="110"/>
        <w:gridCol w:w="1470"/>
        <w:gridCol w:w="60"/>
        <w:gridCol w:w="120"/>
        <w:gridCol w:w="67"/>
        <w:gridCol w:w="763"/>
        <w:gridCol w:w="60"/>
        <w:gridCol w:w="120"/>
        <w:gridCol w:w="60"/>
        <w:gridCol w:w="80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Fees Earned or</w:t>
            </w:r>
          </w:p>
          <w:p>
            <w:pPr>
              <w:pStyle w:val="TableContents"/>
              <w:bidi w:val="0"/>
              <w:spacing w:before="0" w:after="0"/>
              <w:jc w:val="center"/>
              <w:rPr/>
            </w:pPr>
            <w:r>
              <w:rPr/>
            </w:r>
          </w:p>
          <w:p>
            <w:pPr>
              <w:pStyle w:val="TableContents"/>
              <w:bidi w:val="0"/>
              <w:spacing w:before="0" w:after="0"/>
              <w:jc w:val="center"/>
              <w:rPr>
                <w:b/>
                <w:spacing w:val="0"/>
              </w:rPr>
            </w:pPr>
            <w:r>
              <w:rPr>
                <w:b/>
                <w:spacing w:val="0"/>
              </w:rPr>
              <w:t>Paid in Cash</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r>
          </w:p>
          <w:p>
            <w:pPr>
              <w:pStyle w:val="TableContents"/>
              <w:bidi w:val="0"/>
              <w:spacing w:before="0" w:after="0"/>
              <w:jc w:val="center"/>
              <w:rPr/>
            </w:pPr>
            <w:r>
              <w:rPr/>
            </w:r>
          </w:p>
          <w:p>
            <w:pPr>
              <w:pStyle w:val="TableContents"/>
              <w:bidi w:val="0"/>
              <w:spacing w:before="0" w:after="0"/>
              <w:jc w:val="center"/>
              <w:rPr>
                <w:b/>
                <w:spacing w:val="0"/>
              </w:rPr>
            </w:pPr>
            <w:r>
              <w:rPr>
                <w:b/>
                <w:spacing w:val="0"/>
              </w:rPr>
              <w:t>Awards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p>
            <w:pPr>
              <w:pStyle w:val="TableContents"/>
              <w:bidi w:val="0"/>
              <w:spacing w:before="0" w:after="0"/>
              <w:jc w:val="center"/>
              <w:rPr>
                <w:b/>
                <w:spacing w:val="0"/>
                <w:sz w:val="9"/>
              </w:rPr>
            </w:pPr>
            <w:r>
              <w:rPr>
                <w:b/>
                <w:spacing w:val="0"/>
                <w:sz w:val="9"/>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Geoff Nichol</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55,500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40,403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95,903</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Pellizzari</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55,000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40,403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95,403</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Raab</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105,500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40,403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145,903</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Ronit Simantov</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48,000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40,403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88,403</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 rules, this column reflects the aggregate grant date fair value of the option awards granted during 2024 computed in accordance with ASC 718. These amounts do not reflect the actual economic value that will be realized by the director. </w:t>
            </w:r>
          </w:p>
        </w:tc>
      </w:tr>
    </w:tbl>
    <w:tbl>
      <w:tblPr>
        <w:tblW w:w="8935" w:type="dxa"/>
        <w:jc w:val="left"/>
        <w:tblInd w:w="0" w:type="dxa"/>
        <w:tblLayout w:type="fixed"/>
        <w:tblCellMar>
          <w:top w:w="0" w:type="dxa"/>
          <w:left w:w="0" w:type="dxa"/>
          <w:bottom w:w="0" w:type="dxa"/>
          <w:right w:w="0" w:type="dxa"/>
        </w:tblCellMar>
      </w:tblPr>
      <w:tblGrid>
        <w:gridCol w:w="305"/>
        <w:gridCol w:w="8630"/>
      </w:tblGrid>
      <w:tr>
        <w:trPr/>
        <w:tc>
          <w:tcPr>
            <w:tcW w:w="305" w:type="dxa"/>
            <w:tcBorders/>
            <w:vAlign w:val="center"/>
          </w:tcPr>
          <w:p>
            <w:pPr>
              <w:pStyle w:val="TableContents"/>
              <w:bidi w:val="0"/>
              <w:spacing w:before="0" w:after="283"/>
              <w:jc w:val="left"/>
              <w:rPr/>
            </w:pPr>
            <w:r>
              <w:rPr/>
              <w:t>(2)</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provides information regarding the aggregate number of equity awards granted to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non-employee</w:t>
            </w:r>
          </w:p>
          <w:p>
            <w:pPr>
              <w:pStyle w:val="TableContents"/>
              <w:bidi w:val="0"/>
              <w:spacing w:before="0" w:after="0"/>
              <w:jc w:val="left"/>
              <w:rPr>
                <w:rFonts w:ascii="Times New Roman" w:hAnsi="Times New Roman"/>
                <w:sz w:val="20"/>
              </w:rPr>
            </w:pPr>
            <w:r>
              <w:rPr>
                <w:rFonts w:ascii="Times New Roman" w:hAnsi="Times New Roman"/>
                <w:sz w:val="20"/>
              </w:rPr>
              <w:t xml:space="preserve">directors that were outstanding as of December 31, 2024: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1595"/>
        <w:gridCol w:w="120"/>
        <w:gridCol w:w="154"/>
        <w:gridCol w:w="1441"/>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 Awards</w:t>
            </w:r>
          </w:p>
          <w:p>
            <w:pPr>
              <w:pStyle w:val="TableContents"/>
              <w:bidi w:val="0"/>
              <w:spacing w:before="0" w:after="0"/>
              <w:jc w:val="center"/>
              <w:rPr/>
            </w:pPr>
            <w:r>
              <w:rPr/>
            </w:r>
          </w:p>
          <w:p>
            <w:pPr>
              <w:pStyle w:val="TableContents"/>
              <w:bidi w:val="0"/>
              <w:spacing w:before="0" w:after="0"/>
              <w:jc w:val="center"/>
              <w:rPr>
                <w:b/>
                <w:spacing w:val="0"/>
              </w:rPr>
            </w:pPr>
            <w:r>
              <w:rPr>
                <w:b/>
                <w:spacing w:val="0"/>
              </w:rPr>
              <w:t>Outstanding at</w:t>
            </w:r>
          </w:p>
          <w:p>
            <w:pPr>
              <w:pStyle w:val="TableContents"/>
              <w:bidi w:val="0"/>
              <w:spacing w:before="0" w:after="0"/>
              <w:jc w:val="center"/>
              <w:rPr/>
            </w:pPr>
            <w:r>
              <w:rPr/>
            </w:r>
          </w:p>
          <w:p>
            <w:pPr>
              <w:pStyle w:val="TableContents"/>
              <w:bidi w:val="0"/>
              <w:spacing w:before="0" w:after="0"/>
              <w:jc w:val="center"/>
              <w:rPr>
                <w:b/>
                <w:spacing w:val="0"/>
              </w:rPr>
            </w:pPr>
            <w:r>
              <w:rPr>
                <w:b/>
                <w:spacing w:val="0"/>
              </w:rPr>
              <w:t>Year End</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Geoff Nichol</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2,823</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Pellizzari</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2,639</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Raab</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5,044</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Ronit Simantov</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2,639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left"/>
        <w:rPr>
          <w:rFonts w:ascii="Times New Roman" w:hAnsi="Times New Roman"/>
          <w:b/>
          <w:sz w:val="20"/>
        </w:rPr>
      </w:pPr>
      <w:bookmarkStart w:id="5" w:name="txb920870_4"/>
      <w:bookmarkEnd w:id="5"/>
      <w:r>
        <w:rPr>
          <w:rFonts w:ascii="Times New Roman" w:hAnsi="Times New Roman"/>
          <w:b/>
          <w:sz w:val="20"/>
        </w:rPr>
        <w:t xml:space="preserve">ITEM 12. SECURITY OWNERSHIP OF CERTAIN BENEFICIAL OWNERS AND MANAGEMENT </w:t>
      </w:r>
    </w:p>
    <w:p>
      <w:pPr>
        <w:pStyle w:val="TextBody"/>
        <w:bidi w:val="0"/>
        <w:spacing w:before="120" w:after="0"/>
        <w:jc w:val="left"/>
        <w:rPr>
          <w:rFonts w:ascii="Times New Roman" w:hAnsi="Times New Roman"/>
          <w:b/>
          <w:sz w:val="20"/>
        </w:rPr>
      </w:pPr>
      <w:r>
        <w:rPr>
          <w:rFonts w:ascii="Times New Roman" w:hAnsi="Times New Roman"/>
          <w:b/>
          <w:sz w:val="20"/>
        </w:rPr>
        <w:t>S</w:t>
      </w:r>
      <w:r>
        <w:rPr>
          <w:rFonts w:ascii="Times New Roman" w:hAnsi="Times New Roman"/>
          <w:b/>
          <w:sz w:val="20"/>
          <w:u w:val="single"/>
        </w:rPr>
        <w:t>ECURITY</w:t>
      </w:r>
      <w:r>
        <w:rPr>
          <w:rFonts w:ascii="Times New Roman" w:hAnsi="Times New Roman"/>
          <w:b/>
          <w:sz w:val="20"/>
        </w:rPr>
        <w:t xml:space="preserve"> O</w:t>
      </w:r>
      <w:r>
        <w:rPr>
          <w:rFonts w:ascii="Times New Roman" w:hAnsi="Times New Roman"/>
          <w:b/>
          <w:sz w:val="20"/>
          <w:u w:val="single"/>
        </w:rPr>
        <w:t>WNERSHIP</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C</w:t>
      </w:r>
      <w:r>
        <w:rPr>
          <w:rFonts w:ascii="Times New Roman" w:hAnsi="Times New Roman"/>
          <w:b/>
          <w:sz w:val="20"/>
          <w:u w:val="single"/>
        </w:rPr>
        <w:t>ERTAIN</w:t>
      </w:r>
      <w:r>
        <w:rPr>
          <w:rFonts w:ascii="Times New Roman" w:hAnsi="Times New Roman"/>
          <w:b/>
          <w:sz w:val="20"/>
        </w:rPr>
        <w:t xml:space="preserve"> B</w:t>
      </w:r>
      <w:r>
        <w:rPr>
          <w:rFonts w:ascii="Times New Roman" w:hAnsi="Times New Roman"/>
          <w:b/>
          <w:sz w:val="20"/>
          <w:u w:val="single"/>
        </w:rPr>
        <w:t>ENEFICIAL</w:t>
      </w:r>
      <w:r>
        <w:rPr>
          <w:rFonts w:ascii="Times New Roman" w:hAnsi="Times New Roman"/>
          <w:b/>
          <w:sz w:val="20"/>
        </w:rPr>
        <w:t xml:space="preserve"> O</w:t>
      </w:r>
      <w:r>
        <w:rPr>
          <w:rFonts w:ascii="Times New Roman" w:hAnsi="Times New Roman"/>
          <w:b/>
          <w:sz w:val="20"/>
          <w:u w:val="single"/>
        </w:rPr>
        <w:t>WNERS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M</w:t>
      </w:r>
      <w:r>
        <w:rPr>
          <w:rFonts w:ascii="Times New Roman" w:hAnsi="Times New Roman"/>
          <w:b/>
          <w:sz w:val="20"/>
          <w:u w:val="single"/>
        </w:rPr>
        <w:t>ANAGEMENT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beneficial ownership of our common stock as of March 31, 2025, the most recent practicable date for computing beneficial ownership, by: </w:t>
      </w:r>
    </w:p>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director nominees;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110"/>
        <w:gridCol w:w="60"/>
        <w:gridCol w:w="9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 ownership is based on 3,519,602 shares of our common stock issued and outstanding as of March 31, 2025.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31, 2025. However, we did not deem these shares outstanding for the purpose of computing the percentage ownership of any other person. All share figures in the table below give effect to the Reverse Stock Split that became effective April 8, 2025. </w:t>
      </w:r>
    </w:p>
    <w:p>
      <w:pPr>
        <w:pStyle w:val="TextBody"/>
        <w:bidi w:val="0"/>
        <w:spacing w:before="0" w:after="0"/>
        <w:jc w:val="left"/>
        <w:rPr/>
      </w:pPr>
      <w:r>
        <w:rPr/>
        <w:t> </w:t>
      </w:r>
    </w:p>
    <w:tbl>
      <w:tblPr>
        <w:tblW w:w="8195" w:type="dxa"/>
        <w:jc w:val="left"/>
        <w:tblInd w:w="0" w:type="dxa"/>
        <w:tblLayout w:type="fixed"/>
        <w:tblCellMar>
          <w:top w:w="0" w:type="dxa"/>
          <w:left w:w="0" w:type="dxa"/>
          <w:bottom w:w="0" w:type="dxa"/>
          <w:right w:w="0" w:type="dxa"/>
        </w:tblCellMar>
      </w:tblPr>
      <w:tblGrid>
        <w:gridCol w:w="5420"/>
        <w:gridCol w:w="120"/>
        <w:gridCol w:w="78"/>
        <w:gridCol w:w="1052"/>
        <w:gridCol w:w="60"/>
        <w:gridCol w:w="120"/>
        <w:gridCol w:w="126"/>
        <w:gridCol w:w="929"/>
        <w:gridCol w:w="290"/>
      </w:tblGrid>
      <w:tr>
        <w:trPr/>
        <w:tc>
          <w:tcPr>
            <w:tcW w:w="5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 (1)</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b/>
              </w:rPr>
              <w:t>Percent of</w:t>
            </w:r>
            <w:r>
              <w:rPr/>
              <w:br/>
            </w:r>
            <w:r>
              <w:rPr>
                <w:b/>
              </w:rPr>
              <w:t>Total</w:t>
            </w:r>
          </w:p>
        </w:tc>
        <w:tc>
          <w:tcPr>
            <w:tcW w:w="29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Stockholders Owning Greater than 5%:</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Versant Venture Capital(2)</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269,770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7.66</w:t>
            </w:r>
          </w:p>
        </w:tc>
        <w:tc>
          <w:tcPr>
            <w:tcW w:w="29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Brady(3)</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78,706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2.19</w:t>
            </w:r>
          </w:p>
        </w:tc>
        <w:tc>
          <w:tcPr>
            <w:tcW w:w="29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Samuel Whiting(4)</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29,209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Raab(5)</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3,814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Nicholas Maestas(6)</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13,592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Geoff Nichol(7)</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1,593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Christine Pellizzari(8)</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1,409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Ronit Simantov(9)</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1,409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All current directors and executive officers as a group (7 persons)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129,732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3.56</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each director and executive officer is c/o Tempest Therapeutics, Inc., 2000 Sierra Point Parkway, Suite 400, Brisbane, California, 94005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indicated ownership is based solely on a Schedule 13D/A filed with the SEC by Versant Venture Capital IV, L.P. (“Versant IV”), Versant Side Fund IV, L.P. (“Side Fund IV”), Versant Ventures IV, LLC (“LLC IV”), Versant Venture Capital VI, L.P. (“Versant VI”), Versant Ventures VI GP, L.P. (“GP VI”), Versant Ventures VI GP-GP, LLC (“LLC VI”), Versant Vantage II, L.P. (“Vantage II LP”), Versant Vantage II GP, L.P. (“Vantage II GP”), Versant Vantage II GP-GP, LLC (“Vantage II LLC” and, with Versant IV, Side Fund IV, LLC IV, Versant VI, GP VI, LLC VI, Vantage II LP and Vantage II GP, collectively, the “Versant Reporting Persons”). LLC IV is the general partner of Versant IV and Side Fund IV, and LLC IV has voting and dispositive power over the shares held by Versant IV and Side Fund IV. LLC VI is the general partner of GP VI, which is the general partner of Versant VI. Each of LLC VI and GP VI share voting and dispositive power over the shares held by Versant VI. Vantage II LLC is the general partner of Vantage II GP, which is the general partner of Vantage II LP. Each of Vantage II LLC and Vantage II GP share voting and dispositive power over the shares held by Vantage II LP. Represents (i) 16,147 shares of common stock held by Versant VI, (ii) 162,972 shares of common stock held by Vantage II LP, (iii) 90,084 shares of common stock held by Versant IV, and (iv) 567 shares of common stock held by Side Fund IV, as reported on Schedule 13D filed with the SEC on May 9, 2022, as amended by Schedule 13D/A filed with the SEC on November 9, 2023, Schedule 13D/A filed with the SEC on February 8, 2024, Schedule 13D/A filed with the SEC on May 13, 2024, Schedule 13D/A filed with the SEC on August 12, 2024 and Schedule 13D/A filed with the SEC on February 11, 2025, and retroactively adjusted to reflect the Reverse Stock Split. Thomas Woiwode, Kirk Nielsen, Bradley Bolzon, Robin Praeger, William Link, Samuel Colella, Rebecca Robertson, Brian Atwood, Ross Jaffe and Charles Warden, the managing members of LLC IV, may be deemed to possess voting and dispositive control over the shares held by Versant IV and Side Fund IV, and may be deemed to have indirect beneficial ownership of the shares held by such entities but disclaims beneficial ownership of such securities, except to the extent of their respective pecuniary interest therein, if any, and except for purposes of determining their obligations under Section 13(d) of the Securities Exchange Act of 1934, as amended (“Section 13(d)”). Thomas Woiwode, Bradley Bolzon, Jerel Davis, Kirk Nielsen, Clare Ozawa and Robin Praeger, the managing directors of LLC VI, may be deemed to possess voting and dispositive control over the shares held by Versant VI and may be deemed to have indirect beneficial ownership of the shares held by such entity but disclaims beneficial ownership of such securities, except to the extent of their respective pecuniary interest therein, if any, and except for purposes of determining their obligations under Section 13(d). The address of each of these persons and entities is One Sansome, Suite 1650, San Francisco, CA 94104.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3,613 shares of common stock and (ii) 75,093 shares of common stock subject to options that are exercisable within 60 days of March 31, 2025.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(4)</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590 shares of common stock and (ii) 28,619 shares of common stock subject to options that are exercisable within 60 days of March 31, 2025. </w:t>
            </w:r>
          </w:p>
        </w:tc>
      </w:tr>
    </w:tbl>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(5)</w:t>
            </w:r>
          </w:p>
        </w:tc>
        <w:tc>
          <w:tcPr>
            <w:tcW w:w="9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3,814 shares of common stock subject to options that are exercisable within 60 days of March 31, 2025.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(6)</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666 shares of common stock and (ii) 12,926 shares of common stock subject to options that are exercisable within 60 days of March 31, 2025. </w:t>
            </w:r>
          </w:p>
        </w:tc>
      </w:tr>
    </w:tbl>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(7)</w:t>
            </w:r>
          </w:p>
        </w:tc>
        <w:tc>
          <w:tcPr>
            <w:tcW w:w="9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1,593 shares of common stock subject to options that are exercisable within 60 days of March 31, 2025. </w:t>
            </w:r>
          </w:p>
        </w:tc>
      </w:tr>
    </w:tbl>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(8)</w:t>
            </w:r>
          </w:p>
        </w:tc>
        <w:tc>
          <w:tcPr>
            <w:tcW w:w="9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1,409 shares of common stock subject to options that are exercisable within 60 days of March 31, 2025. </w:t>
            </w:r>
          </w:p>
        </w:tc>
      </w:tr>
    </w:tbl>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(9)</w:t>
            </w:r>
          </w:p>
        </w:tc>
        <w:tc>
          <w:tcPr>
            <w:tcW w:w="9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1,409 shares of common stock subject to options that are exercisable within 60 days of March 31, 2025. </w:t>
            </w:r>
          </w:p>
        </w:tc>
      </w:tr>
    </w:tbl>
    <w:p>
      <w:pPr>
        <w:pStyle w:val="TextBody"/>
        <w:bidi w:val="0"/>
        <w:spacing w:before="36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QUITY</w:t>
      </w:r>
      <w:r>
        <w:rPr>
          <w:rFonts w:ascii="Times New Roman" w:hAnsi="Times New Roman"/>
          <w:b/>
          <w:sz w:val="20"/>
        </w:rPr>
        <w:t xml:space="preserve"> C</w:t>
      </w:r>
      <w:r>
        <w:rPr>
          <w:rFonts w:ascii="Times New Roman" w:hAnsi="Times New Roman"/>
          <w:b/>
          <w:sz w:val="20"/>
          <w:u w:val="single"/>
        </w:rPr>
        <w:t>OMPENSATION</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I</w:t>
      </w:r>
      <w:r>
        <w:rPr>
          <w:rFonts w:ascii="Times New Roman" w:hAnsi="Times New Roman"/>
          <w:b/>
          <w:sz w:val="20"/>
          <w:u w:val="single"/>
        </w:rPr>
        <w:t>NFORMATION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equity compensation plan information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6"/>
        <w:gridCol w:w="120"/>
        <w:gridCol w:w="162"/>
        <w:gridCol w:w="2168"/>
        <w:gridCol w:w="60"/>
        <w:gridCol w:w="120"/>
        <w:gridCol w:w="151"/>
        <w:gridCol w:w="1714"/>
        <w:gridCol w:w="60"/>
        <w:gridCol w:w="120"/>
        <w:gridCol w:w="148"/>
        <w:gridCol w:w="1987"/>
        <w:gridCol w:w="299"/>
      </w:tblGrid>
      <w:tr>
        <w:trPr/>
        <w:tc>
          <w:tcPr>
            <w:tcW w:w="30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096"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securities</w:t>
              <w:br/>
              <w:t>to be issued upon</w:t>
              <w:br/>
              <w:t>exercise of outstanding</w:t>
              <w:br/>
              <w:t>options, warrants and</w:t>
              <w:br/>
              <w:t>rights</w:t>
            </w:r>
            <w:r>
              <w:rPr/>
              <w:br/>
            </w:r>
            <w:r>
              <w:rPr>
                <w:b/>
              </w:rPr>
              <w:t>(a)(#)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pPr>
            <w:r>
              <w:rPr>
                <w:b/>
              </w:rPr>
              <w:t>Weighted-average</w:t>
              <w:br/>
              <w:t>exercise price of</w:t>
              <w:br/>
              <w:t>outstanding</w:t>
              <w:br/>
              <w:t>options, warrants</w:t>
              <w:br/>
              <w:t>and rights</w:t>
            </w:r>
            <w:r>
              <w:rPr/>
              <w:br/>
            </w:r>
            <w:r>
              <w:rPr>
                <w:b/>
              </w:rPr>
              <w:t>(b)($)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securities</w:t>
              <w:br/>
              <w:t>remaining available</w:t>
              <w:br/>
              <w:t>for issuance under</w:t>
              <w:br/>
              <w:t>equity compensation</w:t>
              <w:br/>
              <w:t>plans (excluding</w:t>
              <w:br/>
              <w:t>securities reflected in</w:t>
              <w:br/>
              <w:t>column (a))</w:t>
            </w:r>
            <w:r>
              <w:rPr/>
              <w:br/>
            </w:r>
            <w:r>
              <w:rPr>
                <w:b/>
              </w:rPr>
              <w:t>(c)(#)</w:t>
            </w:r>
          </w:p>
        </w:tc>
        <w:tc>
          <w:tcPr>
            <w:tcW w:w="299" w:type="dxa"/>
            <w:tcBorders/>
            <w:vAlign w:val="center"/>
          </w:tcPr>
          <w:p>
            <w:pPr>
              <w:pStyle w:val="TableContents"/>
              <w:bidi w:val="0"/>
              <w:spacing w:before="0" w:after="283"/>
              <w:jc w:val="left"/>
              <w:rPr/>
            </w:pPr>
            <w:r>
              <w:rPr/>
              <w:t> </w:t>
            </w:r>
          </w:p>
        </w:tc>
      </w:tr>
      <w:tr>
        <w:trPr/>
        <w:tc>
          <w:tcPr>
            <w:tcW w:w="3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2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7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left"/>
              <w:rPr>
                <w:sz w:val="4"/>
                <w:szCs w:val="4"/>
              </w:rPr>
            </w:pPr>
            <w:r>
              <w:rPr>
                <w:sz w:val="4"/>
                <w:szCs w:val="4"/>
              </w:rPr>
            </w:r>
          </w:p>
        </w:tc>
        <w:tc>
          <w:tcPr>
            <w:tcW w:w="299" w:type="dxa"/>
            <w:tcBorders/>
            <w:shd w:fill="CCEEFF" w:val="clear"/>
            <w:vAlign w:val="center"/>
          </w:tcPr>
          <w:p>
            <w:pPr>
              <w:pStyle w:val="TableContents"/>
              <w:bidi w:val="0"/>
              <w:spacing w:before="0" w:after="283"/>
              <w:jc w:val="left"/>
              <w:rPr>
                <w:sz w:val="4"/>
                <w:szCs w:val="4"/>
              </w:rPr>
            </w:pPr>
            <w:r>
              <w:rPr>
                <w:sz w:val="4"/>
                <w:szCs w:val="4"/>
              </w:rPr>
            </w:r>
          </w:p>
        </w:tc>
      </w:tr>
      <w:tr>
        <w:trPr/>
        <w:tc>
          <w:tcPr>
            <w:tcW w:w="3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2017 EIP</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37,859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14" w:type="dxa"/>
            <w:tcBorders/>
            <w:vAlign w:val="center"/>
          </w:tcPr>
          <w:p>
            <w:pPr>
              <w:pStyle w:val="TableContents"/>
              <w:bidi w:val="0"/>
              <w:spacing w:before="0" w:after="283"/>
              <w:jc w:val="right"/>
              <w:rPr/>
            </w:pPr>
            <w:r>
              <w:rPr/>
              <w:t>140.67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left"/>
              <w:rPr/>
            </w:pPr>
            <w:r>
              <w:rPr/>
              <w:t> </w:t>
            </w:r>
          </w:p>
        </w:tc>
      </w:tr>
      <w:tr>
        <w:trPr/>
        <w:tc>
          <w:tcPr>
            <w:tcW w:w="3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2019 EIP</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68" w:type="dxa"/>
            <w:tcBorders/>
            <w:shd w:fill="CCEEFF" w:val="clear"/>
            <w:vAlign w:val="center"/>
          </w:tcPr>
          <w:p>
            <w:pPr>
              <w:pStyle w:val="TableContents"/>
              <w:bidi w:val="0"/>
              <w:spacing w:before="0" w:after="283"/>
              <w:jc w:val="right"/>
              <w:rPr/>
            </w:pPr>
            <w:r>
              <w:rPr/>
              <w:t>85,683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14" w:type="dxa"/>
            <w:tcBorders/>
            <w:shd w:fill="CCEEFF" w:val="clear"/>
            <w:vAlign w:val="center"/>
          </w:tcPr>
          <w:p>
            <w:pPr>
              <w:pStyle w:val="TableContents"/>
              <w:bidi w:val="0"/>
              <w:spacing w:before="0" w:after="283"/>
              <w:jc w:val="right"/>
              <w:rPr/>
            </w:pPr>
            <w:r>
              <w:rPr/>
              <w:t>31.76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pPr>
            <w:r>
              <w:rPr/>
              <w:t> </w:t>
            </w:r>
          </w:p>
        </w:tc>
      </w:tr>
      <w:tr>
        <w:trPr/>
        <w:tc>
          <w:tcPr>
            <w:tcW w:w="3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2019 Employee Stock Purchase Plan</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36,102</w:t>
            </w:r>
          </w:p>
        </w:tc>
        <w:tc>
          <w:tcPr>
            <w:tcW w:w="299" w:type="dxa"/>
            <w:tcBorders/>
            <w:vAlign w:val="center"/>
          </w:tcPr>
          <w:p>
            <w:pPr>
              <w:pStyle w:val="TableContents"/>
              <w:bidi w:val="0"/>
              <w:spacing w:before="0" w:after="283"/>
              <w:jc w:val="left"/>
              <w:rPr/>
            </w:pPr>
            <w:r>
              <w:rPr/>
              <w:t>(2) </w:t>
            </w:r>
          </w:p>
        </w:tc>
      </w:tr>
      <w:tr>
        <w:trPr/>
        <w:tc>
          <w:tcPr>
            <w:tcW w:w="3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EIP</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68" w:type="dxa"/>
            <w:tcBorders/>
            <w:shd w:fill="CCEEFF" w:val="clear"/>
            <w:vAlign w:val="center"/>
          </w:tcPr>
          <w:p>
            <w:pPr>
              <w:pStyle w:val="TableContents"/>
              <w:bidi w:val="0"/>
              <w:spacing w:before="0" w:after="283"/>
              <w:jc w:val="right"/>
              <w:rPr/>
            </w:pPr>
            <w:r>
              <w:rPr/>
              <w:t>17,380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14" w:type="dxa"/>
            <w:tcBorders/>
            <w:shd w:fill="CCEEFF" w:val="clear"/>
            <w:vAlign w:val="center"/>
          </w:tcPr>
          <w:p>
            <w:pPr>
              <w:pStyle w:val="TableContents"/>
              <w:bidi w:val="0"/>
              <w:spacing w:before="0" w:after="283"/>
              <w:jc w:val="right"/>
              <w:rPr/>
            </w:pPr>
            <w:r>
              <w:rPr/>
              <w:t>105.54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39,078</w:t>
            </w:r>
          </w:p>
        </w:tc>
        <w:tc>
          <w:tcPr>
            <w:tcW w:w="299" w:type="dxa"/>
            <w:tcBorders/>
            <w:shd w:fill="CCEEFF" w:val="clear"/>
            <w:vAlign w:val="center"/>
          </w:tcPr>
          <w:p>
            <w:pPr>
              <w:pStyle w:val="TableContents"/>
              <w:bidi w:val="0"/>
              <w:spacing w:before="0" w:after="283"/>
              <w:jc w:val="left"/>
              <w:rPr/>
            </w:pPr>
            <w:r>
              <w:rPr/>
              <w:t>(3) </w:t>
            </w:r>
          </w:p>
        </w:tc>
      </w:tr>
      <w:tr>
        <w:trPr/>
        <w:tc>
          <w:tcPr>
            <w:tcW w:w="3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Inducement Plan(4)</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2168" w:type="dxa"/>
            <w:tcBorders/>
            <w:shd w:fill="CCEEFF" w:val="clear"/>
            <w:vAlign w:val="center"/>
          </w:tcPr>
          <w:p>
            <w:pPr>
              <w:pStyle w:val="TableContents"/>
              <w:bidi w:val="0"/>
              <w:spacing w:before="0" w:after="283"/>
              <w:jc w:val="right"/>
              <w:rPr/>
            </w:pPr>
            <w:r>
              <w:rPr/>
              <w:t>17,380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14" w:type="dxa"/>
            <w:tcBorders/>
            <w:shd w:fill="CCEEFF" w:val="clear"/>
            <w:vAlign w:val="center"/>
          </w:tcPr>
          <w:p>
            <w:pPr>
              <w:pStyle w:val="TableContents"/>
              <w:bidi w:val="0"/>
              <w:spacing w:before="0" w:after="283"/>
              <w:jc w:val="right"/>
              <w:rPr/>
            </w:pPr>
            <w:r>
              <w:rPr/>
              <w:t>29.68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71,076</w:t>
            </w:r>
          </w:p>
        </w:tc>
        <w:tc>
          <w:tcPr>
            <w:tcW w:w="299" w:type="dxa"/>
            <w:tcBorders/>
            <w:shd w:fill="CCEEFF" w:val="clear"/>
            <w:vAlign w:val="center"/>
          </w:tcPr>
          <w:p>
            <w:pPr>
              <w:pStyle w:val="TableContents"/>
              <w:bidi w:val="0"/>
              <w:spacing w:before="0" w:after="283"/>
              <w:jc w:val="left"/>
              <w:rPr/>
            </w:pPr>
            <w:r>
              <w:rPr/>
              <w:t> </w:t>
            </w:r>
          </w:p>
        </w:tc>
      </w:tr>
      <w:tr>
        <w:trPr/>
        <w:tc>
          <w:tcPr>
            <w:tcW w:w="309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2168" w:type="dxa"/>
            <w:tcBorders/>
            <w:vAlign w:val="center"/>
          </w:tcPr>
          <w:p>
            <w:pPr>
              <w:pStyle w:val="TableContents"/>
              <w:bidi w:val="0"/>
              <w:spacing w:before="0" w:after="283"/>
              <w:jc w:val="right"/>
              <w:rPr/>
            </w:pPr>
            <w:r>
              <w:rPr/>
              <w:t>158,302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146,256</w:t>
            </w:r>
          </w:p>
        </w:tc>
        <w:tc>
          <w:tcPr>
            <w:tcW w:w="299" w:type="dxa"/>
            <w:tcBorders/>
            <w:vAlign w:val="center"/>
          </w:tcPr>
          <w:p>
            <w:pPr>
              <w:pStyle w:val="TableContents"/>
              <w:bidi w:val="0"/>
              <w:spacing w:before="0" w:after="283"/>
              <w:jc w:val="left"/>
              <w:rPr/>
            </w:pPr>
            <w:r>
              <w:rPr/>
              <w:t> </w:t>
            </w:r>
          </w:p>
        </w:tc>
      </w:tr>
      <w:tr>
        <w:trPr/>
        <w:tc>
          <w:tcPr>
            <w:tcW w:w="30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pBdr>
                <w:top w:val="double" w:sz="6" w:space="1" w:color="000000"/>
              </w:pBdr>
              <w:bidi w:val="0"/>
              <w:spacing w:before="0" w:after="0"/>
              <w:jc w:val="left"/>
              <w:rPr/>
            </w:pPr>
            <w:r>
              <w:rPr/>
              <w:t> </w:t>
            </w:r>
          </w:p>
        </w:tc>
        <w:tc>
          <w:tcPr>
            <w:tcW w:w="216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double" w:sz="6" w:space="1" w:color="000000"/>
              </w:pBdr>
              <w:bidi w:val="0"/>
              <w:spacing w:before="0" w:after="0"/>
              <w:jc w:val="left"/>
              <w:rPr/>
            </w:pPr>
            <w:r>
              <w:rPr/>
              <w:t> </w:t>
            </w:r>
          </w:p>
        </w:tc>
        <w:tc>
          <w:tcPr>
            <w:tcW w:w="1987" w:type="dxa"/>
            <w:tcBorders/>
            <w:vAlign w:val="center"/>
          </w:tcPr>
          <w:p>
            <w:pPr>
              <w:pStyle w:val="TableContents"/>
              <w:pBdr>
                <w:top w:val="double" w:sz="6"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965" w:type="dxa"/>
        <w:jc w:val="left"/>
        <w:tblInd w:w="0" w:type="dxa"/>
        <w:tblLayout w:type="fixed"/>
        <w:tblCellMar>
          <w:top w:w="0" w:type="dxa"/>
          <w:left w:w="0" w:type="dxa"/>
          <w:bottom w:w="0" w:type="dxa"/>
          <w:right w:w="0" w:type="dxa"/>
        </w:tblCellMar>
      </w:tblPr>
      <w:tblGrid>
        <w:gridCol w:w="305"/>
        <w:gridCol w:w="8660"/>
      </w:tblGrid>
      <w:tr>
        <w:trPr/>
        <w:tc>
          <w:tcPr>
            <w:tcW w:w="305" w:type="dxa"/>
            <w:tcBorders/>
            <w:vAlign w:val="center"/>
          </w:tcPr>
          <w:p>
            <w:pPr>
              <w:pStyle w:val="TableContents"/>
              <w:bidi w:val="0"/>
              <w:spacing w:before="0" w:after="283"/>
              <w:jc w:val="left"/>
              <w:rPr/>
            </w:pPr>
            <w:r>
              <w:rPr/>
              <w:t>(1)</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weighted-average exercise price excludes any outstanding RSU awards, which have no exercise price.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2019 ESPP provides that the total number of shares reserved for issuance thereunder will automatically increase on January 1 of each year beginning on January 1, 2023, and continuing through (and including) January 1, 2029, by the lesser of (a) 1.5% of the total number of shares of common stock outstanding on December 31st of the preceding calendar year, (b) 38,461 shares of our common stock, or (c) a lesser number determined by our Board prior to the applicable January 1st. Accordingly, on January 1, 2025, the number of shares of common stock available for issuance under our 2019 ESPP increased by 38,461 shares. This increase is not reflected in the table above.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2023 EIP provides that the total number of shares of our common stock reserved for issuance thereunder will automatically increase on January 1st of each calendar year for a period of up to 10 years, beginning on January 1, 2024, and ending on (and including) January 1, 2033, in an amount equal to (i) 4% of the total number of shares of common stock outstanding on December 31st of the preceding calendar year, or (ii) a lesser number of shares determined by our Board prior to January 1st of a given fiscal year. Accordingly, on January 1, 2025, the number of shares of common stock available for issuance under our 2023 EIP increased by 135,297 shares. This increase is not reflected in the table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underlying options granted to employees as inducement awards material to the grantees entering into employment with us pursuant to Nasdaq Rule 5635(c)(4). Does not reflect 969 shares of common stock granted pursuant to inducement grants made outside of the 2023 Inducement Plan at a weighted average exercise-price of $28.34. </w:t>
            </w:r>
          </w:p>
        </w:tc>
      </w:tr>
    </w:tbl>
    <w:p>
      <w:pPr>
        <w:pStyle w:val="TextBody"/>
        <w:bidi w:val="0"/>
        <w:spacing w:before="360" w:after="0"/>
        <w:jc w:val="left"/>
        <w:rPr>
          <w:rFonts w:ascii="Times New Roman" w:hAnsi="Times New Roman"/>
          <w:b/>
          <w:sz w:val="20"/>
        </w:rPr>
      </w:pPr>
      <w:bookmarkStart w:id="6" w:name="txb920870_5"/>
      <w:bookmarkEnd w:id="6"/>
      <w:r>
        <w:rPr>
          <w:rFonts w:ascii="Times New Roman" w:hAnsi="Times New Roman"/>
          <w:b/>
          <w:sz w:val="20"/>
        </w:rPr>
        <w:t xml:space="preserve">ITEM 13. CERTAIN RELATIONSHIPS AND RELATED TRANSACTIONS, AND DIRECTOR INDEPENDENCE </w:t>
      </w:r>
    </w:p>
    <w:p>
      <w:pPr>
        <w:pStyle w:val="TextBody"/>
        <w:bidi w:val="0"/>
        <w:spacing w:before="120" w:after="0"/>
        <w:jc w:val="left"/>
        <w:rPr>
          <w:rFonts w:ascii="Times New Roman" w:hAnsi="Times New Roman"/>
          <w:b/>
          <w:sz w:val="20"/>
        </w:rPr>
      </w:pPr>
      <w:r>
        <w:rPr>
          <w:rFonts w:ascii="Times New Roman" w:hAnsi="Times New Roman"/>
          <w:b/>
          <w:sz w:val="20"/>
        </w:rPr>
        <w:t>R</w:t>
      </w:r>
      <w:r>
        <w:rPr>
          <w:rFonts w:ascii="Times New Roman" w:hAnsi="Times New Roman"/>
          <w:b/>
          <w:sz w:val="20"/>
          <w:u w:val="single"/>
        </w:rPr>
        <w:t>ELATED</w:t>
      </w:r>
      <w:r>
        <w:rPr>
          <w:rFonts w:ascii="Times New Roman" w:hAnsi="Times New Roman"/>
          <w:b/>
          <w:sz w:val="20"/>
        </w:rPr>
        <w:t xml:space="preserve"> P</w:t>
      </w:r>
      <w:r>
        <w:rPr>
          <w:rFonts w:ascii="Times New Roman" w:hAnsi="Times New Roman"/>
          <w:b/>
          <w:sz w:val="20"/>
          <w:u w:val="single"/>
        </w:rPr>
        <w:t>ERSON</w:t>
      </w:r>
      <w:r>
        <w:rPr>
          <w:rFonts w:ascii="Times New Roman" w:hAnsi="Times New Roman"/>
          <w:b/>
          <w:sz w:val="20"/>
        </w:rPr>
        <w:t xml:space="preserve"> T</w:t>
      </w:r>
      <w:r>
        <w:rPr>
          <w:rFonts w:ascii="Times New Roman" w:hAnsi="Times New Roman"/>
          <w:b/>
          <w:sz w:val="20"/>
          <w:u w:val="single"/>
        </w:rPr>
        <w:t>RANSACTIONS</w:t>
      </w:r>
      <w:r>
        <w:rPr>
          <w:rFonts w:ascii="Times New Roman" w:hAnsi="Times New Roman"/>
          <w:b/>
          <w:sz w:val="20"/>
        </w:rPr>
        <w:t xml:space="preserve"> P</w:t>
      </w:r>
      <w:r>
        <w:rPr>
          <w:rFonts w:ascii="Times New Roman" w:hAnsi="Times New Roman"/>
          <w:b/>
          <w:sz w:val="20"/>
          <w:u w:val="single"/>
        </w:rPr>
        <w:t>OLICY</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P</w:t>
      </w:r>
      <w:r>
        <w:rPr>
          <w:rFonts w:ascii="Times New Roman" w:hAnsi="Times New Roman"/>
          <w:b/>
          <w:sz w:val="20"/>
          <w:u w:val="single"/>
        </w:rPr>
        <w:t>ROCEDURES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written Related Person Transactions Policy that sets forth our policies and procedures regarding the identification, review, consideration and approval or ratification of “related-persons transactions.” For purposes of our policy only, a “related-person transaction” is a transaction, arrangement or relationship (or any series of similar transactions, arrangements or relationships) in which we and any “related person” are participants involving an amount that exceeds or will exceed $120,000 or, during such time as we qualify as a “smaller reporting company,” the lesser of (1) $120,000 or (2) 1% of the average of our total assets for the last two completed fiscal years. Transactions involving compensation for services provided to us as an employee, director, consultant or similar capacity by a related person are not covered by this policy. A related person is any executive officer, director, or a holder of more than 5% of our capital stock, including any of their immediate family members, and any entity owned or controlled by such persons. </w:t>
      </w:r>
    </w:p>
    <w:p>
      <w:pPr>
        <w:pStyle w:val="TextBody"/>
        <w:bidi w:val="0"/>
        <w:spacing w:before="36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ERTAIN</w:t>
      </w:r>
      <w:r>
        <w:rPr>
          <w:rFonts w:ascii="Times New Roman" w:hAnsi="Times New Roman"/>
          <w:b/>
          <w:sz w:val="20"/>
        </w:rPr>
        <w:t xml:space="preserve"> R</w:t>
      </w:r>
      <w:r>
        <w:rPr>
          <w:rFonts w:ascii="Times New Roman" w:hAnsi="Times New Roman"/>
          <w:b/>
          <w:sz w:val="20"/>
          <w:u w:val="single"/>
        </w:rPr>
        <w:t>ELATED</w:t>
      </w:r>
      <w:r>
        <w:rPr>
          <w:rFonts w:ascii="Times New Roman" w:hAnsi="Times New Roman"/>
          <w:b/>
          <w:sz w:val="20"/>
        </w:rPr>
        <w:t xml:space="preserve"> P</w:t>
      </w:r>
      <w:r>
        <w:rPr>
          <w:rFonts w:ascii="Times New Roman" w:hAnsi="Times New Roman"/>
          <w:b/>
          <w:sz w:val="20"/>
          <w:u w:val="single"/>
        </w:rPr>
        <w:t>ERSON</w:t>
      </w:r>
      <w:r>
        <w:rPr>
          <w:rFonts w:ascii="Times New Roman" w:hAnsi="Times New Roman"/>
          <w:b/>
          <w:sz w:val="20"/>
        </w:rPr>
        <w:t xml:space="preserve"> T</w:t>
      </w:r>
      <w:r>
        <w:rPr>
          <w:rFonts w:ascii="Times New Roman" w:hAnsi="Times New Roman"/>
          <w:b/>
          <w:sz w:val="20"/>
          <w:u w:val="single"/>
        </w:rPr>
        <w:t>RANSACTIONS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Other than compensation arrangements for our directors and executive officers, which are described in the section titled “Executive and Director Compensation,” the following is a description of our related person transactions since January 1, 2023 to which we were a party or will be a party. </w:t>
      </w:r>
    </w:p>
    <w:p>
      <w:pPr>
        <w:pStyle w:val="TextBody"/>
        <w:bidi w:val="0"/>
        <w:spacing w:before="360" w:after="0"/>
        <w:jc w:val="left"/>
        <w:rPr>
          <w:rFonts w:ascii="Times New Roman" w:hAnsi="Times New Roman"/>
          <w:b/>
          <w:sz w:val="20"/>
        </w:rPr>
      </w:pPr>
      <w:r>
        <w:rPr>
          <w:rFonts w:ascii="Times New Roman" w:hAnsi="Times New Roman"/>
          <w:b/>
          <w:sz w:val="20"/>
        </w:rPr>
        <w:t>I</w:t>
      </w:r>
      <w:r>
        <w:rPr>
          <w:rFonts w:ascii="Times New Roman" w:hAnsi="Times New Roman"/>
          <w:b/>
          <w:sz w:val="20"/>
          <w:u w:val="single"/>
        </w:rPr>
        <w:t>NDEMNIFICATION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 </w:t>
      </w:r>
    </w:p>
    <w:p>
      <w:pPr>
        <w:pStyle w:val="TextBody"/>
        <w:bidi w:val="0"/>
        <w:spacing w:before="360" w:after="0"/>
        <w:jc w:val="left"/>
        <w:rPr>
          <w:rFonts w:ascii="Times New Roman" w:hAnsi="Times New Roman"/>
          <w:b/>
          <w:sz w:val="20"/>
        </w:rPr>
      </w:pPr>
      <w:r>
        <w:rPr>
          <w:rFonts w:ascii="Times New Roman" w:hAnsi="Times New Roman"/>
          <w:b/>
          <w:sz w:val="20"/>
        </w:rPr>
        <w:t>I</w:t>
      </w:r>
      <w:r>
        <w:rPr>
          <w:rFonts w:ascii="Times New Roman" w:hAnsi="Times New Roman"/>
          <w:b/>
          <w:sz w:val="20"/>
          <w:u w:val="single"/>
        </w:rPr>
        <w:t>NDEPENDENCE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E</w:t>
      </w:r>
      <w:r>
        <w:rPr>
          <w:rFonts w:ascii="Times New Roman" w:hAnsi="Times New Roman"/>
          <w:b/>
          <w:sz w:val="20"/>
          <w:u w:val="single"/>
        </w:rPr>
        <w:t>XECUTIVE</w:t>
      </w:r>
      <w:r>
        <w:rPr>
          <w:rFonts w:ascii="Times New Roman" w:hAnsi="Times New Roman"/>
          <w:b/>
          <w:sz w:val="20"/>
        </w:rPr>
        <w:t xml:space="preserve"> S</w:t>
      </w:r>
      <w:r>
        <w:rPr>
          <w:rFonts w:ascii="Times New Roman" w:hAnsi="Times New Roman"/>
          <w:b/>
          <w:sz w:val="20"/>
          <w:u w:val="single"/>
        </w:rPr>
        <w:t>ESSIONS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As required under the Nasdaq Capital Market (“</w:t>
      </w:r>
      <w:r>
        <w:rPr>
          <w:rFonts w:ascii="Times New Roman" w:hAnsi="Times New Roman"/>
          <w:b/>
          <w:i/>
          <w:sz w:val="20"/>
        </w:rPr>
        <w:t>Nasdaq</w:t>
      </w:r>
      <w:r>
        <w:rPr>
          <w:rFonts w:ascii="Times New Roman" w:hAnsi="Times New Roman"/>
          <w:sz w:val="20"/>
        </w:rPr>
        <w:t xml:space="preserve">”) listing standards, “independent” directors must comprise a majority of a listed company’s board of directors.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Mr. Brady, our Chief Executive Officer and President, qualify as “independent” directors within the meaning of the Nasdaq rules. Accordingly, a majority of our directors are independent, as required under applicable Nasdaq rules. The Board also determined that each member of our Audit, Compensation and Nominating and Corporate Governance Committees satisfies the independence standards for such committees established by the SEC and the Nasdaq listing standards,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Our non-employee directors have been meeting, and we anticipate that they will continue to meet, in regularly scheduled executive sessions at which only non-employee directors are present. </w:t>
      </w:r>
    </w:p>
    <w:p>
      <w:pPr>
        <w:pStyle w:val="TextBody"/>
        <w:bidi w:val="0"/>
        <w:spacing w:before="360" w:after="0"/>
        <w:jc w:val="left"/>
        <w:rPr>
          <w:rFonts w:ascii="Times New Roman" w:hAnsi="Times New Roman"/>
          <w:b/>
          <w:sz w:val="20"/>
        </w:rPr>
      </w:pPr>
      <w:bookmarkStart w:id="7" w:name="txb920870_6"/>
      <w:bookmarkEnd w:id="7"/>
      <w:r>
        <w:rPr>
          <w:rFonts w:ascii="Times New Roman" w:hAnsi="Times New Roman"/>
          <w:b/>
          <w:sz w:val="20"/>
        </w:rPr>
        <w:t xml:space="preserve">ITEM 14. PRINCIPAL ACCOUNTING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aggregate fees billed to the Company for the fiscal years ended December 31, 2024 and 2023 by Ernst &amp; Young, the Company’s independent registered public accountant. All fees described below were pre-approved by the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tbl>
      <w:tblPr>
        <w:tblW w:w="3775" w:type="dxa"/>
        <w:jc w:val="left"/>
        <w:tblInd w:w="0" w:type="dxa"/>
        <w:tblLayout w:type="fixed"/>
        <w:tblCellMar>
          <w:top w:w="0" w:type="dxa"/>
          <w:left w:w="0" w:type="dxa"/>
          <w:bottom w:w="0" w:type="dxa"/>
          <w:right w:w="0" w:type="dxa"/>
        </w:tblCellMar>
      </w:tblPr>
      <w:tblGrid>
        <w:gridCol w:w="1520"/>
        <w:gridCol w:w="120"/>
        <w:gridCol w:w="140"/>
        <w:gridCol w:w="800"/>
        <w:gridCol w:w="60"/>
        <w:gridCol w:w="120"/>
        <w:gridCol w:w="140"/>
        <w:gridCol w:w="800"/>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755,000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805,000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755,000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805,000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 relate to the audit of our annual financial statements, review of interim financial statements and assistance with registration statements filed with the SEC. </w:t>
            </w:r>
          </w:p>
        </w:tc>
      </w:tr>
    </w:tbl>
    <w:p>
      <w:pPr>
        <w:pStyle w:val="TextBody"/>
        <w:bidi w:val="0"/>
        <w:spacing w:before="360" w:after="0"/>
        <w:jc w:val="left"/>
        <w:rPr>
          <w:rFonts w:ascii="Times New Roman" w:hAnsi="Times New Roman"/>
          <w:b/>
          <w:sz w:val="20"/>
        </w:rPr>
      </w:pPr>
      <w:r>
        <w:rPr>
          <w:rFonts w:ascii="Times New Roman" w:hAnsi="Times New Roman"/>
          <w:b/>
          <w:sz w:val="20"/>
        </w:rPr>
        <w:t>P</w:t>
      </w:r>
      <w:r>
        <w:rPr>
          <w:rFonts w:ascii="Times New Roman" w:hAnsi="Times New Roman"/>
          <w:b/>
          <w:sz w:val="20"/>
          <w:u w:val="single"/>
        </w:rPr>
        <w:t>RE</w:t>
      </w:r>
      <w:r>
        <w:rPr>
          <w:rFonts w:ascii="Times New Roman" w:hAnsi="Times New Roman"/>
          <w:b/>
          <w:sz w:val="20"/>
        </w:rPr>
        <w:t>-A</w:t>
      </w:r>
      <w:r>
        <w:rPr>
          <w:rFonts w:ascii="Times New Roman" w:hAnsi="Times New Roman"/>
          <w:b/>
          <w:sz w:val="20"/>
          <w:u w:val="single"/>
        </w:rPr>
        <w:t>PPROVAL</w:t>
      </w:r>
      <w:r>
        <w:rPr>
          <w:rFonts w:ascii="Times New Roman" w:hAnsi="Times New Roman"/>
          <w:b/>
          <w:sz w:val="20"/>
        </w:rPr>
        <w:t xml:space="preserve"> P</w:t>
      </w:r>
      <w:r>
        <w:rPr>
          <w:rFonts w:ascii="Times New Roman" w:hAnsi="Times New Roman"/>
          <w:b/>
          <w:sz w:val="20"/>
          <w:u w:val="single"/>
        </w:rPr>
        <w:t>OLICIES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P</w:t>
      </w:r>
      <w:r>
        <w:rPr>
          <w:rFonts w:ascii="Times New Roman" w:hAnsi="Times New Roman"/>
          <w:b/>
          <w:sz w:val="20"/>
          <w:u w:val="single"/>
        </w:rPr>
        <w:t>ROCEDURES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adopted a pre-approval policy under which the Audit Committee approves in advance all audit and permissible non-audit services to be performed by the independent accountants (subject to a </w:t>
      </w:r>
      <w:r>
        <w:rPr>
          <w:rFonts w:ascii="Times New Roman" w:hAnsi="Times New Roman"/>
          <w:i/>
          <w:sz w:val="20"/>
        </w:rPr>
        <w:t>de minimis</w:t>
      </w:r>
      <w:r>
        <w:rPr>
          <w:rFonts w:ascii="Times New Roman" w:hAnsi="Times New Roman"/>
          <w:sz w:val="20"/>
        </w:rPr>
        <w:t xml:space="preserve">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 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xb920870_7"/>
      <w:bookmarkEnd w:id="8"/>
      <w:r>
        <w:rPr>
          <w:rFonts w:ascii="Times New Roman" w:hAnsi="Times New Roman"/>
          <w:b/>
          <w:sz w:val="20"/>
        </w:rPr>
        <w:t xml:space="preserve">PART IV </w:t>
      </w:r>
    </w:p>
    <w:p>
      <w:pPr>
        <w:pStyle w:val="TextBody"/>
        <w:bidi w:val="0"/>
        <w:spacing w:before="120" w:after="0"/>
        <w:jc w:val="left"/>
        <w:rPr>
          <w:rFonts w:ascii="Times New Roman" w:hAnsi="Times New Roman"/>
          <w:b/>
          <w:sz w:val="20"/>
        </w:rPr>
      </w:pPr>
      <w:bookmarkStart w:id="9" w:name="txb920870_8"/>
      <w:bookmarkEnd w:id="9"/>
      <w:r>
        <w:rPr>
          <w:rFonts w:ascii="Times New Roman" w:hAnsi="Times New Roman"/>
          <w:b/>
          <w:sz w:val="20"/>
        </w:rPr>
        <w:t xml:space="preserve">ITEM 15.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We have filed the following documents as part of this Amendment: </w:t>
      </w:r>
    </w:p>
    <w:p>
      <w:pPr>
        <w:pStyle w:val="TextBody"/>
        <w:bidi w:val="0"/>
        <w:spacing w:before="0" w:after="0"/>
        <w:jc w:val="left"/>
        <w:rPr/>
      </w:pPr>
      <w:r>
        <w:rPr/>
        <w:t> </w:t>
      </w:r>
    </w:p>
    <w:tbl>
      <w:tblPr>
        <w:tblW w:w="1360" w:type="dxa"/>
        <w:jc w:val="left"/>
        <w:tblInd w:w="0" w:type="dxa"/>
        <w:tblLayout w:type="fixed"/>
        <w:tblCellMar>
          <w:top w:w="0" w:type="dxa"/>
          <w:left w:w="0" w:type="dxa"/>
          <w:bottom w:w="0" w:type="dxa"/>
          <w:right w:w="0" w:type="dxa"/>
        </w:tblCellMar>
      </w:tblPr>
      <w:tblGrid>
        <w:gridCol w:w="575"/>
        <w:gridCol w:w="785"/>
      </w:tblGrid>
      <w:tr>
        <w:trPr/>
        <w:tc>
          <w:tcPr>
            <w:tcW w:w="575" w:type="dxa"/>
            <w:tcBorders/>
            <w:vAlign w:val="center"/>
          </w:tcPr>
          <w:p>
            <w:pPr>
              <w:pStyle w:val="TableContents"/>
              <w:bidi w:val="0"/>
              <w:spacing w:before="0" w:after="283"/>
              <w:jc w:val="left"/>
              <w:rPr>
                <w:b/>
              </w:rPr>
            </w:pPr>
            <w:r>
              <w:rPr>
                <w:b/>
              </w:rPr>
              <w:t>(a)(3)</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4268"/>
        <w:gridCol w:w="120"/>
        <w:gridCol w:w="89"/>
        <w:gridCol w:w="502"/>
        <w:gridCol w:w="60"/>
        <w:gridCol w:w="120"/>
        <w:gridCol w:w="60"/>
        <w:gridCol w:w="858"/>
        <w:gridCol w:w="60"/>
        <w:gridCol w:w="120"/>
        <w:gridCol w:w="92"/>
        <w:gridCol w:w="678"/>
        <w:gridCol w:w="60"/>
        <w:gridCol w:w="120"/>
        <w:gridCol w:w="60"/>
        <w:gridCol w:w="601"/>
        <w:gridCol w:w="60"/>
        <w:gridCol w:w="120"/>
        <w:gridCol w:w="535"/>
        <w:gridCol w:w="535"/>
        <w:gridCol w:w="77"/>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3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Incorporation by Reference</w:t>
            </w:r>
          </w:p>
        </w:tc>
        <w:tc>
          <w:tcPr>
            <w:tcW w:w="77" w:type="dxa"/>
            <w:tcBorders/>
            <w:vAlign w:val="center"/>
          </w:tcPr>
          <w:p>
            <w:pPr>
              <w:pStyle w:val="TableContents"/>
              <w:bidi w:val="0"/>
              <w:spacing w:before="0" w:after="283"/>
              <w:jc w:val="left"/>
              <w:rPr/>
            </w:pPr>
            <w:r>
              <w:rPr/>
              <w:t> </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426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c>
          <w:tcPr>
            <w:tcW w:w="120" w:type="dxa"/>
            <w:tcBorders/>
            <w:vAlign w:val="center"/>
          </w:tcPr>
          <w:p>
            <w:pPr>
              <w:pStyle w:val="TableContents"/>
              <w:bidi w:val="0"/>
              <w:spacing w:before="0" w:after="283"/>
              <w:jc w:val="left"/>
              <w:rPr/>
            </w:pPr>
            <w:r>
              <w:rPr/>
              <w:t>  </w:t>
            </w:r>
          </w:p>
        </w:tc>
        <w:tc>
          <w:tcPr>
            <w:tcW w:w="5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File Number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Filing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Filed or</w:t>
              <w:br/>
              <w:t>Furnished</w:t>
              <w:br/>
              <w:t>Herewith</w:t>
            </w:r>
          </w:p>
        </w:tc>
        <w:tc>
          <w:tcPr>
            <w:tcW w:w="77"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2">
              <w:r>
                <w:rPr>
                  <w:rStyle w:val="InternetLink"/>
                </w:rPr>
                <w:t xml:space="preserve">Agreement and Plan of Merger, dated as of March 29, 2021, by and among Tempest Therapeutics, Inc., Mars Merger Corp. and Tempest Therapeutics, Inc. </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3/29/2021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3">
              <w:r>
                <w:rPr>
                  <w:rStyle w:val="InternetLink"/>
                </w:rPr>
                <w:t>Restated Certificate of Incorporation of the Registrant, as amended</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10-Q</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5/15/2019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4">
              <w:r>
                <w:rPr>
                  <w:rStyle w:val="InternetLink"/>
                </w:rPr>
                <w:t>Certificate of Amendment to the Restated Certificate of Incorporation of the Company, as filed with the Secretary of State of the State of Delaware on June 24, 2021</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6/28/2021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3.3</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5">
              <w:r>
                <w:rPr>
                  <w:rStyle w:val="InternetLink"/>
                </w:rPr>
                <w:t>Certificate of Amendment to the Restated Certificate of Incorporation of the Company, as filed with the Secretary of State of the State of Delaware on June 25, 2021</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6/28/2021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3.4</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6">
              <w:r>
                <w:rPr>
                  <w:rStyle w:val="InternetLink"/>
                </w:rPr>
                <w:t>Certificate of Designation of Series A Junior Participating Preferred Stock filed with the Secretary of State of the State of Delaware on October 10, 2023</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10/11/2023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3.5</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7">
              <w:r>
                <w:rPr>
                  <w:rStyle w:val="InternetLink"/>
                </w:rPr>
                <w:t>Amended and Restated Bylaws of the Registrant</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9/24/2021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8">
              <w:r>
                <w:rPr>
                  <w:rStyle w:val="InternetLink"/>
                </w:rPr>
                <w:t xml:space="preserve">Description of Securities Registered Pursuant to Section 12 of the Securities Exchange Act of 1934 </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9">
              <w:r>
                <w:rPr>
                  <w:rStyle w:val="InternetLink"/>
                </w:rPr>
                <w:t xml:space="preserve">Form of Tempest Therapeutics, Inc. Warrant to Purchase Stock </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10">
              <w:r>
                <w:rPr>
                  <w:rStyle w:val="InternetLink"/>
                </w:rPr>
                <w:t>Rights Agreement, dated as of October 10, 2023, between Tempest Therapeutics, Inc. and Computershare Trust Company, N.A., which includes the form of Certificate of Designation as Exhibit A, the form of Right Certificate as Exhibit B and the Summary of Rights to Purchase Preferred Shares as Exhibit C</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10/11/2023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11">
              <w:r>
                <w:rPr>
                  <w:rStyle w:val="InternetLink"/>
                </w:rPr>
                <w:t xml:space="preserve">Amendment No. 1, dated as of October 9, 2024, to Rights Agreement, dated as of October 10, 2023, by and between Tempest Therapeutics, Inc. and Computershare Trust Company, N.A., as rights agent </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10/10/2024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4.5</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12">
              <w:r>
                <w:rPr>
                  <w:rStyle w:val="InternetLink"/>
                </w:rPr>
                <w:t xml:space="preserve">Amendment No. 2, dated as of December 5, 2024, to Rights Agreement, dated as of October 10, 2023, as amended, by and between Tempest Therapeutics, Inc. and Computershare Trust Company, N.A., as rights agent. </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12/06/2024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13">
              <w:r>
                <w:rPr>
                  <w:rStyle w:val="InternetLink"/>
                </w:rPr>
                <w:t>2011 Equity Incentive Plan</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S-8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333-257727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7/7/2021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14">
              <w:r>
                <w:rPr>
                  <w:rStyle w:val="InternetLink"/>
                </w:rPr>
                <w:t>2017 Equity Incentive Plan</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S-8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333-257727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7/7/2021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15">
              <w:r>
                <w:rPr>
                  <w:rStyle w:val="InternetLink"/>
                </w:rPr>
                <w:t>Form of Stock Option Agreement under the 2017 Equity Incentive Plan</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3/29/2022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4388"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098"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4268" w:type="dxa"/>
            <w:tcBorders/>
            <w:vAlign w:val="center"/>
          </w:tcPr>
          <w:p>
            <w:pPr>
              <w:pStyle w:val="TableContents"/>
              <w:bidi w:val="0"/>
              <w:spacing w:before="0" w:after="283"/>
              <w:jc w:val="left"/>
              <w:rPr/>
            </w:pPr>
            <w:hyperlink r:id="rId16">
              <w:r>
                <w:rPr>
                  <w:rStyle w:val="InternetLink"/>
                </w:rPr>
                <w:t>Amended and Restated 2019 Equity Incentive Plan</w:t>
              </w:r>
            </w:hyperlink>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6/21/2022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604"/>
        <w:gridCol w:w="120"/>
        <w:gridCol w:w="5615"/>
        <w:gridCol w:w="120"/>
        <w:gridCol w:w="60"/>
        <w:gridCol w:w="425"/>
        <w:gridCol w:w="60"/>
        <w:gridCol w:w="120"/>
        <w:gridCol w:w="60"/>
        <w:gridCol w:w="834"/>
        <w:gridCol w:w="60"/>
        <w:gridCol w:w="120"/>
        <w:gridCol w:w="60"/>
        <w:gridCol w:w="560"/>
        <w:gridCol w:w="60"/>
        <w:gridCol w:w="120"/>
        <w:gridCol w:w="60"/>
        <w:gridCol w:w="629"/>
        <w:gridCol w:w="60"/>
        <w:gridCol w:w="120"/>
        <w:gridCol w:w="60"/>
        <w:gridCol w:w="200"/>
        <w:gridCol w:w="78"/>
      </w:tblGrid>
      <w:tr>
        <w:trPr/>
        <w:tc>
          <w:tcPr>
            <w:tcW w:w="6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17">
              <w:r>
                <w:rPr>
                  <w:rStyle w:val="InternetLink"/>
                </w:rPr>
                <w:t>Form of Option Grant Package under 2019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10-Q</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8/12/2019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18">
              <w:r>
                <w:rPr>
                  <w:rStyle w:val="InternetLink"/>
                </w:rPr>
                <w:t xml:space="preserve">Form of Stock Option Agreement under the Sub Plan for French Residents under 2019 Equity Incentive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3/11/2020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19">
              <w:r>
                <w:rPr>
                  <w:rStyle w:val="InternetLink"/>
                </w:rPr>
                <w:t xml:space="preserve">Form of Inducement Nonqualified Stock Option Agreement subject to the terms of the 2019 Equity Incentive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3/11/2020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10.8+</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0">
              <w:r>
                <w:rPr>
                  <w:rStyle w:val="InternetLink"/>
                </w:rPr>
                <w:t>Amended and Restated 2019 Employee Stock Purchase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6/21/2022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10.9</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1">
              <w:r>
                <w:rPr>
                  <w:rStyle w:val="InternetLink"/>
                </w:rPr>
                <w:t xml:space="preserve">Loan and Security Agreement, dated January 15, 2021, by and among Oxford Finance LLC, the Lenders party thereto, and Tempest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S-4/A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333-255198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5/4/2021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10.10+</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2">
              <w:r>
                <w:rPr>
                  <w:rStyle w:val="InternetLink"/>
                </w:rPr>
                <w:t xml:space="preserve">Form of Indemnification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7/07/2021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10.11+</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w:anchor="d920870dex1011.htm">
              <w:r>
                <w:rPr>
                  <w:rStyle w:val="InternetLink"/>
                </w:rPr>
                <w:t xml:space="preserve">Employment Agreement, dated January 12, 2022, by and between the Company and Stephen Brady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pPr>
            <w:r>
              <w:rPr/>
              <w:t>X</w:t>
            </w:r>
          </w:p>
        </w:tc>
        <w:tc>
          <w:tcPr>
            <w:tcW w:w="78" w:type="dxa"/>
            <w:tcBorders/>
            <w:vAlign w:val="center"/>
          </w:tcPr>
          <w:p>
            <w:pPr>
              <w:pStyle w:val="TableContents"/>
              <w:bidi w:val="0"/>
              <w:spacing w:before="0" w:after="283"/>
              <w:jc w:val="left"/>
              <w:rPr/>
            </w:pPr>
            <w:r>
              <w:rPr/>
              <w:t> </w:t>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10.12+</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w:anchor="d920870dex1012.htm">
              <w:r>
                <w:rPr>
                  <w:rStyle w:val="InternetLink"/>
                </w:rPr>
                <w:t xml:space="preserve">Employment Agreement, dated January 12, 2022, by and between the Company and Samuel Whiting, M.D., Ph.D.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pPr>
            <w:r>
              <w:rPr/>
              <w:t>X</w:t>
            </w:r>
          </w:p>
        </w:tc>
        <w:tc>
          <w:tcPr>
            <w:tcW w:w="78" w:type="dxa"/>
            <w:tcBorders/>
            <w:vAlign w:val="center"/>
          </w:tcPr>
          <w:p>
            <w:pPr>
              <w:pStyle w:val="TableContents"/>
              <w:bidi w:val="0"/>
              <w:spacing w:before="0" w:after="283"/>
              <w:jc w:val="left"/>
              <w:rPr/>
            </w:pPr>
            <w:r>
              <w:rPr/>
              <w:t> </w:t>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10.13</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3">
              <w:r>
                <w:rPr>
                  <w:rStyle w:val="InternetLink"/>
                </w:rPr>
                <w:t xml:space="preserve">Lease Agreement, dated January 24, 2022, by and between HCP Life Science REIT, Inc. and Tempest Therapeutics, Inc.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03/22/2023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10.14</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4">
              <w:r>
                <w:rPr>
                  <w:rStyle w:val="InternetLink"/>
                </w:rPr>
                <w:t>First Amendment to Loan and Security Agreement, dated December 23, 2022, by and among Oxford Finance LLC, Tempest Therapeutics, Inc., Tempest TX, Inc. and Millendo Therapeutics US, Inc.</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8-K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12/29/2022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10.15</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5">
              <w:r>
                <w:rPr>
                  <w:rStyle w:val="InternetLink"/>
                </w:rPr>
                <w:t xml:space="preserve">Second Amendment to Loan and Security Agreement, dated November 3, 2023, by and among Oxford Finance LLC, Tempest Therapeutics, Inc., Tempest TX, Inc. and Millendo Therapeutics US, Inc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03/19/2024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10.16</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6">
              <w:r>
                <w:rPr>
                  <w:rStyle w:val="InternetLink"/>
                </w:rPr>
                <w:t>Tempest Therapeutics, Inc. Amended and Restated 2023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10-Q</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8/10/2023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10.17</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7">
              <w:r>
                <w:rPr>
                  <w:rStyle w:val="InternetLink"/>
                </w:rPr>
                <w:t>Form of Option Grant Package under the Amended and Restated 2023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10-Q</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8/10/2023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10.18</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8">
              <w:r>
                <w:rPr>
                  <w:rStyle w:val="InternetLink"/>
                </w:rPr>
                <w:t>Tempest Therapeutics, Inc. 2023 Inducement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10-Q</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8/10/2023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10.19</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29">
              <w:r>
                <w:rPr>
                  <w:rStyle w:val="InternetLink"/>
                </w:rPr>
                <w:t>Form of Option Grant Package under the 2023 Inducement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10-Q</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8/10/2023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10.20#</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30">
              <w:r>
                <w:rPr>
                  <w:rStyle w:val="InternetLink"/>
                </w:rPr>
                <w:t xml:space="preserve">Roche Supply Agreement, dated October 7, 2024, by and between the Registrant and F. Hoffmann-La Roche Ltd.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10.21</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31">
              <w:r>
                <w:rPr>
                  <w:rStyle w:val="InternetLink"/>
                </w:rPr>
                <w:t xml:space="preserve">Executive Employment Agreement, dated January 1, 2025, by and between the Registrant and Nicholas Maestas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19.1</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32">
              <w:r>
                <w:rPr>
                  <w:rStyle w:val="InternetLink"/>
                </w:rPr>
                <w:t>Tempest Therapeutics, Inc. Insider Trading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21.1</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33">
              <w:r>
                <w:rPr>
                  <w:rStyle w:val="InternetLink"/>
                </w:rPr>
                <w:t>Subsidiaries of the Registrant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4/1/2022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34">
              <w:r>
                <w:rPr>
                  <w:rStyle w:val="InternetLink"/>
                </w:rPr>
                <w:t>Consent of Ernst &amp; Young LLP,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24.1</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"http://www.sec.gov/Archives/edgar/data/../../../ix?doc=/Archives/edgar/data/1544227/000095017025046144/tpst-20241231.htm" \l "section53"</w:instrText>
            </w:r>
            <w:r>
              <w:rPr>
                <w:rStyle w:val="InternetLink"/>
              </w:rPr>
              <w:fldChar w:fldCharType="separate"/>
            </w:r>
            <w:r>
              <w:rPr>
                <w:rStyle w:val="InternetLink"/>
              </w:rPr>
              <w:t>Power of Attorney (included on signature page)</w:t>
            </w:r>
            <w:r>
              <w:rPr>
                <w:rStyle w:val="InternetLink"/>
              </w:rPr>
              <w:fldChar w:fldCharType="end"/>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31.1</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35">
              <w:r>
                <w:rPr>
                  <w:rStyle w:val="InternetLink"/>
                </w:rPr>
                <w:t xml:space="preserve">Certification of Principal Executive Officer pursuant to Rules 13a-14(a) and 15d-14(a) promulgated under the Securities Exchange Act of 1934, as adopted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sz w:val="4"/>
                <w:szCs w:val="4"/>
              </w:rPr>
            </w:pPr>
            <w:r>
              <w:rPr>
                <w:sz w:val="4"/>
                <w:szCs w:val="4"/>
              </w:rPr>
            </w:r>
          </w:p>
        </w:tc>
        <w:tc>
          <w:tcPr>
            <w:tcW w:w="573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c>
          <w:tcPr>
            <w:tcW w:w="869" w:type="dxa"/>
            <w:gridSpan w:val="4"/>
            <w:tcBorders/>
            <w:vAlign w:val="center"/>
          </w:tcPr>
          <w:p>
            <w:pPr>
              <w:pStyle w:val="TableContents"/>
              <w:bidi w:val="0"/>
              <w:spacing w:before="0" w:after="283"/>
              <w:jc w:val="left"/>
              <w:rPr>
                <w:sz w:val="4"/>
                <w:szCs w:val="4"/>
              </w:rPr>
            </w:pPr>
            <w:r>
              <w:rPr>
                <w:sz w:val="4"/>
                <w:szCs w:val="4"/>
              </w:rPr>
            </w:r>
          </w:p>
        </w:tc>
        <w:tc>
          <w:tcPr>
            <w:tcW w:w="458" w:type="dxa"/>
            <w:gridSpan w:val="4"/>
            <w:tcBorders/>
            <w:vAlign w:val="center"/>
          </w:tcPr>
          <w:p>
            <w:pPr>
              <w:pStyle w:val="TableContents"/>
              <w:bidi w:val="0"/>
              <w:spacing w:before="0" w:after="283"/>
              <w:jc w:val="left"/>
              <w:rPr>
                <w:sz w:val="4"/>
                <w:szCs w:val="4"/>
              </w:rPr>
            </w:pPr>
            <w:r>
              <w:rPr>
                <w:sz w:val="4"/>
                <w:szCs w:val="4"/>
              </w:rPr>
            </w:r>
          </w:p>
        </w:tc>
      </w:tr>
      <w:tr>
        <w:trPr/>
        <w:tc>
          <w:tcPr>
            <w:tcW w:w="604" w:type="dxa"/>
            <w:tcBorders/>
            <w:vAlign w:val="center"/>
          </w:tcPr>
          <w:p>
            <w:pPr>
              <w:pStyle w:val="TableContents"/>
              <w:bidi w:val="0"/>
              <w:spacing w:before="0" w:after="283"/>
              <w:jc w:val="left"/>
              <w:rPr/>
            </w:pPr>
            <w:r>
              <w:rPr/>
              <w:t>31.2</w:t>
            </w:r>
          </w:p>
        </w:tc>
        <w:tc>
          <w:tcPr>
            <w:tcW w:w="12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hyperlink r:id="rId36">
              <w:r>
                <w:rPr>
                  <w:rStyle w:val="InternetLink"/>
                </w:rPr>
                <w:t xml:space="preserve">Certification of Principal Financial Officer pursuant to Rules 13a-14(a) and 15d-14(a) promulgated under the Securities Exchange Act of 1934, as adopted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590"/>
        <w:gridCol w:w="120"/>
        <w:gridCol w:w="5965"/>
        <w:gridCol w:w="120"/>
        <w:gridCol w:w="60"/>
        <w:gridCol w:w="367"/>
        <w:gridCol w:w="60"/>
        <w:gridCol w:w="120"/>
        <w:gridCol w:w="60"/>
        <w:gridCol w:w="698"/>
        <w:gridCol w:w="60"/>
        <w:gridCol w:w="120"/>
        <w:gridCol w:w="60"/>
        <w:gridCol w:w="440"/>
        <w:gridCol w:w="60"/>
        <w:gridCol w:w="120"/>
        <w:gridCol w:w="60"/>
        <w:gridCol w:w="608"/>
        <w:gridCol w:w="60"/>
        <w:gridCol w:w="120"/>
        <w:gridCol w:w="60"/>
        <w:gridCol w:w="200"/>
        <w:gridCol w:w="77"/>
      </w:tblGrid>
      <w:tr>
        <w:trPr/>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pPr>
            <w:r>
              <w:rPr/>
              <w:t>31.3</w:t>
            </w:r>
          </w:p>
        </w:tc>
        <w:tc>
          <w:tcPr>
            <w:tcW w:w="120" w:type="dxa"/>
            <w:tcBorders/>
            <w:vAlign w:val="center"/>
          </w:tcPr>
          <w:p>
            <w:pPr>
              <w:pStyle w:val="TableContents"/>
              <w:bidi w:val="0"/>
              <w:spacing w:before="0" w:after="283"/>
              <w:jc w:val="left"/>
              <w:rPr/>
            </w:pPr>
            <w:r>
              <w:rPr/>
              <w:t>  </w:t>
            </w:r>
          </w:p>
        </w:tc>
        <w:tc>
          <w:tcPr>
            <w:tcW w:w="5965" w:type="dxa"/>
            <w:tcBorders/>
            <w:vAlign w:val="center"/>
          </w:tcPr>
          <w:p>
            <w:pPr>
              <w:pStyle w:val="TableContents"/>
              <w:bidi w:val="0"/>
              <w:spacing w:before="0" w:after="283"/>
              <w:jc w:val="left"/>
              <w:rPr/>
            </w:pPr>
            <w:hyperlink w:anchor="d920870dex313.htm">
              <w:r>
                <w:rPr>
                  <w:rStyle w:val="InternetLink"/>
                </w:rPr>
                <w:t xml:space="preserve">Certification of Principal Executive Officer pursuant to Rules 13a-14(a) and 15d-14(a) promulgated under the Securities Exchange Act of 1934, as adopted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pPr>
            <w:r>
              <w:rPr/>
              <w:t>X</w:t>
            </w:r>
          </w:p>
        </w:tc>
        <w:tc>
          <w:tcPr>
            <w:tcW w:w="77"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6085" w:type="dxa"/>
            <w:gridSpan w:val="2"/>
            <w:tcBorders/>
            <w:vAlign w:val="center"/>
          </w:tcPr>
          <w:p>
            <w:pPr>
              <w:pStyle w:val="TableContents"/>
              <w:bidi w:val="0"/>
              <w:spacing w:before="0" w:after="283"/>
              <w:jc w:val="left"/>
              <w:rPr>
                <w:sz w:val="4"/>
                <w:szCs w:val="4"/>
              </w:rPr>
            </w:pPr>
            <w:r>
              <w:rPr>
                <w:sz w:val="4"/>
                <w:szCs w:val="4"/>
              </w:rPr>
            </w:r>
          </w:p>
        </w:tc>
        <w:tc>
          <w:tcPr>
            <w:tcW w:w="607"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8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pPr>
            <w:r>
              <w:rPr/>
              <w:t>31.4</w:t>
            </w:r>
          </w:p>
        </w:tc>
        <w:tc>
          <w:tcPr>
            <w:tcW w:w="120" w:type="dxa"/>
            <w:tcBorders/>
            <w:vAlign w:val="center"/>
          </w:tcPr>
          <w:p>
            <w:pPr>
              <w:pStyle w:val="TableContents"/>
              <w:bidi w:val="0"/>
              <w:spacing w:before="0" w:after="283"/>
              <w:jc w:val="left"/>
              <w:rPr/>
            </w:pPr>
            <w:r>
              <w:rPr/>
              <w:t>  </w:t>
            </w:r>
          </w:p>
        </w:tc>
        <w:tc>
          <w:tcPr>
            <w:tcW w:w="5965" w:type="dxa"/>
            <w:tcBorders/>
            <w:vAlign w:val="center"/>
          </w:tcPr>
          <w:p>
            <w:pPr>
              <w:pStyle w:val="TableContents"/>
              <w:bidi w:val="0"/>
              <w:spacing w:before="0" w:after="283"/>
              <w:jc w:val="left"/>
              <w:rPr/>
            </w:pPr>
            <w:hyperlink w:anchor="d920870dex314.htm">
              <w:r>
                <w:rPr>
                  <w:rStyle w:val="InternetLink"/>
                </w:rPr>
                <w:t xml:space="preserve">Certification of Principal Financial Officer pursuant to Rules 13a-14(a) and 15d-14(a) promulgated under the Securities Exchange Act of 1934, as adopted pursuant to section 302 of the Sarbanes-Oxley Act of 2002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pPr>
            <w:r>
              <w:rPr/>
              <w:t>X</w:t>
            </w:r>
          </w:p>
        </w:tc>
        <w:tc>
          <w:tcPr>
            <w:tcW w:w="77"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sz w:val="4"/>
                <w:szCs w:val="4"/>
              </w:rPr>
            </w:pPr>
            <w:r>
              <w:rPr>
                <w:sz w:val="4"/>
                <w:szCs w:val="4"/>
              </w:rPr>
            </w:r>
          </w:p>
        </w:tc>
        <w:tc>
          <w:tcPr>
            <w:tcW w:w="6085" w:type="dxa"/>
            <w:gridSpan w:val="2"/>
            <w:tcBorders/>
            <w:vAlign w:val="center"/>
          </w:tcPr>
          <w:p>
            <w:pPr>
              <w:pStyle w:val="TableContents"/>
              <w:bidi w:val="0"/>
              <w:spacing w:before="0" w:after="283"/>
              <w:jc w:val="left"/>
              <w:rPr>
                <w:sz w:val="4"/>
                <w:szCs w:val="4"/>
              </w:rPr>
            </w:pPr>
            <w:r>
              <w:rPr>
                <w:sz w:val="4"/>
                <w:szCs w:val="4"/>
              </w:rPr>
            </w:r>
          </w:p>
        </w:tc>
        <w:tc>
          <w:tcPr>
            <w:tcW w:w="607"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8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pPr>
            <w:r>
              <w:rPr/>
              <w:t>32.1^</w:t>
            </w:r>
          </w:p>
        </w:tc>
        <w:tc>
          <w:tcPr>
            <w:tcW w:w="120" w:type="dxa"/>
            <w:tcBorders/>
            <w:vAlign w:val="center"/>
          </w:tcPr>
          <w:p>
            <w:pPr>
              <w:pStyle w:val="TableContents"/>
              <w:bidi w:val="0"/>
              <w:spacing w:before="0" w:after="283"/>
              <w:jc w:val="left"/>
              <w:rPr/>
            </w:pPr>
            <w:r>
              <w:rPr/>
              <w:t>  </w:t>
            </w:r>
          </w:p>
        </w:tc>
        <w:tc>
          <w:tcPr>
            <w:tcW w:w="5965" w:type="dxa"/>
            <w:tcBorders/>
            <w:vAlign w:val="center"/>
          </w:tcPr>
          <w:p>
            <w:pPr>
              <w:pStyle w:val="TableContents"/>
              <w:bidi w:val="0"/>
              <w:spacing w:before="0" w:after="283"/>
              <w:jc w:val="left"/>
              <w:rPr/>
            </w:pPr>
            <w:hyperlink r:id="rId37">
              <w:r>
                <w:rPr>
                  <w:rStyle w:val="InternetLink"/>
                </w:rPr>
                <w:t>Certification of Principal Executive Officer and Principal Financial Officer pursuant to Rules 13a-14(b) and 15d-14(b) promulgated under the Securities Exchange Act of 1934 and 18 U.S.C. Section 1350, as adopted pursuant to section 906 of The Sarbanes-Oxley Act of 2002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03/27/2025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85" w:type="dxa"/>
            <w:gridSpan w:val="2"/>
            <w:tcBorders/>
            <w:vAlign w:val="center"/>
          </w:tcPr>
          <w:p>
            <w:pPr>
              <w:pStyle w:val="TableContents"/>
              <w:bidi w:val="0"/>
              <w:spacing w:before="0" w:after="283"/>
              <w:jc w:val="left"/>
              <w:rPr>
                <w:sz w:val="4"/>
                <w:szCs w:val="4"/>
              </w:rPr>
            </w:pPr>
            <w:r>
              <w:rPr>
                <w:sz w:val="4"/>
                <w:szCs w:val="4"/>
              </w:rPr>
            </w:r>
          </w:p>
        </w:tc>
        <w:tc>
          <w:tcPr>
            <w:tcW w:w="607"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8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pPr>
            <w:r>
              <w:rPr/>
              <w:t>97.1+</w:t>
            </w:r>
          </w:p>
        </w:tc>
        <w:tc>
          <w:tcPr>
            <w:tcW w:w="120" w:type="dxa"/>
            <w:tcBorders/>
            <w:vAlign w:val="center"/>
          </w:tcPr>
          <w:p>
            <w:pPr>
              <w:pStyle w:val="TableContents"/>
              <w:bidi w:val="0"/>
              <w:spacing w:before="0" w:after="283"/>
              <w:jc w:val="left"/>
              <w:rPr/>
            </w:pPr>
            <w:r>
              <w:rPr/>
              <w:t>  </w:t>
            </w:r>
          </w:p>
        </w:tc>
        <w:tc>
          <w:tcPr>
            <w:tcW w:w="5965" w:type="dxa"/>
            <w:tcBorders/>
            <w:vAlign w:val="center"/>
          </w:tcPr>
          <w:p>
            <w:pPr>
              <w:pStyle w:val="TableContents"/>
              <w:bidi w:val="0"/>
              <w:spacing w:before="0" w:after="283"/>
              <w:jc w:val="left"/>
              <w:rPr/>
            </w:pPr>
            <w:hyperlink r:id="rId38">
              <w:r>
                <w:rPr>
                  <w:rStyle w:val="InternetLink"/>
                </w:rPr>
                <w:t xml:space="preserve">Incentive Compensation Recoupment Policy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right"/>
              <w:rPr/>
            </w:pPr>
            <w:r>
              <w:rPr/>
              <w:t>10-K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001-35890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97.1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03/19/2024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85" w:type="dxa"/>
            <w:gridSpan w:val="2"/>
            <w:tcBorders/>
            <w:vAlign w:val="center"/>
          </w:tcPr>
          <w:p>
            <w:pPr>
              <w:pStyle w:val="TableContents"/>
              <w:bidi w:val="0"/>
              <w:spacing w:before="0" w:after="283"/>
              <w:jc w:val="left"/>
              <w:rPr>
                <w:sz w:val="4"/>
                <w:szCs w:val="4"/>
              </w:rPr>
            </w:pPr>
            <w:r>
              <w:rPr>
                <w:sz w:val="4"/>
                <w:szCs w:val="4"/>
              </w:rPr>
            </w:r>
          </w:p>
        </w:tc>
        <w:tc>
          <w:tcPr>
            <w:tcW w:w="607"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8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5965" w:type="dxa"/>
            <w:tcBorders/>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85" w:type="dxa"/>
            <w:gridSpan w:val="2"/>
            <w:tcBorders/>
            <w:vAlign w:val="center"/>
          </w:tcPr>
          <w:p>
            <w:pPr>
              <w:pStyle w:val="TableContents"/>
              <w:bidi w:val="0"/>
              <w:spacing w:before="0" w:after="283"/>
              <w:jc w:val="left"/>
              <w:rPr>
                <w:sz w:val="4"/>
                <w:szCs w:val="4"/>
              </w:rPr>
            </w:pPr>
            <w:r>
              <w:rPr>
                <w:sz w:val="4"/>
                <w:szCs w:val="4"/>
              </w:rPr>
            </w:r>
          </w:p>
        </w:tc>
        <w:tc>
          <w:tcPr>
            <w:tcW w:w="607"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8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5965" w:type="dxa"/>
            <w:tcBorders/>
            <w:vAlign w:val="center"/>
          </w:tcPr>
          <w:p>
            <w:pPr>
              <w:pStyle w:val="TableContents"/>
              <w:bidi w:val="0"/>
              <w:spacing w:before="0" w:after="283"/>
              <w:jc w:val="left"/>
              <w:rPr/>
            </w:pPr>
            <w:r>
              <w:rPr/>
              <w:t>Inline XBRL Taxonomy Extension Schema With Embedded Linkbase Document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sz w:val="4"/>
                <w:szCs w:val="4"/>
              </w:rPr>
            </w:pPr>
            <w:r>
              <w:rPr>
                <w:sz w:val="4"/>
                <w:szCs w:val="4"/>
              </w:rPr>
            </w:r>
          </w:p>
        </w:tc>
        <w:tc>
          <w:tcPr>
            <w:tcW w:w="6085" w:type="dxa"/>
            <w:gridSpan w:val="2"/>
            <w:tcBorders/>
            <w:vAlign w:val="center"/>
          </w:tcPr>
          <w:p>
            <w:pPr>
              <w:pStyle w:val="TableContents"/>
              <w:bidi w:val="0"/>
              <w:spacing w:before="0" w:after="283"/>
              <w:jc w:val="left"/>
              <w:rPr>
                <w:sz w:val="4"/>
                <w:szCs w:val="4"/>
              </w:rPr>
            </w:pPr>
            <w:r>
              <w:rPr>
                <w:sz w:val="4"/>
                <w:szCs w:val="4"/>
              </w:rPr>
            </w:r>
          </w:p>
        </w:tc>
        <w:tc>
          <w:tcPr>
            <w:tcW w:w="607" w:type="dxa"/>
            <w:gridSpan w:val="4"/>
            <w:tcBorders/>
            <w:vAlign w:val="center"/>
          </w:tcPr>
          <w:p>
            <w:pPr>
              <w:pStyle w:val="TableContents"/>
              <w:bidi w:val="0"/>
              <w:spacing w:before="0" w:after="283"/>
              <w:jc w:val="left"/>
              <w:rPr>
                <w:sz w:val="4"/>
                <w:szCs w:val="4"/>
              </w:rPr>
            </w:pPr>
            <w:r>
              <w:rPr>
                <w:sz w:val="4"/>
                <w:szCs w:val="4"/>
              </w:rPr>
            </w:r>
          </w:p>
        </w:tc>
        <w:tc>
          <w:tcPr>
            <w:tcW w:w="938" w:type="dxa"/>
            <w:gridSpan w:val="4"/>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8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965" w:type="dxa"/>
            <w:tcBorders/>
            <w:vAlign w:val="center"/>
          </w:tcPr>
          <w:p>
            <w:pPr>
              <w:pStyle w:val="TableContents"/>
              <w:bidi w:val="0"/>
              <w:spacing w:before="0" w:after="283"/>
              <w:jc w:val="left"/>
              <w:rPr/>
            </w:pPr>
            <w:r>
              <w:rPr/>
              <w:t>Cover Page formatted as inline XBRL with applicable taxonomy extension contained in Exhibit 101.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and/or schedules have been omitted pursuant to Item 601(a)(5) of Regulation S-K. The registrant hereby undertakes to furnish supplementally copies of any of the omitted exhibits and schedules upon request by the SEC. </w:t>
            </w:r>
          </w:p>
        </w:tc>
      </w:tr>
    </w:tbl>
    <w:tbl>
      <w:tblPr>
        <w:tblW w:w="4615" w:type="dxa"/>
        <w:jc w:val="left"/>
        <w:tblInd w:w="0" w:type="dxa"/>
        <w:tblLayout w:type="fixed"/>
        <w:tblCellMar>
          <w:top w:w="0" w:type="dxa"/>
          <w:left w:w="0" w:type="dxa"/>
          <w:bottom w:w="0" w:type="dxa"/>
          <w:right w:w="0" w:type="dxa"/>
        </w:tblCellMar>
      </w:tblPr>
      <w:tblGrid>
        <w:gridCol w:w="170"/>
        <w:gridCol w:w="4445"/>
      </w:tblGrid>
      <w:tr>
        <w:trPr/>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601(b)(10)(iv) of Regulation S-K, certain portions of this exhibit (indicated by ***) have been omitted because the identified information is not material and is the type that the Registrant treats as private or confidential.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xb920870_9"/>
      <w:bookmarkEnd w:id="1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273" w:type="dxa"/>
        <w:jc w:val="left"/>
        <w:tblInd w:w="0" w:type="dxa"/>
        <w:tblLayout w:type="fixed"/>
        <w:tblCellMar>
          <w:top w:w="0" w:type="dxa"/>
          <w:left w:w="0" w:type="dxa"/>
          <w:bottom w:w="0" w:type="dxa"/>
          <w:right w:w="0" w:type="dxa"/>
        </w:tblCellMar>
      </w:tblPr>
      <w:tblGrid>
        <w:gridCol w:w="1862"/>
        <w:gridCol w:w="346"/>
        <w:gridCol w:w="4065"/>
      </w:tblGrid>
      <w:tr>
        <w:trPr/>
        <w:tc>
          <w:tcPr>
            <w:tcW w:w="18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pPr>
            <w:r>
              <w:rPr/>
              <w:t>TEMPEST THERAPEUTICS, INC.</w:t>
            </w:r>
          </w:p>
        </w:tc>
      </w:tr>
      <w:tr>
        <w:trPr/>
        <w:tc>
          <w:tcPr>
            <w:tcW w:w="1862" w:type="dxa"/>
            <w:tcBorders/>
            <w:vAlign w:val="center"/>
          </w:tcPr>
          <w:p>
            <w:pPr>
              <w:pStyle w:val="TableContents"/>
              <w:bidi w:val="0"/>
              <w:spacing w:before="0" w:after="283"/>
              <w:jc w:val="left"/>
              <w:rPr>
                <w:sz w:val="4"/>
                <w:szCs w:val="4"/>
              </w:rPr>
            </w:pPr>
            <w:r>
              <w:rPr>
                <w:sz w:val="4"/>
                <w:szCs w:val="4"/>
              </w:rPr>
            </w:r>
          </w:p>
        </w:tc>
        <w:tc>
          <w:tcPr>
            <w:tcW w:w="4411" w:type="dxa"/>
            <w:gridSpan w:val="2"/>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pPr>
            <w:r>
              <w:rPr/>
              <w:t>By:</w:t>
            </w:r>
          </w:p>
        </w:tc>
        <w:tc>
          <w:tcPr>
            <w:tcW w:w="346" w:type="dxa"/>
            <w:tcBorders/>
            <w:vAlign w:val="center"/>
          </w:tcPr>
          <w:p>
            <w:pPr>
              <w:pStyle w:val="TableContents"/>
              <w:bidi w:val="0"/>
              <w:spacing w:before="0" w:after="283"/>
              <w:jc w:val="left"/>
              <w:rPr/>
            </w:pPr>
            <w:r>
              <w:rPr/>
              <w:t> </w:t>
            </w:r>
          </w:p>
        </w:tc>
        <w:tc>
          <w:tcPr>
            <w:tcW w:w="406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Brady</w:t>
            </w:r>
          </w:p>
        </w:tc>
      </w:tr>
      <w:tr>
        <w:trPr/>
        <w:tc>
          <w:tcPr>
            <w:tcW w:w="6273" w:type="dxa"/>
            <w:gridSpan w:val="3"/>
            <w:tcBorders/>
            <w:vAlign w:val="center"/>
          </w:tcPr>
          <w:p>
            <w:pPr>
              <w:pStyle w:val="TableContents"/>
              <w:bidi w:val="0"/>
              <w:spacing w:before="0" w:after="283"/>
              <w:jc w:val="left"/>
              <w:rPr/>
            </w:pPr>
            <w:r>
              <w:rPr/>
              <w:t>Stephen Brady</w:t>
            </w:r>
          </w:p>
        </w:tc>
      </w:tr>
      <w:tr>
        <w:trPr/>
        <w:tc>
          <w:tcPr>
            <w:tcW w:w="6273" w:type="dxa"/>
            <w:gridSpan w:val="3"/>
            <w:tcBorders/>
            <w:vAlign w:val="center"/>
          </w:tcPr>
          <w:p>
            <w:pPr>
              <w:pStyle w:val="TableContents"/>
              <w:bidi w:val="0"/>
              <w:spacing w:before="0" w:after="283"/>
              <w:jc w:val="left"/>
              <w:rPr/>
            </w:pPr>
            <w:r>
              <w:rPr/>
              <w:t>Chief Executive Officer &amp; President (Principal Executive Officer)</w:t>
            </w:r>
          </w:p>
        </w:tc>
      </w:tr>
      <w:tr>
        <w:trPr/>
        <w:tc>
          <w:tcPr>
            <w:tcW w:w="6273" w:type="dxa"/>
            <w:gridSpan w:val="3"/>
            <w:tcBorders/>
            <w:vAlign w:val="center"/>
          </w:tcPr>
          <w:p>
            <w:pPr>
              <w:pStyle w:val="TableContents"/>
              <w:bidi w:val="0"/>
              <w:spacing w:before="0" w:after="283"/>
              <w:jc w:val="left"/>
              <w:rPr>
                <w:sz w:val="4"/>
                <w:szCs w:val="4"/>
              </w:rPr>
            </w:pPr>
            <w:r>
              <w:rPr>
                <w:sz w:val="4"/>
                <w:szCs w:val="4"/>
              </w:rPr>
            </w:r>
          </w:p>
        </w:tc>
      </w:tr>
      <w:tr>
        <w:trPr/>
        <w:tc>
          <w:tcPr>
            <w:tcW w:w="6273" w:type="dxa"/>
            <w:gridSpan w:val="3"/>
            <w:tcBorders/>
            <w:vAlign w:val="center"/>
          </w:tcPr>
          <w:p>
            <w:pPr>
              <w:pStyle w:val="TableContents"/>
              <w:bidi w:val="0"/>
              <w:spacing w:before="0" w:after="283"/>
              <w:jc w:val="left"/>
              <w:rPr/>
            </w:pPr>
            <w:r>
              <w:rPr/>
              <w:t>Date: April 30,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TextBody"/>
        <w:bidi w:val="0"/>
        <w:spacing w:before="0" w:after="0"/>
        <w:jc w:val="right"/>
        <w:rPr>
          <w:rFonts w:ascii="Times New Roman" w:hAnsi="Times New Roman"/>
          <w:b/>
          <w:sz w:val="20"/>
        </w:rPr>
      </w:pPr>
      <w:bookmarkStart w:id="11" w:name="d920870dex1011.htm"/>
      <w:bookmarkStart w:id="12" w:name="ksd920870dex1011"/>
      <w:bookmarkEnd w:id="11"/>
      <w:bookmarkEnd w:id="12"/>
      <w:r>
        <w:rPr>
          <w:rFonts w:ascii="Times New Roman" w:hAnsi="Times New Roman"/>
          <w:b/>
          <w:sz w:val="20"/>
        </w:rPr>
        <w:t xml:space="preserve">Exhibit 10.11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7000 Shoreline Court, Suite 275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240" w:after="0"/>
        <w:jc w:val="left"/>
        <w:rPr>
          <w:rFonts w:ascii="Times New Roman" w:hAnsi="Times New Roman"/>
          <w:sz w:val="20"/>
        </w:rPr>
      </w:pPr>
      <w:r>
        <w:rPr>
          <w:rFonts w:ascii="Times New Roman" w:hAnsi="Times New Roman"/>
          <w:sz w:val="20"/>
        </w:rPr>
        <w:t xml:space="preserve">January 12, 2022 </w:t>
      </w:r>
    </w:p>
    <w:p>
      <w:pPr>
        <w:pStyle w:val="TextBody"/>
        <w:bidi w:val="0"/>
        <w:spacing w:before="240" w:after="0"/>
        <w:jc w:val="left"/>
        <w:rPr>
          <w:rFonts w:ascii="Times New Roman" w:hAnsi="Times New Roman"/>
          <w:b/>
          <w:i/>
          <w:sz w:val="20"/>
        </w:rPr>
      </w:pPr>
      <w:r>
        <w:rPr>
          <w:rFonts w:ascii="Times New Roman" w:hAnsi="Times New Roman"/>
          <w:b/>
          <w:i/>
          <w:sz w:val="20"/>
        </w:rPr>
        <w:t xml:space="preserve">Via Email Only </w:t>
      </w:r>
    </w:p>
    <w:p>
      <w:pPr>
        <w:pStyle w:val="TextBody"/>
        <w:bidi w:val="0"/>
        <w:spacing w:before="0" w:after="0"/>
        <w:jc w:val="left"/>
        <w:rPr>
          <w:rFonts w:ascii="Times New Roman" w:hAnsi="Times New Roman"/>
          <w:b/>
          <w:sz w:val="20"/>
        </w:rPr>
      </w:pPr>
      <w:r>
        <w:rPr>
          <w:rFonts w:ascii="Times New Roman" w:hAnsi="Times New Roman"/>
          <w:b/>
          <w:sz w:val="20"/>
        </w:rPr>
        <w:t xml:space="preserve">SBRADY@TEMPESTTX.COM </w:t>
      </w:r>
    </w:p>
    <w:p>
      <w:pPr>
        <w:pStyle w:val="TextBody"/>
        <w:bidi w:val="0"/>
        <w:spacing w:before="240" w:after="0"/>
        <w:jc w:val="left"/>
        <w:rPr>
          <w:rFonts w:ascii="Times New Roman" w:hAnsi="Times New Roman"/>
          <w:sz w:val="20"/>
        </w:rPr>
      </w:pPr>
      <w:r>
        <w:rPr>
          <w:rFonts w:ascii="Times New Roman" w:hAnsi="Times New Roman"/>
          <w:sz w:val="20"/>
        </w:rPr>
        <w:t xml:space="preserve">Mr. Stephen R. Brady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RE:</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EXECUTIVE EMPLOYMENT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Steve: </w:t>
      </w:r>
    </w:p>
    <w:p>
      <w:pPr>
        <w:pStyle w:val="TextBody"/>
        <w:bidi w:val="0"/>
        <w:spacing w:before="120" w:after="0"/>
        <w:jc w:val="left"/>
        <w:rPr>
          <w:rFonts w:ascii="Times New Roman" w:hAnsi="Times New Roman"/>
          <w:sz w:val="20"/>
        </w:rPr>
      </w:pPr>
      <w:r>
        <w:rPr>
          <w:rFonts w:ascii="Times New Roman" w:hAnsi="Times New Roman"/>
          <w:sz w:val="20"/>
        </w:rPr>
        <w:t>On behalf of Tempest Therapeutics, Inc. (</w:t>
      </w:r>
      <w:r>
        <w:rPr>
          <w:rFonts w:ascii="Times New Roman" w:hAnsi="Times New Roman"/>
          <w:b/>
          <w:i/>
          <w:sz w:val="20"/>
        </w:rPr>
        <w:t>Tempest</w:t>
      </w:r>
      <w:r>
        <w:rPr>
          <w:rFonts w:ascii="Times New Roman" w:hAnsi="Times New Roman"/>
          <w:sz w:val="20"/>
        </w:rPr>
        <w:t>, or the </w:t>
      </w:r>
      <w:r>
        <w:rPr>
          <w:rFonts w:ascii="Times New Roman" w:hAnsi="Times New Roman"/>
          <w:b/>
          <w:i/>
          <w:sz w:val="20"/>
        </w:rPr>
        <w:t>Company</w:t>
      </w:r>
      <w:r>
        <w:rPr>
          <w:rFonts w:ascii="Times New Roman" w:hAnsi="Times New Roman"/>
          <w:sz w:val="20"/>
        </w:rPr>
        <w:t xml:space="preserve">), it is my pleasure to confirm the terms and conditions of your continued employment as Tempests Chief Executive Officer, reporting to the Companys Board of Directors. During your employment with Tempest, you will devote substantially all of your professional efforts to the business of Tempest, except that you may engage in the business activities described on </w:t>
      </w:r>
      <w:r>
        <w:rPr>
          <w:rFonts w:ascii="Times New Roman" w:hAnsi="Times New Roman"/>
          <w:sz w:val="20"/>
          <w:u w:val="single"/>
        </w:rPr>
        <w:t>Appendix A</w:t>
      </w:r>
      <w:r>
        <w:rPr>
          <w:rFonts w:ascii="Times New Roman" w:hAnsi="Times New Roman"/>
          <w:sz w:val="20"/>
        </w:rPr>
        <w:t xml:space="preserve"> of this employment agreement (this </w:t>
      </w:r>
      <w:r>
        <w:rPr>
          <w:rFonts w:ascii="Times New Roman" w:hAnsi="Times New Roman"/>
          <w:b/>
          <w:i/>
          <w:sz w:val="20"/>
        </w:rPr>
        <w:t>Agreement</w:t>
      </w:r>
      <w:r>
        <w:rPr>
          <w:rFonts w:ascii="Times New Roman" w:hAnsi="Times New Roman"/>
          <w:sz w:val="20"/>
        </w:rPr>
        <w:t xml:space="preserve">), and other activities that may be approved in advance by the Nominating and Governance Committee of the Companys Board of Directors (which together with the activities set forth on Appendix A 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Times New Roman" w:hAnsi="Times New Roman"/>
          <w:sz w:val="20"/>
          <w:u w:val="single"/>
        </w:rPr>
        <w:t>Section 5</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This Agreement supersedes, amends and restates in all respects all prior agreements and understandings between you and the Company regarding the subject matter herein, except as specifically stated herein. The date on which you sign this Agreement is referred to herein as the </w:t>
      </w:r>
      <w:r>
        <w:rPr>
          <w:rFonts w:ascii="Times New Roman" w:hAnsi="Times New Roman"/>
          <w:b/>
          <w:i/>
          <w:sz w:val="20"/>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is intended to summarize some of the terms and conditions of your employment.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Location</w:t>
      </w:r>
      <w:r>
        <w:rPr>
          <w:rFonts w:ascii="Times New Roman" w:hAnsi="Times New Roman"/>
          <w:sz w:val="20"/>
        </w:rPr>
        <w:t>. Your place of employment will be at Tempests principal offices, currently located in South San Francisco, California. You will be required to work from this location as reasonably determined by the Company in accordance with its </w:t>
      </w:r>
      <w:r>
        <w:rPr>
          <w:rFonts w:ascii="Times New Roman" w:hAnsi="Times New Roman"/>
          <w:b/>
          <w:i/>
          <w:sz w:val="20"/>
        </w:rPr>
        <w:t>work from home,</w:t>
      </w:r>
      <w:r>
        <w:rPr>
          <w:rFonts w:ascii="Times New Roman" w:hAnsi="Times New Roman"/>
          <w:sz w:val="20"/>
        </w:rPr>
        <w:t> and </w:t>
      </w:r>
      <w:r>
        <w:rPr>
          <w:rFonts w:ascii="Times New Roman" w:hAnsi="Times New Roman"/>
          <w:b/>
          <w:i/>
          <w:sz w:val="20"/>
        </w:rPr>
        <w:t>work from office</w:t>
      </w:r>
      <w:r>
        <w:rPr>
          <w:rFonts w:ascii="Times New Roman" w:hAnsi="Times New Roman"/>
          <w:sz w:val="20"/>
        </w:rPr>
        <w:t xml:space="preserve"> policies, as may be amended from time to time, taking into account relevant factors of your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Base Salary</w:t>
      </w:r>
      <w:r>
        <w:rPr>
          <w:rFonts w:ascii="Times New Roman" w:hAnsi="Times New Roman"/>
          <w:sz w:val="20"/>
        </w:rPr>
        <w:t xml:space="preserve">. Your annualized base salary rate as of the Effective Date is $530,000, less standard deductions and withholding and payable bi-weekly in accordance with Tempests regular payroll practices. Your salary shall be reviewed annually and may be adjusted in connection with any such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Bonus Program</w:t>
      </w:r>
      <w:r>
        <w:rPr>
          <w:rFonts w:ascii="Times New Roman" w:hAnsi="Times New Roman"/>
          <w:sz w:val="20"/>
        </w:rPr>
        <w:t xml:space="preserve">. You will be eligible for an annual target bonus of forty percent (50%) of your annual base salary, as determined by the Board in its sole discretion based upon, among other things, the achievement of pre-determined performance milestones. Any annual bonus, if earned, shall be paid no later than March 15th of the year immediately following the year to which the applicable annual bonus relates.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Option Grants</w:t>
      </w:r>
      <w:r>
        <w:rPr>
          <w:rFonts w:ascii="Times New Roman" w:hAnsi="Times New Roman"/>
          <w:sz w:val="20"/>
        </w:rPr>
        <w:t>. As of the Effective Date, you acknowledge that you have outstanding options to purchase 347,066 shares of Tempests common stock (the </w:t>
      </w:r>
      <w:r>
        <w:rPr>
          <w:rFonts w:ascii="Times New Roman" w:hAnsi="Times New Roman"/>
          <w:b/>
          <w:i/>
          <w:sz w:val="20"/>
        </w:rPr>
        <w:t>Option</w:t>
      </w:r>
      <w:r>
        <w:rPr>
          <w:rFonts w:ascii="Times New Roman" w:hAnsi="Times New Roman"/>
          <w:sz w:val="20"/>
        </w:rPr>
        <w:t>), vesting in accordance with the terms of the grant agreements therefor, and otherwise in accordance with this Agreement. You also may be granted other stock options in the course of providing services to the Company (collectively with the Option, the </w:t>
      </w:r>
      <w:r>
        <w:rPr>
          <w:rFonts w:ascii="Times New Roman" w:hAnsi="Times New Roman"/>
          <w:b/>
          <w:i/>
          <w:sz w:val="20"/>
        </w:rPr>
        <w:t>Stock Option Grants</w:t>
      </w:r>
      <w:r>
        <w:rPr>
          <w:rFonts w:ascii="Times New Roman" w:hAnsi="Times New Roman"/>
          <w:sz w:val="20"/>
        </w:rPr>
        <w:t xml:space="preserve">). The Stock Option Grants are also subject to the terms of Tempests equity incentive arrangements, including its customary Incentive Stock Option (ISO) Grant Agreement. In the event that (i) the Company consummates a Change in Control (as defined below), and (ii) the Stock Option Grants are not otherwise vested, then one hundred percent (100%) of remaining shares subject to the Stock Option Grants shall vest in full on the date immediately prior to the effective date of the Change in Control, subject to your continuous employment through such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Withholding</w:t>
      </w:r>
      <w:r>
        <w:rPr>
          <w:rFonts w:ascii="Times New Roman" w:hAnsi="Times New Roman"/>
          <w:sz w:val="20"/>
        </w:rPr>
        <w:t xml:space="preserve">. Tempest shall withhold from any compensation or benefits payable to you by Tempest any federal, state and/or local income, employment and/or other similar taxes as may be required to be withheld pursuant to any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Other</w:t>
      </w:r>
      <w:r>
        <w:rPr>
          <w:rFonts w:ascii="Times New Roman" w:hAnsi="Times New Roman"/>
          <w:sz w:val="20"/>
        </w:rPr>
        <w:t xml:space="preserve">. You will be eligible to participate in the benefits to be offered by Tempest on the same terms and conditions as it will make such benefits available to employees in positions similar to your position. The benefits are currently expected to include health insurance and such other benefits provided by similar companies of a similar stage, as approved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Expenses</w:t>
      </w:r>
      <w:r>
        <w:rPr>
          <w:rFonts w:ascii="Times New Roman" w:hAnsi="Times New Roman"/>
          <w:sz w:val="20"/>
        </w:rPr>
        <w:t xml:space="preserve">. Tempest shall reimburse you for all reasonable expenses of the type authorized by Tempest and incurred by you in the performance of your duties under this Agreement, all in accordance with the Companys reimbursement policies. </w:t>
      </w:r>
    </w:p>
    <w:p>
      <w:pPr>
        <w:pStyle w:val="TextBody"/>
        <w:bidi w:val="0"/>
        <w:spacing w:before="240" w:after="0"/>
        <w:jc w:val="left"/>
        <w:rPr>
          <w:rFonts w:ascii="Times New Roman" w:hAnsi="Times New Roman"/>
          <w:sz w:val="20"/>
        </w:rPr>
      </w:pPr>
      <w:r>
        <w:rPr>
          <w:rFonts w:ascii="Times New Roman" w:hAnsi="Times New Roman"/>
          <w:sz w:val="20"/>
        </w:rPr>
        <w:t xml:space="preserve">As is the case of all employee benefits, such benefits will be governed by the terms and conditions of applicable Tempest plans or policies, which are subject to change or discontinuation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Severance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Definitions</w:t>
      </w:r>
      <w:r>
        <w:rPr>
          <w:rFonts w:ascii="Times New Roman" w:hAnsi="Times New Roman"/>
          <w:sz w:val="20"/>
        </w:rPr>
        <w:t xml:space="preserv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Accrued Benefits</w:t>
      </w:r>
      <w:r>
        <w:rPr>
          <w:rFonts w:ascii="Times New Roman" w:hAnsi="Times New Roman"/>
          <w:sz w:val="20"/>
        </w:rPr>
        <w:t xml:space="preserve"> 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w:t>
      </w:r>
      <w:r>
        <w:rPr>
          <w:rFonts w:ascii="Times New Roman" w:hAnsi="Times New Roman"/>
          <w:b/>
          <w:i/>
          <w:sz w:val="20"/>
        </w:rPr>
        <w:t>Cause</w:t>
      </w:r>
      <w:r>
        <w:rPr>
          <w:rFonts w:ascii="Times New Roman" w:hAnsi="Times New Roman"/>
          <w:sz w:val="20"/>
        </w:rPr>
        <w:t xml:space="preserve"> means conduct involving one or more of the following by you: (i) your willful and continued failure or refusal to perform material, lawful duties required of you as an employee of the Company, which failure continues for, or is not permanently cured within, a period of 30 days after written notice given to you by Tempest, except in the case of your physical or mental illness; (ii) your gross negligence, willful misconduct or international misrepresentation in connection with the performance of your duties; (iii) the conviction of (x) a felony or (y) a misdemeanor involving moral turpitude, or fraud; (iv) the commission of an act of embezzlement or fraud; or (v) the material breach of any agreement between Tempest and you.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b/>
          <w:i/>
          <w:sz w:val="20"/>
        </w:rPr>
        <w:t>Change in Control</w:t>
      </w:r>
      <w:r>
        <w:rPr>
          <w:rFonts w:ascii="Times New Roman" w:hAnsi="Times New Roman"/>
          <w:sz w:val="20"/>
        </w:rPr>
        <w:t xml:space="preserve"> shall have the meaning set forth in the Companys 2017 Equity Incentive Plan.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b/>
          <w:i/>
          <w:sz w:val="20"/>
        </w:rPr>
        <w:t>Change in Control Period</w:t>
      </w:r>
      <w:r>
        <w:rPr>
          <w:rFonts w:ascii="Times New Roman" w:hAnsi="Times New Roman"/>
          <w:sz w:val="20"/>
        </w:rPr>
        <w:t xml:space="preserve"> means the three (3) month period prior to, and twelve (12) month period following, a Change in Control.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Good Reason</w:t>
      </w:r>
      <w:r>
        <w:rPr>
          <w:rFonts w:ascii="Times New Roman" w:hAnsi="Times New Roman"/>
          <w:sz w:val="20"/>
        </w:rPr>
        <w:t> means, without your express written consent, (i) any reduction in your annual base salary other than a reduction which is proportional to general reductions affecting other senior executive officers of Tempest generally, (ii) a material diminution in your responsibilities, authority or duties, (iii) a material change in the geographic location at which you provide services to the Company, (iv) a material breach of this Agreement by the Company, (v) appointing an officer of the Company whose responsibilities, function, title, reports and reporting would indicate that you are subordinate to such officer, (vi) no longer serving as an officer with a similar title or responsibilities at the </w:t>
      </w:r>
      <w:r>
        <w:rPr>
          <w:rFonts w:ascii="Times New Roman" w:hAnsi="Times New Roman"/>
          <w:b/>
          <w:i/>
          <w:sz w:val="20"/>
        </w:rPr>
        <w:t>top-level</w:t>
      </w:r>
      <w:r>
        <w:rPr>
          <w:rFonts w:ascii="Times New Roman" w:hAnsi="Times New Roman"/>
          <w:sz w:val="20"/>
        </w:rPr>
        <w:t xml:space="preserve"> corporate entity following a Change in Control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Severance Benefits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If your employment with Tempest is terminated (x) by Tempest for any reason other than Cause, or (y) by you for Good Reason, Tempest will pay you (1) the Accrued Benefits; (2) subject to your compliance with Section 4(c) below, after the execution and delivery of the Separation Agreement and General Release in substantially the form attached hereto as Appendix B (the </w:t>
      </w:r>
      <w:r>
        <w:rPr>
          <w:rFonts w:ascii="Times New Roman" w:hAnsi="Times New Roman"/>
          <w:b/>
          <w:i/>
          <w:sz w:val="20"/>
        </w:rPr>
        <w:t>Separation Agreement and General Release</w:t>
      </w:r>
      <w:r>
        <w:rPr>
          <w:rFonts w:ascii="Times New Roman" w:hAnsi="Times New Roman"/>
          <w:sz w:val="20"/>
        </w:rPr>
        <w:t>) and the expiration of any revocation period without the release being revoked, twelve (12) months base salary, plus your annual bonus at 100% of target prorated for the period of the bonus year you have completed at the time your employment terminates, less standard deductions, payable in bi-weekly installments in accordance with the Companys regular payroll policies; and (3) if you elect to continue your health insurance coverage pursuant to your rights under the Consolidated Omnibus Budget Reconciliation Act of 1985, as amended (</w:t>
      </w:r>
      <w:r>
        <w:rPr>
          <w:rFonts w:ascii="Times New Roman" w:hAnsi="Times New Roman"/>
          <w:b/>
          <w:i/>
          <w:sz w:val="20"/>
        </w:rPr>
        <w:t>COBRA</w:t>
      </w:r>
      <w:r>
        <w:rPr>
          <w:rFonts w:ascii="Times New Roman" w:hAnsi="Times New Roman"/>
          <w:sz w:val="20"/>
        </w:rPr>
        <w:t>), following the termination of your employment,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Times New Roman" w:hAnsi="Times New Roman"/>
          <w:b/>
          <w:i/>
          <w:sz w:val="20"/>
        </w:rPr>
        <w:t>Disability</w:t>
      </w:r>
      <w:r>
        <w:rPr>
          <w:rFonts w:ascii="Times New Roman" w:hAnsi="Times New Roman"/>
          <w:sz w:val="20"/>
        </w:rPr>
        <w:t xml:space="preserve"> shall mean that you have not been able to materially engage in your duties and responsibilities by reason of any medically determinable physical or mental impairment for a period of not less than 120 consecutive days or not less than 180 days during any one-year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In connection with the Change in Control Period</w:t>
      </w:r>
      <w:r>
        <w:rPr>
          <w:rFonts w:ascii="Times New Roman" w:hAnsi="Times New Roman"/>
          <w:sz w:val="20"/>
        </w:rPr>
        <w:t xml:space="preserve">. If your employment with Tempest is terminated (x) by Tempest for any reason other than Cause, or (y) by you for Good Reason during the Change in Control Period, Tempest will pay you (1) the Accrued Benefits; (2) subject to your compliance with Section 4(c) below, after the execution and delivery of the Separation Agreement and General Release and the expiration of any revocation period without the release being revoked, eighteen (18) months base salary, plus your annual bonus at one hundred fifty percent (150%) of target, less standard deductions, payable in a single lump sum on the 60th day following the termination of your employment; and (3) if you elect to continue your health insurance coverage pursuant to your rights under COBRA following the termination of your employment, your monthly premium under COBRA on a monthly basis until the earlier of (x) eighteen (18)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Eligibility for Severance</w:t>
      </w:r>
      <w:r>
        <w:rPr>
          <w:rFonts w:ascii="Times New Roman" w:hAnsi="Times New Roman"/>
          <w:sz w:val="20"/>
        </w:rPr>
        <w:t xml:space="preserve">. Eligibility for receipt of the items in Section 4(b) above, shall be conditioned on your (i) returning to Tempest promptly upon termination of your employment all of its property, including confidential information and all electronically stored information, and (ii) signing and not revoking the Separation Agreement and General Release within the applicable deadline set forth therein, but in no event later than forty-five (45) calendar days following your employment termination date. No benefits set forth in Section 4(b) above will be paid or provided hereunder prior to the effective date of the Separation Agreement and General Release (other than any Accrued Benefits required to be paid).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Accrued Benefits</w:t>
      </w:r>
      <w:r>
        <w:rPr>
          <w:rFonts w:ascii="Times New Roman" w:hAnsi="Times New Roman"/>
          <w:sz w:val="20"/>
        </w:rPr>
        <w:t xml:space="preserve">. The Accrued Benefits shall be paid to you (or your estate in the event of your death) upon termination of employment regardless of the circumstances giving rise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At-Will Employment</w:t>
      </w:r>
      <w:r>
        <w:rPr>
          <w:rFonts w:ascii="Times New Roman" w:hAnsi="Times New Roman"/>
          <w:sz w:val="20"/>
        </w:rPr>
        <w:t xml:space="preserve">. Your employment with Tempest is at will, meaning it may be terminated by you or Tempest at any time, subject to Section 4 above, for any reason with or without Cause. You understand that this Agreement is not a contract for employment for a definite term.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Employee Proprietary Information and Inventions Agreement</w:t>
      </w:r>
      <w:r>
        <w:rPr>
          <w:rFonts w:ascii="Times New Roman" w:hAnsi="Times New Roman"/>
          <w:sz w:val="20"/>
        </w:rPr>
        <w:t>. Your Employee Proprietary Information and Inventions Agreement (the </w:t>
      </w:r>
      <w:r>
        <w:rPr>
          <w:rFonts w:ascii="Times New Roman" w:hAnsi="Times New Roman"/>
          <w:b/>
          <w:i/>
          <w:sz w:val="20"/>
        </w:rPr>
        <w:t>PIIA</w:t>
      </w:r>
      <w:r>
        <w:rPr>
          <w:rFonts w:ascii="Times New Roman" w:hAnsi="Times New Roman"/>
          <w:sz w:val="20"/>
        </w:rPr>
        <w:t xml:space="preserve">) is attached hereto as Appendix B, and is incorporated herein by reference with respect to the matters set forth therein. In the event of a conflict between this Agreement and PIIA,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Inconsistent Obligations</w:t>
      </w:r>
      <w:r>
        <w:rPr>
          <w:rFonts w:ascii="Times New Roman" w:hAnsi="Times New Roman"/>
          <w:sz w:val="20"/>
        </w:rPr>
        <w:t xml:space="preserve">.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Delayed Commencement Date for Payments and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intent of the parties hereto is that payments and benefits under this Agreement comply with, or be exempt from, Section 409A of the Internal Revenue Code of 1986, as amended, and the regulations and guidance promulgated thereunder (collectively </w:t>
      </w: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and, accordingly, to the maximum extent permitted, this Agreement shall be interpreted to be in compliance therewith or 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Tempest of the applicable provision without violating the provisions of Code Section 409A. </w:t>
      </w:r>
    </w:p>
    <w:p>
      <w:pPr>
        <w:pStyle w:val="TextBody"/>
        <w:bidi w:val="0"/>
        <w:spacing w:before="240" w:after="0"/>
        <w:jc w:val="left"/>
        <w:rPr>
          <w:rFonts w:ascii="Times New Roman" w:hAnsi="Times New Roman"/>
          <w:sz w:val="20"/>
        </w:rPr>
      </w:pPr>
      <w:r>
        <w:rPr>
          <w:rFonts w:ascii="Times New Roman" w:hAnsi="Times New Roman"/>
          <w:sz w:val="20"/>
        </w:rPr>
        <w:t>b. A termination of employment shall not be deemed to have occurred for purposes of any provision of this Agreement providing for the payment of any amounts or benefits upon or following a termination of employment that are considered </w:t>
      </w:r>
      <w:r>
        <w:rPr>
          <w:rFonts w:ascii="Times New Roman" w:hAnsi="Times New Roman"/>
          <w:b/>
          <w:i/>
          <w:sz w:val="20"/>
        </w:rPr>
        <w:t>nonqualified deferred compensation</w:t>
      </w:r>
      <w:r>
        <w:rPr>
          <w:rFonts w:ascii="Times New Roman" w:hAnsi="Times New Roman"/>
          <w:sz w:val="20"/>
        </w:rPr>
        <w:t> under Code Section 409A unless such termination is also a </w:t>
      </w:r>
      <w:r>
        <w:rPr>
          <w:rFonts w:ascii="Times New Roman" w:hAnsi="Times New Roman"/>
          <w:b/>
          <w:i/>
          <w:sz w:val="20"/>
        </w:rPr>
        <w:t>separation from service</w:t>
      </w:r>
      <w:r>
        <w:rPr>
          <w:rFonts w:ascii="Times New Roman" w:hAnsi="Times New Roman"/>
          <w:sz w:val="20"/>
        </w:rPr>
        <w:t> within the meaning of Code Section 409A and, for purposes of any such provision of this Agreement, references to a </w:t>
      </w:r>
      <w:r>
        <w:rPr>
          <w:rFonts w:ascii="Times New Roman" w:hAnsi="Times New Roman"/>
          <w:b/>
          <w:i/>
          <w:sz w:val="20"/>
        </w:rPr>
        <w:t>termination,</w:t>
      </w:r>
      <w:r>
        <w:rPr>
          <w:rFonts w:ascii="Times New Roman" w:hAnsi="Times New Roman"/>
          <w:sz w:val="20"/>
        </w:rPr>
        <w:t> </w:t>
      </w:r>
      <w:r>
        <w:rPr>
          <w:rFonts w:ascii="Times New Roman" w:hAnsi="Times New Roman"/>
          <w:b/>
          <w:i/>
          <w:sz w:val="20"/>
        </w:rPr>
        <w:t>termination of employment</w:t>
      </w:r>
      <w:r>
        <w:rPr>
          <w:rFonts w:ascii="Times New Roman" w:hAnsi="Times New Roman"/>
          <w:sz w:val="20"/>
        </w:rPr>
        <w:t> or like terms shall mean </w:t>
      </w:r>
      <w:r>
        <w:rPr>
          <w:rFonts w:ascii="Times New Roman" w:hAnsi="Times New Roman"/>
          <w:b/>
          <w:i/>
          <w:sz w:val="20"/>
        </w:rPr>
        <w:t>separation from service.</w:t>
      </w:r>
      <w:r>
        <w:rPr>
          <w:rFonts w:ascii="Times New Roman" w:hAnsi="Times New Roman"/>
          <w:sz w:val="20"/>
        </w:rPr>
        <w:t> Notwithstanding any provision to the contrary in this Agreement, no payments or benefits that are considered </w:t>
      </w:r>
      <w:r>
        <w:rPr>
          <w:rFonts w:ascii="Times New Roman" w:hAnsi="Times New Roman"/>
          <w:b/>
          <w:i/>
          <w:sz w:val="20"/>
        </w:rPr>
        <w:t>nonqualified deferred compensation</w:t>
      </w:r>
      <w:r>
        <w:rPr>
          <w:rFonts w:ascii="Times New Roman" w:hAnsi="Times New Roman"/>
          <w:sz w:val="20"/>
        </w:rPr>
        <w:t> under Code Section 409A to which you otherwise become entitled under this Agreement in connection with your termination of employment, shall be made or provided to you prior to the earlier of (i) the expiration of the 6 month period measured from the date of your </w:t>
      </w:r>
      <w:r>
        <w:rPr>
          <w:rFonts w:ascii="Times New Roman" w:hAnsi="Times New Roman"/>
          <w:b/>
          <w:i/>
          <w:sz w:val="20"/>
        </w:rPr>
        <w:t>separation from service</w:t>
      </w:r>
      <w:r>
        <w:rPr>
          <w:rFonts w:ascii="Times New Roman" w:hAnsi="Times New Roman"/>
          <w:sz w:val="20"/>
        </w:rPr>
        <w:t> with Tempest (as such term is defined in Code Section 409A) or (ii) the date of your death, if you are deemed at the time of such separation from service to be a </w:t>
      </w:r>
      <w:r>
        <w:rPr>
          <w:rFonts w:ascii="Times New Roman" w:hAnsi="Times New Roman"/>
          <w:b/>
          <w:i/>
          <w:sz w:val="20"/>
        </w:rPr>
        <w:t>specified employee</w:t>
      </w:r>
      <w:r>
        <w:rPr>
          <w:rFonts w:ascii="Times New Roman" w:hAnsi="Times New Roman"/>
          <w:sz w:val="20"/>
        </w:rPr>
        <w:t xml:space="preserve"> under Code Section 409A and if, in the absence of such delay, the payments would be subject to additional tax under Code Section 409A. Upon the expiration of the applicable Code Section 409A(a)(2) deferral period, all payments and benefits deferred pursuant to this Section 8(b) (whether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 In addition to the above, to the extent required to comply with Code Section 409A and the applicable regulations and guidance issued thereunder, if the applicable deadline for you to execute (and not revoke) the applicable Separation Agreement and General Release spans two calendar years, your severance benefits set forth in Section 4(b) above shall commence to be paid on the first regularly scheduled payroll date that occurs in the second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For purposes of Code Section 409A, your right to receive any installment payment pursuant to this Agreement shall be treated as a right to receive a series of separate and distinct payments. Whenever a payment under this Agreement specifies a payment period with reference to a number of days (e.g., </w:t>
      </w:r>
      <w:r>
        <w:rPr>
          <w:rFonts w:ascii="Times New Roman" w:hAnsi="Times New Roman"/>
          <w:b/>
          <w:i/>
          <w:sz w:val="20"/>
        </w:rPr>
        <w:t>payment shall be made within 30 days following the date of termination</w:t>
      </w:r>
      <w:r>
        <w:rPr>
          <w:rFonts w:ascii="Times New Roman" w:hAnsi="Times New Roman"/>
          <w:sz w:val="20"/>
        </w:rPr>
        <w:t>), the actual date of payment within the specified period shall be within the sole discretion of Tempest. Notwithstanding any other provision of this Agreement to the contrary, in no event shall any payment under this Agreement that constitutes </w:t>
      </w:r>
      <w:r>
        <w:rPr>
          <w:rFonts w:ascii="Times New Roman" w:hAnsi="Times New Roman"/>
          <w:b/>
          <w:i/>
          <w:sz w:val="20"/>
        </w:rPr>
        <w:t>nonqualified deferred compensation</w:t>
      </w:r>
      <w:r>
        <w:rPr>
          <w:rFonts w:ascii="Times New Roman" w:hAnsi="Times New Roman"/>
          <w:sz w:val="20"/>
        </w:rPr>
        <w:t xml:space="preserve"> for purposes of Code Section 409A be subject to offset, counterclaim or recoupment by any other amount payable to you unless otherwise permitted by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d. All in-kind benefits provided and expenses eligible for reimbursement under this Agreement shall be provided by Tempest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w:t>
      </w:r>
    </w:p>
    <w:p>
      <w:pPr>
        <w:pStyle w:val="TextBody"/>
        <w:bidi w:val="0"/>
        <w:spacing w:before="240" w:after="0"/>
        <w:jc w:val="left"/>
        <w:rPr>
          <w:rFonts w:ascii="Times New Roman" w:hAnsi="Times New Roman"/>
          <w:sz w:val="20"/>
        </w:rPr>
      </w:pPr>
      <w:r>
        <w:rPr>
          <w:rFonts w:ascii="Times New Roman" w:hAnsi="Times New Roman"/>
          <w:sz w:val="20"/>
        </w:rPr>
        <w:t xml:space="preserve">e. If under this Agreement an amount is to be paid in installments, each installment shall be treated as a separate payment for purposes of Treasury Regulation Section 1.409A-2(b)(2)(iii).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280G</w:t>
      </w:r>
      <w:r>
        <w:rPr>
          <w:rFonts w:ascii="Times New Roman" w:hAnsi="Times New Roman"/>
          <w:sz w:val="20"/>
        </w:rPr>
        <w:t>. 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Times New Roman" w:hAnsi="Times New Roman"/>
          <w:b/>
          <w:i/>
          <w:sz w:val="20"/>
        </w:rPr>
        <w:t>Aggregate Payments</w:t>
      </w:r>
      <w:r>
        <w:rPr>
          <w:rFonts w:ascii="Times New Roman" w:hAnsi="Times New Roman"/>
          <w:sz w:val="20"/>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Times New Roman" w:hAnsi="Times New Roman"/>
          <w:b/>
          <w:i/>
          <w:sz w:val="20"/>
        </w:rPr>
        <w:t>After Tax Amount</w:t>
      </w:r>
      <w:r>
        <w:rPr>
          <w:rFonts w:ascii="Times New Roman" w:hAnsi="Times New Roman"/>
          <w:sz w:val="20"/>
        </w:rPr>
        <w:t xml:space="preserve">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w:t>
      </w:r>
      <w:r>
        <w:rPr>
          <w:rFonts w:ascii="Times New Roman" w:hAnsi="Times New Roman"/>
          <w:b/>
          <w:i/>
          <w:sz w:val="20"/>
        </w:rPr>
        <w:t>base amount</w:t>
      </w:r>
      <w:r>
        <w:rPr>
          <w:rFonts w:ascii="Times New Roman" w:hAnsi="Times New Roman"/>
          <w:sz w:val="20"/>
        </w:rPr>
        <w:t xml:space="preserve"> (as such term is defined in Section 280G) in order that, upon obtaining such approval, all of the payments will be exempt from the excise taxes imposed under Sections 280G and 4999 of the Code, Tempest shall use its reasonable best efforts to obtain such approval.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offer of employment is made subject to you having the legal right to work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Your employment with Tempest is subject to all Company policies and procedures, and Tempest retains the right to change its policies or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may be executed in several counterparts, each of which shall be deemed to be an original but all of which together will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d. 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e. 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validity, interpretation, construction and performance of this Agreement shall be governed by the laws of the State of California without regard to the choice of law principles thereof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acceptable, please indicate your agreement by signing below and returning the original signed Agreement (keeping a copy for your own records) to me on or before January 19, 2022. If you have any further questions or require additional information, please feel free to contact me.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TEMPEST THERAPEUTICS,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Thomas Dubensky, Jr.</w:t>
            </w:r>
          </w:p>
        </w:tc>
      </w:tr>
      <w:tr>
        <w:trPr/>
        <w:tc>
          <w:tcPr>
            <w:tcW w:w="4082" w:type="dxa"/>
            <w:gridSpan w:val="3"/>
            <w:tcBorders/>
          </w:tcPr>
          <w:p>
            <w:pPr>
              <w:pStyle w:val="TableContents"/>
              <w:bidi w:val="0"/>
              <w:spacing w:before="0" w:after="283"/>
              <w:jc w:val="left"/>
              <w:rPr/>
            </w:pPr>
            <w:r>
              <w:rPr/>
              <w:t>Thomas Dubensky, Jr.</w:t>
            </w:r>
          </w:p>
        </w:tc>
      </w:tr>
      <w:tr>
        <w:trPr/>
        <w:tc>
          <w:tcPr>
            <w:tcW w:w="4082" w:type="dxa"/>
            <w:gridSpan w:val="3"/>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Stephen R. Brady</w:t>
            </w:r>
          </w:p>
        </w:tc>
      </w:tr>
      <w:tr>
        <w:trPr/>
        <w:tc>
          <w:tcPr>
            <w:tcW w:w="4082" w:type="dxa"/>
            <w:gridSpan w:val="3"/>
            <w:tcBorders/>
          </w:tcPr>
          <w:p>
            <w:pPr>
              <w:pStyle w:val="TableContents"/>
              <w:bidi w:val="0"/>
              <w:spacing w:before="0" w:after="283"/>
              <w:jc w:val="left"/>
              <w:rPr/>
            </w:pPr>
            <w:r>
              <w:rPr/>
              <w:t>Stephen R. Brady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1/18/22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tcPr>
          <w:p>
            <w:pPr>
              <w:pStyle w:val="TableContents"/>
              <w:bidi w:val="0"/>
              <w:spacing w:before="0" w:after="283"/>
              <w:jc w:val="left"/>
              <w:rPr/>
            </w:pPr>
            <w:r>
              <w:rPr/>
              <w:t>Appendices:</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Appendix A  Approved Activities </w:t>
            </w:r>
          </w:p>
        </w:tc>
      </w:tr>
    </w:tbl>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tcPr>
          <w:p>
            <w:pPr>
              <w:pStyle w:val="TableContents"/>
              <w:bidi w:val="0"/>
              <w:spacing w:before="0" w:after="283"/>
              <w:jc w:val="left"/>
              <w:rPr/>
            </w:pPr>
            <w:r>
              <w:rPr/>
              <w:t> </w:t>
            </w:r>
          </w:p>
        </w:tc>
        <w:tc>
          <w:tcPr>
            <w:tcW w:w="88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Appendix B  Separation Agreement and General Release </w:t>
            </w:r>
          </w:p>
        </w:tc>
      </w:tr>
    </w:tbl>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Appendix C  Confidentiality and Proprietary Rights Agreement </w:t>
            </w:r>
          </w:p>
        </w:tc>
      </w:tr>
    </w:tbl>
    <w:p>
      <w:pPr>
        <w:pStyle w:val="TextBody"/>
        <w:bidi w:val="0"/>
        <w:spacing w:before="0" w:after="0"/>
        <w:jc w:val="right"/>
        <w:rPr>
          <w:rFonts w:ascii="Times New Roman" w:hAnsi="Times New Roman"/>
          <w:b/>
          <w:sz w:val="20"/>
        </w:rPr>
      </w:pPr>
      <w:bookmarkStart w:id="13" w:name="d920870dex1012.htm"/>
      <w:bookmarkStart w:id="14" w:name="ksd920870dex1012"/>
      <w:bookmarkEnd w:id="13"/>
      <w:bookmarkEnd w:id="14"/>
      <w:r>
        <w:rPr>
          <w:rFonts w:ascii="Times New Roman" w:hAnsi="Times New Roman"/>
          <w:b/>
          <w:sz w:val="20"/>
        </w:rPr>
        <w:t xml:space="preserve">Exhibit 10.12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7000 Shoreline Court, Suite 275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240" w:after="0"/>
        <w:jc w:val="left"/>
        <w:rPr>
          <w:rFonts w:ascii="Times New Roman" w:hAnsi="Times New Roman"/>
          <w:sz w:val="20"/>
        </w:rPr>
      </w:pPr>
      <w:r>
        <w:rPr>
          <w:rFonts w:ascii="Times New Roman" w:hAnsi="Times New Roman"/>
          <w:sz w:val="20"/>
        </w:rPr>
        <w:t xml:space="preserve">January 12, 2022 </w:t>
      </w:r>
    </w:p>
    <w:p>
      <w:pPr>
        <w:pStyle w:val="TextBody"/>
        <w:bidi w:val="0"/>
        <w:spacing w:before="240" w:after="0"/>
        <w:jc w:val="left"/>
        <w:rPr>
          <w:rFonts w:ascii="Times New Roman" w:hAnsi="Times New Roman"/>
          <w:b/>
          <w:i/>
          <w:sz w:val="20"/>
        </w:rPr>
      </w:pPr>
      <w:r>
        <w:rPr>
          <w:rFonts w:ascii="Times New Roman" w:hAnsi="Times New Roman"/>
          <w:b/>
          <w:i/>
          <w:sz w:val="20"/>
        </w:rPr>
        <w:t xml:space="preserve">Via Email Only </w:t>
      </w:r>
    </w:p>
    <w:p>
      <w:pPr>
        <w:pStyle w:val="TextBody"/>
        <w:bidi w:val="0"/>
        <w:spacing w:before="0" w:after="0"/>
        <w:jc w:val="left"/>
        <w:rPr>
          <w:rFonts w:ascii="Times New Roman" w:hAnsi="Times New Roman"/>
          <w:sz w:val="20"/>
        </w:rPr>
      </w:pPr>
      <w:r>
        <w:rPr>
          <w:rFonts w:ascii="Times New Roman" w:hAnsi="Times New Roman"/>
          <w:sz w:val="20"/>
        </w:rPr>
        <w:t xml:space="preserve">SWHITING@TEMPESTTX.COM </w:t>
      </w:r>
    </w:p>
    <w:p>
      <w:pPr>
        <w:pStyle w:val="TextBody"/>
        <w:bidi w:val="0"/>
        <w:spacing w:before="240" w:after="0"/>
        <w:jc w:val="left"/>
        <w:rPr>
          <w:rFonts w:ascii="Times New Roman" w:hAnsi="Times New Roman"/>
          <w:sz w:val="20"/>
        </w:rPr>
      </w:pPr>
      <w:r>
        <w:rPr>
          <w:rFonts w:ascii="Times New Roman" w:hAnsi="Times New Roman"/>
          <w:sz w:val="20"/>
        </w:rPr>
        <w:t xml:space="preserve">Sam Whiting, M.D., Ph.D. </w:t>
      </w:r>
    </w:p>
    <w:p>
      <w:pPr>
        <w:pStyle w:val="TextBody"/>
        <w:bidi w:val="0"/>
        <w:spacing w:before="240" w:after="0"/>
        <w:jc w:val="left"/>
        <w:rPr>
          <w:rFonts w:ascii="Times New Roman" w:hAnsi="Times New Roman"/>
          <w:b/>
          <w:sz w:val="20"/>
        </w:rPr>
      </w:pPr>
      <w:r>
        <w:rPr>
          <w:rFonts w:ascii="Times New Roman" w:hAnsi="Times New Roman"/>
          <w:b/>
          <w:sz w:val="20"/>
        </w:rPr>
        <w:t xml:space="preserve">RE: EXECUTIVE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Dear Sam: </w:t>
      </w:r>
    </w:p>
    <w:p>
      <w:pPr>
        <w:pStyle w:val="TextBody"/>
        <w:bidi w:val="0"/>
        <w:spacing w:before="120" w:after="0"/>
        <w:jc w:val="left"/>
        <w:rPr>
          <w:rFonts w:ascii="Times New Roman" w:hAnsi="Times New Roman"/>
          <w:sz w:val="20"/>
        </w:rPr>
      </w:pPr>
      <w:r>
        <w:rPr>
          <w:rFonts w:ascii="Times New Roman" w:hAnsi="Times New Roman"/>
          <w:sz w:val="20"/>
        </w:rPr>
        <w:t>On behalf of Tempest Therapeutics, Inc. (</w:t>
      </w:r>
      <w:r>
        <w:rPr>
          <w:rFonts w:ascii="Times New Roman" w:hAnsi="Times New Roman"/>
          <w:b/>
          <w:i/>
          <w:sz w:val="20"/>
        </w:rPr>
        <w:t>Tempest</w:t>
      </w:r>
      <w:r>
        <w:rPr>
          <w:rFonts w:ascii="Times New Roman" w:hAnsi="Times New Roman"/>
          <w:sz w:val="20"/>
        </w:rPr>
        <w:t>, or the </w:t>
      </w:r>
      <w:r>
        <w:rPr>
          <w:rFonts w:ascii="Times New Roman" w:hAnsi="Times New Roman"/>
          <w:b/>
          <w:i/>
          <w:sz w:val="20"/>
        </w:rPr>
        <w:t>Company</w:t>
      </w:r>
      <w:r>
        <w:rPr>
          <w:rFonts w:ascii="Times New Roman" w:hAnsi="Times New Roman"/>
          <w:sz w:val="20"/>
        </w:rPr>
        <w:t>), it is my pleasure to confirm the terms and conditions of your continued employment as Tempests Chief Medical Officer, reporting to the Companys Chief Executive Officer (the </w:t>
      </w:r>
      <w:r>
        <w:rPr>
          <w:rFonts w:ascii="Times New Roman" w:hAnsi="Times New Roman"/>
          <w:b/>
          <w:i/>
          <w:sz w:val="20"/>
        </w:rPr>
        <w:t>CEO</w:t>
      </w:r>
      <w:r>
        <w:rPr>
          <w:rFonts w:ascii="Times New Roman" w:hAnsi="Times New Roman"/>
          <w:sz w:val="20"/>
        </w:rPr>
        <w:t xml:space="preserve">). During your employment with Tempest, you will devote substantially all of your professional efforts to the business of Tempest, except that you may engage in the business activities described on </w:t>
      </w:r>
      <w:r>
        <w:rPr>
          <w:rFonts w:ascii="Times New Roman" w:hAnsi="Times New Roman"/>
          <w:sz w:val="20"/>
          <w:u w:val="single"/>
        </w:rPr>
        <w:t>Appendix A</w:t>
      </w:r>
      <w:r>
        <w:rPr>
          <w:rFonts w:ascii="Times New Roman" w:hAnsi="Times New Roman"/>
          <w:sz w:val="20"/>
        </w:rPr>
        <w:t xml:space="preserve"> of this employment agreement (this </w:t>
      </w:r>
      <w:r>
        <w:rPr>
          <w:rFonts w:ascii="Times New Roman" w:hAnsi="Times New Roman"/>
          <w:b/>
          <w:i/>
          <w:sz w:val="20"/>
        </w:rPr>
        <w:t>Agreement</w:t>
      </w:r>
      <w:r>
        <w:rPr>
          <w:rFonts w:ascii="Times New Roman" w:hAnsi="Times New Roman"/>
          <w:sz w:val="20"/>
        </w:rPr>
        <w:t xml:space="preserve">), and other activities that may be approved in advance by the Companys Chief Executive Officer, with advice from the Board (which together with the activities set forth on </w:t>
      </w:r>
      <w:r>
        <w:rPr>
          <w:rFonts w:ascii="Times New Roman" w:hAnsi="Times New Roman"/>
          <w:sz w:val="20"/>
          <w:u w:val="single"/>
        </w:rPr>
        <w:t>Appendix A</w:t>
      </w:r>
      <w:r>
        <w:rPr>
          <w:rFonts w:ascii="Times New Roman" w:hAnsi="Times New Roman"/>
          <w:sz w:val="20"/>
        </w:rPr>
        <w:t xml:space="preserve"> 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Times New Roman" w:hAnsi="Times New Roman"/>
          <w:sz w:val="20"/>
          <w:u w:val="single"/>
        </w:rPr>
        <w:t>Section 5</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This Agreement supersedes, amends and restates in all respects all prior agreements and understandings between you and the Company regarding the subject matter herein. The date on which you sign this Agreement is referred to herein as the </w:t>
      </w:r>
      <w:r>
        <w:rPr>
          <w:rFonts w:ascii="Times New Roman" w:hAnsi="Times New Roman"/>
          <w:b/>
          <w:i/>
          <w:sz w:val="20"/>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is intended to summarize some of the terms and conditions of your employment.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Location</w:t>
      </w:r>
      <w:r>
        <w:rPr>
          <w:rFonts w:ascii="Times New Roman" w:hAnsi="Times New Roman"/>
          <w:sz w:val="20"/>
        </w:rPr>
        <w:t xml:space="preserve">. Your place of employment will be at Tempests principal offices, currently located in South San Francisco, California. You will be required to work from this location as reasonably determined by the Company in accordance with its work from home, and work from office policies, taking into account relevant factors of your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Base Salary</w:t>
      </w:r>
      <w:r>
        <w:rPr>
          <w:rFonts w:ascii="Times New Roman" w:hAnsi="Times New Roman"/>
          <w:sz w:val="20"/>
        </w:rPr>
        <w:t xml:space="preserve">. Your annualized base salary rate is $437,000, less standard deductions and withholding and payable bi-weekly in accordance with Tempests regular payroll practices. Your salary shall be reviewed annually and may be adjusted in connection with any such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Bonus Program</w:t>
      </w:r>
      <w:r>
        <w:rPr>
          <w:rFonts w:ascii="Times New Roman" w:hAnsi="Times New Roman"/>
          <w:sz w:val="20"/>
        </w:rPr>
        <w:t xml:space="preserve">. You will be eligible for an annual target bonus of forty percent (40%) of your annual base salary, as determined by the Board in its sole discretion based upon, among other things, the achievement of pre-determined performance milestones. Any annual bonus, if earned, shall be paid no later than March 15th of the year immediately following the year to which the applicable annual bonus relates.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Option Grants</w:t>
      </w:r>
      <w:r>
        <w:rPr>
          <w:rFonts w:ascii="Times New Roman" w:hAnsi="Times New Roman"/>
          <w:sz w:val="20"/>
        </w:rPr>
        <w:t>. As of the Effective Date, you acknowledge that you have been granted options to purchase 111,359 shares of Tempests common stock (the Option), vesting in accordance with the terms of the grant agreements therefor, and otherwise in accordance with this Agreement. You also may be granted other stock options in the course of providing services to the Company (collectively with the Option, the </w:t>
      </w:r>
      <w:r>
        <w:rPr>
          <w:rFonts w:ascii="Times New Roman" w:hAnsi="Times New Roman"/>
          <w:b/>
          <w:i/>
          <w:sz w:val="20"/>
        </w:rPr>
        <w:t>Stock Option Grants</w:t>
      </w:r>
      <w:r>
        <w:rPr>
          <w:rFonts w:ascii="Times New Roman" w:hAnsi="Times New Roman"/>
          <w:sz w:val="20"/>
        </w:rPr>
        <w:t xml:space="preserve">). The Stock Option Grants are also subject to the terms of Tempests equity incentive arrangements, including its customary Incentive Stock Option (ISO) Grant Agreement. In the event that (i) the Company consummates a Change in Control (as defined below), and (ii) the Stock Option Grants are not otherwise vested, then one hundred percent (100%) of remaining shares subject to the Stock Option Grants shall vest in full on the date immediately prior to the effective date of the Change in Control, subject to your continuous employment through such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Withholding. </w:t>
      </w:r>
      <w:r>
        <w:rPr>
          <w:rFonts w:ascii="Times New Roman" w:hAnsi="Times New Roman"/>
          <w:sz w:val="20"/>
        </w:rPr>
        <w:t xml:space="preserve">Tempest shall withhold from any compensation or benefits payable to you by Tempest any federal, state and/or local income, employment and/or other similar taxes as may be required to be withheld pursuant to any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Other</w:t>
      </w:r>
      <w:r>
        <w:rPr>
          <w:rFonts w:ascii="Times New Roman" w:hAnsi="Times New Roman"/>
          <w:sz w:val="20"/>
        </w:rPr>
        <w:t xml:space="preserve">. You will be eligible to participate in the benefits to be offered by Tempest on the same terms and conditions as it will make such benefits available to employees in positions similar to your position. The benefits are currently expected to include health insurance and such other benefits provided by similar companies of a similar stage, as approved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Expenses</w:t>
      </w:r>
      <w:r>
        <w:rPr>
          <w:rFonts w:ascii="Times New Roman" w:hAnsi="Times New Roman"/>
          <w:sz w:val="20"/>
        </w:rPr>
        <w:t xml:space="preserve">. Tempest shall reimburse you for all reasonable expenses of the type authorized by Tempest and incurred by you in the performance of your duties under this Agreement, all in accordance with the Companys reimbursement policies. </w:t>
      </w:r>
    </w:p>
    <w:p>
      <w:pPr>
        <w:pStyle w:val="TextBody"/>
        <w:bidi w:val="0"/>
        <w:spacing w:before="240" w:after="0"/>
        <w:jc w:val="left"/>
        <w:rPr>
          <w:rFonts w:ascii="Times New Roman" w:hAnsi="Times New Roman"/>
          <w:sz w:val="20"/>
        </w:rPr>
      </w:pPr>
      <w:r>
        <w:rPr>
          <w:rFonts w:ascii="Times New Roman" w:hAnsi="Times New Roman"/>
          <w:sz w:val="20"/>
        </w:rPr>
        <w:t xml:space="preserve">As is the case of all employee benefits, such benefits will be governed by the terms and conditions of applicable Tempest plans or policies, which are subject to change or discontinuation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Severance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Definitions. </w:t>
      </w:r>
      <w:r>
        <w:rPr>
          <w:rFonts w:ascii="Times New Roman" w:hAnsi="Times New Roman"/>
          <w:sz w:val="20"/>
        </w:rPr>
        <w:t xml:space="preserve">For purposes of this Agreement: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Accrued Benefits</w:t>
      </w:r>
      <w:r>
        <w:rPr>
          <w:rFonts w:ascii="Times New Roman" w:hAnsi="Times New Roman"/>
          <w:sz w:val="20"/>
        </w:rPr>
        <w:t xml:space="preserve"> 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w:t>
      </w:r>
      <w:r>
        <w:rPr>
          <w:rFonts w:ascii="Times New Roman" w:hAnsi="Times New Roman"/>
          <w:b/>
          <w:i/>
          <w:sz w:val="20"/>
        </w:rPr>
        <w:t>Cause</w:t>
      </w:r>
      <w:r>
        <w:rPr>
          <w:rFonts w:ascii="Times New Roman" w:hAnsi="Times New Roman"/>
          <w:sz w:val="20"/>
        </w:rPr>
        <w:t xml:space="preserve"> means conduct involving one or more of the following by you: (i) failure to perform a substantial portion of your duties and responsibilities in accordance with the terms or requirements of this Agreement and your position, which failure continues for, or is not permanently cured within, a period of 30 days after written notice given to you by Tempest, except in the case of your physical or mental illness; (ii) disloyalty, gross negligence, willful misconduct, or dishonesty that materially injures Tempest or a breach of fiduciary duty to Tempest; (iii) the conviction of (x) a felony or (y) a misdemeanor involving moral turpitude, or fraud; (iv) the commission of an act of embezzlement or fraud; or (v) the material breach of any agreement between Tempest and you.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b/>
          <w:i/>
          <w:sz w:val="20"/>
        </w:rPr>
        <w:t>Change in Control</w:t>
      </w:r>
      <w:r>
        <w:rPr>
          <w:rFonts w:ascii="Times New Roman" w:hAnsi="Times New Roman"/>
          <w:sz w:val="20"/>
        </w:rPr>
        <w:t xml:space="preserve"> shall have the meaning set forth in the Companys 2017 Equity Incentive Plan.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b/>
          <w:i/>
          <w:sz w:val="20"/>
        </w:rPr>
        <w:t>Change in Control Period</w:t>
      </w:r>
      <w:r>
        <w:rPr>
          <w:rFonts w:ascii="Times New Roman" w:hAnsi="Times New Roman"/>
          <w:sz w:val="20"/>
        </w:rPr>
        <w:t xml:space="preserve"> means the three (3) month period prior to, and twelve (12) month period following, a Change in Control.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Good Reason</w:t>
      </w:r>
      <w:r>
        <w:rPr>
          <w:rFonts w:ascii="Times New Roman" w:hAnsi="Times New Roman"/>
          <w:sz w:val="20"/>
        </w:rPr>
        <w:t xml:space="preserve"> means, without your express written consent, (i) any reduction in your annual base salary other than a reduction which is proportional to general reductions affecting other senior executive officers of Tempest generally, or (ii) any material reduction in your title or scope of responsibilities without your consent (other than your removal from the Board).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Severance Benefits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If your employment with Tempest is terminated (x) by Tempest for any reason other than Cause, or (y) by you for Good Reason, Tempest will pay you (1) the Accrued Benefits; (2) subject to your compliance with </w:t>
      </w:r>
      <w:r>
        <w:rPr>
          <w:rFonts w:ascii="Times New Roman" w:hAnsi="Times New Roman"/>
          <w:sz w:val="20"/>
          <w:u w:val="single"/>
        </w:rPr>
        <w:t>Section 4(c)</w:t>
      </w:r>
      <w:r>
        <w:rPr>
          <w:rFonts w:ascii="Times New Roman" w:hAnsi="Times New Roman"/>
          <w:sz w:val="20"/>
        </w:rPr>
        <w:t xml:space="preserve"> below, after the execution and delivery of the Separation Agreement and General Release in the form attached hereto as </w:t>
      </w:r>
      <w:r>
        <w:rPr>
          <w:rFonts w:ascii="Times New Roman" w:hAnsi="Times New Roman"/>
          <w:sz w:val="20"/>
          <w:u w:val="single"/>
        </w:rPr>
        <w:t>Appendix B</w:t>
      </w:r>
      <w:r>
        <w:rPr>
          <w:rFonts w:ascii="Times New Roman" w:hAnsi="Times New Roman"/>
          <w:sz w:val="20"/>
        </w:rPr>
        <w:t xml:space="preserve"> (the </w:t>
      </w:r>
      <w:r>
        <w:rPr>
          <w:rFonts w:ascii="Times New Roman" w:hAnsi="Times New Roman"/>
          <w:b/>
          <w:i/>
          <w:sz w:val="20"/>
        </w:rPr>
        <w:t>Separation Agreement and General Release</w:t>
      </w:r>
      <w:r>
        <w:rPr>
          <w:rFonts w:ascii="Times New Roman" w:hAnsi="Times New Roman"/>
          <w:sz w:val="20"/>
        </w:rPr>
        <w:t>) and the expiration of any revocation period without the release being revoked, nine (9) months base salary, plus a prorated portion of your bonus at target for the year of your termination, less standard deductions, payable in bi-weekly installments in accordance with the Companys regular payroll policies; and (3) if you elect to continue your health insurance coverage pursuant to your rights under the Consolidated Omnibus Budget Reconciliation Act of 1985, as amended (</w:t>
      </w:r>
      <w:r>
        <w:rPr>
          <w:rFonts w:ascii="Times New Roman" w:hAnsi="Times New Roman"/>
          <w:b/>
          <w:i/>
          <w:sz w:val="20"/>
        </w:rPr>
        <w:t>COBRA</w:t>
      </w:r>
      <w:r>
        <w:rPr>
          <w:rFonts w:ascii="Times New Roman" w:hAnsi="Times New Roman"/>
          <w:sz w:val="20"/>
        </w:rPr>
        <w:t>), following the termination of your employment, your monthly premium under COBRA on a monthly basis until the earlier of (x) nine (9)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Times New Roman" w:hAnsi="Times New Roman"/>
          <w:b/>
          <w:i/>
          <w:sz w:val="20"/>
        </w:rPr>
        <w:t>Disability</w:t>
      </w:r>
      <w:r>
        <w:rPr>
          <w:rFonts w:ascii="Times New Roman" w:hAnsi="Times New Roman"/>
          <w:sz w:val="20"/>
        </w:rPr>
        <w:t xml:space="preserve"> shall mean that you have not been able to materially engage in your duties and responsibilities by reason of any medically determinable physical or mental impairment for a period of not less than 120 consecutive days or not less than 180 days during any one-year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In connection with the Change in Control Period. </w:t>
      </w:r>
      <w:r>
        <w:rPr>
          <w:rFonts w:ascii="Times New Roman" w:hAnsi="Times New Roman"/>
          <w:sz w:val="20"/>
        </w:rPr>
        <w:t xml:space="preserve">If your employment with Tempest is terminated (x) by Tempest for any reason other than Cause, or (y) by you for Good Reason during the Change in Control Period, Tempest will pay you (1) the Accrued Benefits; (2) subject to your compliance with </w:t>
      </w:r>
      <w:r>
        <w:rPr>
          <w:rFonts w:ascii="Times New Roman" w:hAnsi="Times New Roman"/>
          <w:sz w:val="20"/>
          <w:u w:val="single"/>
        </w:rPr>
        <w:t>Section 4(c)</w:t>
      </w:r>
      <w:r>
        <w:rPr>
          <w:rFonts w:ascii="Times New Roman" w:hAnsi="Times New Roman"/>
          <w:sz w:val="20"/>
        </w:rPr>
        <w:t xml:space="preserve"> below, after the execution and delivery of the Separation Agreement and General Release and the expiration of any revocation period without the release being revoked, twelve (12) months base salary plus your annual bonus at one hundred percent (100%) of target, less standard deductions, payable in a single lump sum on the 60th day following the termination of your employment; and (3) if you elect to continue your health insurance coverage pursuant to your rights under COBRA following the termination of your employment,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Eligibility for Severance</w:t>
      </w:r>
      <w:r>
        <w:rPr>
          <w:rFonts w:ascii="Times New Roman" w:hAnsi="Times New Roman"/>
          <w:sz w:val="20"/>
        </w:rPr>
        <w:t xml:space="preserve">. Eligibility for receipt of the items in </w:t>
      </w:r>
      <w:r>
        <w:rPr>
          <w:rFonts w:ascii="Times New Roman" w:hAnsi="Times New Roman"/>
          <w:sz w:val="20"/>
          <w:u w:val="single"/>
        </w:rPr>
        <w:t xml:space="preserve">Section 4(b) </w:t>
      </w:r>
      <w:r>
        <w:rPr>
          <w:rFonts w:ascii="Times New Roman" w:hAnsi="Times New Roman"/>
          <w:sz w:val="20"/>
        </w:rPr>
        <w:t xml:space="preserve">above, shall be conditioned on your (i) returning to Tempest promptly upon termination of your employment all of its property, including confidential information and all electronically stored information, and (ii) signing and not revoking the Separation Agreement and General Release within the applicable deadline set forth therein, but in no event later than forty-five (45) calendar days following your employment termination date. No benefits set forth in Section 4(b) above will be paid or provided hereunder prior to the effective date of the Separation Agreement and General Release (other than any Accrued Benefits required to be paid).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Accrued Benefits</w:t>
      </w:r>
      <w:r>
        <w:rPr>
          <w:rFonts w:ascii="Times New Roman" w:hAnsi="Times New Roman"/>
          <w:sz w:val="20"/>
        </w:rPr>
        <w:t xml:space="preserve">. The Accrued Benefits shall be paid to you (or your estate in the event of your death) upon termination of employment regardless of the circumstances giving rise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At-Will Employment</w:t>
      </w:r>
      <w:r>
        <w:rPr>
          <w:rFonts w:ascii="Times New Roman" w:hAnsi="Times New Roman"/>
          <w:sz w:val="20"/>
        </w:rPr>
        <w:t xml:space="preserve">. Your employment with Tempest is at will, meaning it may be terminated by you or Tempest at any time, subject to </w:t>
      </w:r>
      <w:r>
        <w:rPr>
          <w:rFonts w:ascii="Times New Roman" w:hAnsi="Times New Roman"/>
          <w:sz w:val="20"/>
          <w:u w:val="single"/>
        </w:rPr>
        <w:t>Section 4</w:t>
      </w:r>
      <w:r>
        <w:rPr>
          <w:rFonts w:ascii="Times New Roman" w:hAnsi="Times New Roman"/>
          <w:sz w:val="20"/>
        </w:rPr>
        <w:t xml:space="preserve"> above, for any reason with or without Cause. You understand that this Agreement is not a contract for employment for a definite term.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Confidentiality and Proprietary Rights Agreement</w:t>
      </w:r>
      <w:r>
        <w:rPr>
          <w:rFonts w:ascii="Times New Roman" w:hAnsi="Times New Roman"/>
          <w:sz w:val="20"/>
        </w:rPr>
        <w:t xml:space="preserve">. This offer of employment is subject to the Confidentiality and Proprietary Rights Agreement attached as </w:t>
      </w:r>
      <w:r>
        <w:rPr>
          <w:rFonts w:ascii="Times New Roman" w:hAnsi="Times New Roman"/>
          <w:sz w:val="20"/>
          <w:u w:val="single"/>
        </w:rPr>
        <w:t>Appendix C</w:t>
      </w:r>
      <w:r>
        <w:rPr>
          <w:rFonts w:ascii="Times New Roman" w:hAnsi="Times New Roman"/>
          <w:sz w:val="20"/>
        </w:rPr>
        <w:t xml:space="preserve">, which shall be effective as of the date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Inconsistent Obligations</w:t>
      </w:r>
      <w:r>
        <w:rPr>
          <w:rFonts w:ascii="Times New Roman" w:hAnsi="Times New Roman"/>
          <w:sz w:val="20"/>
        </w:rPr>
        <w:t xml:space="preserve">.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Delayed Commencement Date for Payments and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intent of the parties hereto is that payments and benefits under this Agreement comply with, or be exempt from, Section 409A of the Internal Revenue Code of 1986, as amended, and the regulations and guidance promulgated thereunder (collectively </w:t>
      </w:r>
      <w:r>
        <w:rPr>
          <w:rFonts w:ascii="Times New Roman" w:hAnsi="Times New Roman"/>
          <w:b/>
          <w:i/>
          <w:sz w:val="20"/>
        </w:rPr>
        <w:t>Code Section 409A</w:t>
      </w:r>
      <w:r>
        <w:rPr>
          <w:rFonts w:ascii="Times New Roman" w:hAnsi="Times New Roman"/>
          <w:sz w:val="20"/>
        </w:rPr>
        <w:t xml:space="preserve">) and, accordingly, to the maximum extent permitted, this Agreement shall be interpreted to be in compliance therewith or 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Tempest of the applicable provision without violating the provisions of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Times New Roman" w:hAnsi="Times New Roman"/>
          <w:sz w:val="20"/>
          <w:u w:val="single"/>
        </w:rPr>
        <w:t>Section 8(b)</w:t>
      </w:r>
      <w:r>
        <w:rPr>
          <w:rFonts w:ascii="Times New Roman" w:hAnsi="Times New Roman"/>
          <w:sz w:val="20"/>
        </w:rPr>
        <w:t xml:space="preserve"> (whether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 In addition to the above, to the extent required to comply with Code Section 409A and the applicable regulations and guidance issued thereunder, if the applicable deadline for you to execute (and not revoke) the applicable Separation Agreement and General Release spans two calendar years, your severance benefits set forth in Section 4(b) above shall commence to be paid on the first regularly scheduled payroll date that occurs in the second calendar year. </w:t>
      </w:r>
    </w:p>
    <w:p>
      <w:pPr>
        <w:pStyle w:val="TextBody"/>
        <w:bidi w:val="0"/>
        <w:spacing w:before="240" w:after="0"/>
        <w:jc w:val="left"/>
        <w:rPr>
          <w:rFonts w:ascii="Times New Roman" w:hAnsi="Times New Roman"/>
          <w:sz w:val="20"/>
        </w:rPr>
      </w:pPr>
      <w:r>
        <w:rPr>
          <w:rFonts w:ascii="Times New Roman" w:hAnsi="Times New Roman"/>
          <w:sz w:val="20"/>
        </w:rPr>
        <w:t>c. For purposes of Code Section 409A, your right to receive any installment payment pursuant to this Agreement shall be treated as a right to receive a series of separate and distinct payments. Whenever a payment under this Agreement specifies a payment period with reference to a number of days (</w:t>
      </w:r>
      <w:r>
        <w:rPr>
          <w:rFonts w:ascii="Times New Roman" w:hAnsi="Times New Roman"/>
          <w:i/>
          <w:sz w:val="20"/>
        </w:rPr>
        <w:t>e.g.</w:t>
      </w:r>
      <w:r>
        <w:rPr>
          <w:rFonts w:ascii="Times New Roman" w:hAnsi="Times New Roman"/>
          <w:sz w:val="20"/>
        </w:rPr>
        <w:t xml:space="preserve">,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in-kind benefits provided and expenses eligible for reimbursement under this Agreement shall be provided by Tempest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w:t>
      </w:r>
    </w:p>
    <w:p>
      <w:pPr>
        <w:pStyle w:val="TextBody"/>
        <w:bidi w:val="0"/>
        <w:spacing w:before="240" w:after="0"/>
        <w:jc w:val="left"/>
        <w:rPr>
          <w:rFonts w:ascii="Times New Roman" w:hAnsi="Times New Roman"/>
          <w:sz w:val="20"/>
        </w:rPr>
      </w:pPr>
      <w:r>
        <w:rPr>
          <w:rFonts w:ascii="Times New Roman" w:hAnsi="Times New Roman"/>
          <w:sz w:val="20"/>
        </w:rPr>
        <w:t xml:space="preserve">e. If under this Agreement an amount is to be paid in installments, each installment shall be treated as a separate payment for purposes of Treasury Regulation Section 1.409A-2(b)(2)(iii).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280G</w:t>
      </w:r>
      <w:r>
        <w:rPr>
          <w:rFonts w:ascii="Times New Roman" w:hAnsi="Times New Roman"/>
          <w:i/>
          <w:sz w:val="20"/>
        </w:rPr>
        <w:t>.</w:t>
      </w:r>
      <w:r>
        <w:rPr>
          <w:rFonts w:ascii="Times New Roman" w:hAnsi="Times New Roman"/>
          <w:sz w:val="20"/>
        </w:rPr>
        <w:t xml:space="preserve"> 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Times New Roman" w:hAnsi="Times New Roman"/>
          <w:b/>
          <w:i/>
          <w:sz w:val="20"/>
        </w:rPr>
        <w:t>Aggregate Payments</w:t>
      </w:r>
      <w:r>
        <w:rPr>
          <w:rFonts w:ascii="Times New Roman" w:hAnsi="Times New Roman"/>
          <w:sz w:val="20"/>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Times New Roman" w:hAnsi="Times New Roman"/>
          <w:b/>
          <w:i/>
          <w:sz w:val="20"/>
        </w:rPr>
        <w:t>After Tax Amount</w:t>
      </w:r>
      <w:r>
        <w:rPr>
          <w:rFonts w:ascii="Times New Roman" w:hAnsi="Times New Roman"/>
          <w:sz w:val="20"/>
        </w:rPr>
        <w:t xml:space="preserve">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 under Sections 280G and 4999 of the Code, Tempest shall use its reasonable best efforts to obtain such approval.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offer of employment is made subject to you having the legal right to work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Your employment with Tempest is subject to all Company policies and procedures, and Tempest retains the right to change its policies or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may be executed in several counterparts, each of which shall be deemed to be an original but all of which together will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d. 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e. 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w:t>
      </w:r>
    </w:p>
    <w:p>
      <w:pPr>
        <w:pStyle w:val="TextBody"/>
        <w:bidi w:val="0"/>
        <w:spacing w:before="240" w:after="0"/>
        <w:jc w:val="left"/>
        <w:rPr>
          <w:rFonts w:ascii="Times New Roman" w:hAnsi="Times New Roman"/>
          <w:sz w:val="20"/>
        </w:rPr>
      </w:pPr>
      <w:r>
        <w:rPr>
          <w:rFonts w:ascii="Times New Roman" w:hAnsi="Times New Roman"/>
          <w:sz w:val="20"/>
        </w:rPr>
        <w:t xml:space="preserve">f. The validity, interpretation, construction and performance of this Agreement shall be governed by the laws of the State of California without regard to the choice of law principles thereof.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acceptable, please indicate your agreement by signing below and returning the original signed Agreement (keeping a copy for your own records) to me on or before January 18, 2022. If you have any further questions or require additional information, please feel free to contact me.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TEMPEST THERAPEUTICS,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Stephen Brady</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Stephen Brady</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Sam Whiting</w:t>
            </w:r>
          </w:p>
        </w:tc>
      </w:tr>
      <w:tr>
        <w:trPr/>
        <w:tc>
          <w:tcPr>
            <w:tcW w:w="4082" w:type="dxa"/>
            <w:gridSpan w:val="3"/>
            <w:tcBorders/>
          </w:tcPr>
          <w:p>
            <w:pPr>
              <w:pStyle w:val="TableContents"/>
              <w:bidi w:val="0"/>
              <w:spacing w:before="0" w:after="283"/>
              <w:jc w:val="left"/>
              <w:rPr/>
            </w:pPr>
            <w:r>
              <w:rPr/>
              <w:t>Sam Whiting, M.D., Ph.D.</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1/14/2022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tcPr>
          <w:p>
            <w:pPr>
              <w:pStyle w:val="TableContents"/>
              <w:bidi w:val="0"/>
              <w:spacing w:before="0" w:after="283"/>
              <w:jc w:val="left"/>
              <w:rPr/>
            </w:pPr>
            <w:r>
              <w:rPr/>
              <w:t>Appendices:</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Appendix A  Approved Activities </w:t>
            </w:r>
          </w:p>
        </w:tc>
      </w:tr>
    </w:tbl>
    <w:p>
      <w:pPr>
        <w:pStyle w:val="TextBody"/>
        <w:bidi w:val="0"/>
        <w:spacing w:before="0" w:after="0"/>
        <w:jc w:val="left"/>
        <w:rPr>
          <w:rFonts w:ascii="Times New Roman" w:hAnsi="Times New Roman"/>
          <w:sz w:val="20"/>
        </w:rPr>
      </w:pPr>
      <w:r>
        <w:rPr>
          <w:rFonts w:ascii="Times New Roman" w:hAnsi="Times New Roman"/>
          <w:sz w:val="20"/>
        </w:rPr>
        <w:t xml:space="preserve">Appendix B  Separation Agreement and General Release </w:t>
      </w:r>
    </w:p>
    <w:p>
      <w:pPr>
        <w:pStyle w:val="TextBody"/>
        <w:bidi w:val="0"/>
        <w:spacing w:before="0" w:after="0"/>
        <w:jc w:val="left"/>
        <w:rPr>
          <w:rFonts w:ascii="Times New Roman" w:hAnsi="Times New Roman"/>
          <w:sz w:val="20"/>
        </w:rPr>
      </w:pPr>
      <w:r>
        <w:rPr>
          <w:rFonts w:ascii="Times New Roman" w:hAnsi="Times New Roman"/>
          <w:sz w:val="20"/>
        </w:rPr>
        <w:t xml:space="preserve">Appendix C  Confidentiality and Proprietary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right"/>
        <w:rPr>
          <w:rFonts w:ascii="Times New Roman" w:hAnsi="Times New Roman"/>
          <w:b/>
          <w:sz w:val="20"/>
        </w:rPr>
      </w:pPr>
      <w:bookmarkStart w:id="15" w:name="d920870dex313.htm"/>
      <w:bookmarkStart w:id="16" w:name="ksd920870dex313"/>
      <w:bookmarkEnd w:id="15"/>
      <w:bookmarkEnd w:id="16"/>
      <w:r>
        <w:rPr>
          <w:rFonts w:ascii="Times New Roman" w:hAnsi="Times New Roman"/>
          <w:b/>
          <w:sz w:val="20"/>
        </w:rPr>
        <w:t xml:space="preserve">Exhibit 31.3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CERTIFICATIONS </w:t>
      </w:r>
    </w:p>
    <w:p>
      <w:pPr>
        <w:pStyle w:val="TextBody"/>
        <w:bidi w:val="0"/>
        <w:spacing w:before="240" w:after="0"/>
        <w:jc w:val="left"/>
        <w:rPr>
          <w:rFonts w:ascii="Times New Roman" w:hAnsi="Times New Roman"/>
          <w:sz w:val="20"/>
        </w:rPr>
      </w:pPr>
      <w:r>
        <w:rPr>
          <w:rFonts w:ascii="Times New Roman" w:hAnsi="Times New Roman"/>
          <w:sz w:val="20"/>
        </w:rPr>
        <w:t xml:space="preserve">I, Stephen Brady,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Amendment No. 1 to Annual Report on Form 10-K of Tempest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4"/>
        <w:gridCol w:w="102"/>
        <w:gridCol w:w="405"/>
        <w:gridCol w:w="102"/>
        <w:gridCol w:w="311"/>
        <w:gridCol w:w="102"/>
        <w:gridCol w:w="4609"/>
      </w:tblGrid>
      <w:tr>
        <w:trPr/>
        <w:tc>
          <w:tcPr>
            <w:tcW w:w="457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9" w:type="dxa"/>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pPr>
            <w:r>
              <w:rPr/>
              <w:t>Date: April 30, 2025</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283"/>
              <w:jc w:val="left"/>
              <w:rPr>
                <w:sz w:val="4"/>
                <w:szCs w:val="4"/>
              </w:rPr>
            </w:pPr>
            <w:r>
              <w:rPr>
                <w:sz w:val="4"/>
                <w:szCs w:val="4"/>
              </w:rPr>
            </w:r>
          </w:p>
        </w:tc>
      </w:tr>
      <w:tr>
        <w:trPr>
          <w:trHeight w:val="240" w:hRule="atLeast"/>
        </w:trPr>
        <w:tc>
          <w:tcPr>
            <w:tcW w:w="4574"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3" w:type="dxa"/>
            <w:gridSpan w:val="2"/>
            <w:tcBorders/>
            <w:vAlign w:val="center"/>
          </w:tcPr>
          <w:p>
            <w:pPr>
              <w:pStyle w:val="TableContents"/>
              <w:bidi w:val="0"/>
              <w:spacing w:before="0" w:after="283"/>
              <w:jc w:val="left"/>
              <w:rPr>
                <w:sz w:val="4"/>
                <w:szCs w:val="4"/>
              </w:rPr>
            </w:pPr>
            <w:r>
              <w:rPr>
                <w:sz w:val="4"/>
                <w:szCs w:val="4"/>
              </w:rPr>
            </w:r>
          </w:p>
        </w:tc>
        <w:tc>
          <w:tcPr>
            <w:tcW w:w="4711" w:type="dxa"/>
            <w:gridSpan w:val="2"/>
            <w:tcBorders/>
            <w:vAlign w:val="center"/>
          </w:tcPr>
          <w:p>
            <w:pPr>
              <w:pStyle w:val="TableContents"/>
              <w:bidi w:val="0"/>
              <w:spacing w:before="0" w:after="283"/>
              <w:jc w:val="left"/>
              <w:rPr>
                <w:sz w:val="4"/>
                <w:szCs w:val="4"/>
              </w:rPr>
            </w:pPr>
            <w:r>
              <w:rPr>
                <w:sz w:val="4"/>
                <w:szCs w:val="4"/>
              </w:rPr>
            </w:r>
          </w:p>
        </w:tc>
      </w:tr>
      <w:tr>
        <w:trPr/>
        <w:tc>
          <w:tcPr>
            <w:tcW w:w="457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Brady</w:t>
            </w:r>
          </w:p>
        </w:tc>
      </w:tr>
      <w:tr>
        <w:trPr/>
        <w:tc>
          <w:tcPr>
            <w:tcW w:w="457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283"/>
              <w:jc w:val="left"/>
              <w:rPr/>
            </w:pPr>
            <w:r>
              <w:rPr/>
              <w:t>Stephen Brady</w:t>
            </w:r>
          </w:p>
        </w:tc>
      </w:tr>
      <w:tr>
        <w:trPr/>
        <w:tc>
          <w:tcPr>
            <w:tcW w:w="457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&amp; President</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right"/>
        <w:rPr>
          <w:rFonts w:ascii="Times New Roman" w:hAnsi="Times New Roman"/>
          <w:b/>
          <w:sz w:val="20"/>
        </w:rPr>
      </w:pPr>
      <w:bookmarkStart w:id="17" w:name="d920870dex314.htm"/>
      <w:bookmarkStart w:id="18" w:name="ksd920870dex314"/>
      <w:bookmarkEnd w:id="17"/>
      <w:bookmarkEnd w:id="18"/>
      <w:r>
        <w:rPr>
          <w:rFonts w:ascii="Times New Roman" w:hAnsi="Times New Roman"/>
          <w:b/>
          <w:sz w:val="20"/>
        </w:rPr>
        <w:t xml:space="preserve">Exhibit 31.4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CERTIFICATIONS </w:t>
      </w:r>
    </w:p>
    <w:p>
      <w:pPr>
        <w:pStyle w:val="TextBody"/>
        <w:bidi w:val="0"/>
        <w:spacing w:before="240" w:after="0"/>
        <w:jc w:val="left"/>
        <w:rPr>
          <w:rFonts w:ascii="Times New Roman" w:hAnsi="Times New Roman"/>
          <w:sz w:val="20"/>
        </w:rPr>
      </w:pPr>
      <w:r>
        <w:rPr>
          <w:rFonts w:ascii="Times New Roman" w:hAnsi="Times New Roman"/>
          <w:sz w:val="20"/>
        </w:rPr>
        <w:t xml:space="preserve">I, Nicholas Maestas,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Amendment No. 1 to Annual Report on Form 10-K of Tempest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4"/>
        <w:gridCol w:w="102"/>
        <w:gridCol w:w="406"/>
        <w:gridCol w:w="102"/>
        <w:gridCol w:w="308"/>
        <w:gridCol w:w="102"/>
        <w:gridCol w:w="4601"/>
      </w:tblGrid>
      <w:tr>
        <w:trPr/>
        <w:tc>
          <w:tcPr>
            <w:tcW w:w="45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1" w:type="dxa"/>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pPr>
            <w:r>
              <w:rPr/>
              <w:t>Date: April 30, 2025</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283"/>
              <w:jc w:val="left"/>
              <w:rPr>
                <w:sz w:val="4"/>
                <w:szCs w:val="4"/>
              </w:rPr>
            </w:pPr>
            <w:r>
              <w:rPr>
                <w:sz w:val="4"/>
                <w:szCs w:val="4"/>
              </w:rPr>
            </w:r>
          </w:p>
        </w:tc>
      </w:tr>
      <w:tr>
        <w:trPr>
          <w:trHeight w:val="240" w:hRule="atLeast"/>
        </w:trPr>
        <w:tc>
          <w:tcPr>
            <w:tcW w:w="458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4703" w:type="dxa"/>
            <w:gridSpan w:val="2"/>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Maestas</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283"/>
              <w:jc w:val="left"/>
              <w:rPr/>
            </w:pPr>
            <w:r>
              <w:rPr/>
              <w:t>Nicholas Maestas</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&amp; Head of Corporate Strategy</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44227/000110465921042768/tm2111026d1_ex2-1.htm" TargetMode="External"/><Relationship Id="rId3" Type="http://schemas.openxmlformats.org/officeDocument/2006/relationships/hyperlink" Target="http://www.sec.gov/Archives/edgar/data/1544227/000155837019005038/mlnd-20190331ex31b53fa83.htm" TargetMode="External"/><Relationship Id="rId4" Type="http://schemas.openxmlformats.org/officeDocument/2006/relationships/hyperlink" Target="http://www.sec.gov/Archives/edgar/data/1544227/000119312521201157/d196630dex31.htm" TargetMode="External"/><Relationship Id="rId5" Type="http://schemas.openxmlformats.org/officeDocument/2006/relationships/hyperlink" Target="http://www.sec.gov/Archives/edgar/data/1544227/000119312521201157/d196630dex32.htm" TargetMode="External"/><Relationship Id="rId6" Type="http://schemas.openxmlformats.org/officeDocument/2006/relationships/hyperlink" Target="http://www.sec.gov/Archives/edgar/data/1544227/000119312523253882/d547808dex31.htm" TargetMode="External"/><Relationship Id="rId7" Type="http://schemas.openxmlformats.org/officeDocument/2006/relationships/hyperlink" Target="http://www.sec.gov/Archives/edgar/data/1544227/000119312521281694/d222030dex31.htm" TargetMode="External"/><Relationship Id="rId8" Type="http://schemas.openxmlformats.org/officeDocument/2006/relationships/hyperlink" Target="http://www.sec.gov/Archives/edgar/data/1544227/000095017025046144/tpst-ex4_1.htm" TargetMode="External"/><Relationship Id="rId9" Type="http://schemas.openxmlformats.org/officeDocument/2006/relationships/hyperlink" Target="http://www.sec.gov/Archives/edgar/data/1544227/000095017025046144/tpst-ex4_2.htm" TargetMode="External"/><Relationship Id="rId10" Type="http://schemas.openxmlformats.org/officeDocument/2006/relationships/hyperlink" Target="http://www.sec.gov/Archives/edgar/data/1544227/000119312523253882/d547808dex41.htm" TargetMode="External"/><Relationship Id="rId11" Type="http://schemas.openxmlformats.org/officeDocument/2006/relationships/hyperlink" Target="http://www.sec.gov/Archives/edgar/data/../../../ix?doc=/Archives/edgar/data/0001544227/000119312524235598/d877681d8k.htm" TargetMode="External"/><Relationship Id="rId12" Type="http://schemas.openxmlformats.org/officeDocument/2006/relationships/hyperlink" Target="http://www.sec.gov/Archives/edgar/data/../../../ix?doc=/Archives/edgar/data/0001544227/000119312524272464/d899818d8k.htm" TargetMode="External"/><Relationship Id="rId13" Type="http://schemas.openxmlformats.org/officeDocument/2006/relationships/hyperlink" Target="http://www.sec.gov/Archives/edgar/data/1544227/000119312521208968/d184348dex102.htm" TargetMode="External"/><Relationship Id="rId14" Type="http://schemas.openxmlformats.org/officeDocument/2006/relationships/hyperlink" Target="http://www.sec.gov/Archives/edgar/data/1544227/000119312521208968/d184348dex101.htm" TargetMode="External"/><Relationship Id="rId15" Type="http://schemas.openxmlformats.org/officeDocument/2006/relationships/hyperlink" Target="http://www.sec.gov/Archives/edgar/data/1544227/000162828022007717/tempest-2017eipxformofst.htm" TargetMode="External"/><Relationship Id="rId16" Type="http://schemas.openxmlformats.org/officeDocument/2006/relationships/hyperlink" Target="http://www.sec.gov/Archives/edgar/data/1544227/000119312522177053/d370249dex101.htm" TargetMode="External"/><Relationship Id="rId17" Type="http://schemas.openxmlformats.org/officeDocument/2006/relationships/hyperlink" Target="http://www.sec.gov/Archives/edgar/data/1544227/000155837019007932/mlnd-20190630ex107cfce16.htm" TargetMode="External"/><Relationship Id="rId18" Type="http://schemas.openxmlformats.org/officeDocument/2006/relationships/hyperlink" Target="http://www.sec.gov/Archives/edgar/data/1544227/000154422720000004/mlnd-20191231xex1016.htm" TargetMode="External"/><Relationship Id="rId19" Type="http://schemas.openxmlformats.org/officeDocument/2006/relationships/hyperlink" Target="http://www.sec.gov/Archives/edgar/data/1544227/000154422720000004/mlnd-201912x31xex1017.htm" TargetMode="External"/><Relationship Id="rId20" Type="http://schemas.openxmlformats.org/officeDocument/2006/relationships/hyperlink" Target="http://www.sec.gov/Archives/edgar/data/1544227/000119312522177053/d370249dex102.htm" TargetMode="External"/><Relationship Id="rId21" Type="http://schemas.openxmlformats.org/officeDocument/2006/relationships/hyperlink" Target="http://www.sec.gov/Archives/edgar/data/1544227/000119312521148605/d150774dex103.htm" TargetMode="External"/><Relationship Id="rId22" Type="http://schemas.openxmlformats.org/officeDocument/2006/relationships/hyperlink" Target="http://www.sec.gov/Archives/edgar/data/1544227/000119312521209988/d69289dex101.htm" TargetMode="External"/><Relationship Id="rId23" Type="http://schemas.openxmlformats.org/officeDocument/2006/relationships/hyperlink" Target="http://www.sec.gov/Archives/edgar/data/1544227/000095017023009237/tpst-ex10_24.htm" TargetMode="External"/><Relationship Id="rId24" Type="http://schemas.openxmlformats.org/officeDocument/2006/relationships/hyperlink" Target="http://www.sec.gov/Archives/edgar/data/1544227/000119312522314745/d411465dex101.htm" TargetMode="External"/><Relationship Id="rId25" Type="http://schemas.openxmlformats.org/officeDocument/2006/relationships/hyperlink" Target="http://www.sec.gov/Archives/edgar/data/../../../ix?doc=/Archives/edgar/data/0001544227/000095017024033555/tpst-20231231.htm" TargetMode="External"/><Relationship Id="rId26" Type="http://schemas.openxmlformats.org/officeDocument/2006/relationships/hyperlink" Target="http://www.sec.gov/Archives/edgar/data/1544227/000095017023041429/tpst-ex10_1.htm" TargetMode="External"/><Relationship Id="rId27" Type="http://schemas.openxmlformats.org/officeDocument/2006/relationships/hyperlink" Target="http://www.sec.gov/Archives/edgar/data/1544227/000095017023041429/tpst-ex10_2.htm" TargetMode="External"/><Relationship Id="rId28" Type="http://schemas.openxmlformats.org/officeDocument/2006/relationships/hyperlink" Target="http://www.sec.gov/Archives/edgar/data/1544227/000095017023041429/tpst-ex10_3.htm" TargetMode="External"/><Relationship Id="rId29" Type="http://schemas.openxmlformats.org/officeDocument/2006/relationships/hyperlink" Target="http://www.sec.gov/Archives/edgar/data/1544227/000095017023041429/tpst-ex10_4.htm" TargetMode="External"/><Relationship Id="rId30" Type="http://schemas.openxmlformats.org/officeDocument/2006/relationships/hyperlink" Target="http://www.sec.gov/Archives/edgar/data/1544227/000095017025046144/tpst-ex10_32.htm" TargetMode="External"/><Relationship Id="rId31" Type="http://schemas.openxmlformats.org/officeDocument/2006/relationships/hyperlink" Target="http://www.sec.gov/Archives/edgar/data/1544227/000095017025046144/tpst-ex10_33.htm" TargetMode="External"/><Relationship Id="rId32" Type="http://schemas.openxmlformats.org/officeDocument/2006/relationships/hyperlink" Target="http://www.sec.gov/Archives/edgar/data/1544227/000095017025046144/tpst-ex19_1.htm" TargetMode="External"/><Relationship Id="rId33" Type="http://schemas.openxmlformats.org/officeDocument/2006/relationships/hyperlink" Target="http://www.sec.gov/Archives/edgar/data/1544227/000119312522092417/d328059dex211.htm" TargetMode="External"/><Relationship Id="rId34" Type="http://schemas.openxmlformats.org/officeDocument/2006/relationships/hyperlink" Target="http://www.sec.gov/Archives/edgar/data/1544227/000095017025046144/tpst-ex23_1.htm" TargetMode="External"/><Relationship Id="rId35" Type="http://schemas.openxmlformats.org/officeDocument/2006/relationships/hyperlink" Target="http://www.sec.gov/Archives/edgar/data/1544227/000095017025046144/tpst-ex31_1.htm" TargetMode="External"/><Relationship Id="rId36" Type="http://schemas.openxmlformats.org/officeDocument/2006/relationships/hyperlink" Target="http://www.sec.gov/Archives/edgar/data/1544227/000095017025046144/tpst-ex32_1.htm" TargetMode="External"/><Relationship Id="rId37" Type="http://schemas.openxmlformats.org/officeDocument/2006/relationships/hyperlink" Target="http://www.sec.gov/Archives/edgar/data/1544227/000095017025046144/tpst-ex32_1.htm" TargetMode="External"/><Relationship Id="rId38" Type="http://schemas.openxmlformats.org/officeDocument/2006/relationships/hyperlink" Target="http://www.sec.gov/Archives/edgar/data/../../../ix?doc=/Archives/edgar/data/0001544227/000095017024033555/tpst-20231231.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18636</Words>
  <Characters>98406</Characters>
  <CharactersWithSpaces>118340</CharactersWithSpaces>
  <Paragraphs>2956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EX-31.4</dc:title>
</cp:coreProperties>
</file>