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45-1472564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284"/>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4"/>
          <w:szCs w:val="24"/>
          <w:color w:val="auto"/>
        </w:rPr>
      </w:pPr>
    </w:p>
    <w:p>
      <w:pPr>
        <w:ind w:left="4304"/>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(415) 798-8589</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080" w:right="10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12, 2021, Nicholas Maestas, age 41, joined Tempest Therapeutics, Inc. (the “Company”) as vice president, strategy and finance and is the Company’s principal financial officer. Prior to joining the Company, Mr. Maestas was head of FP&amp;A and strategic finance at Alector, Inc. since 2019. Prior to Alector, he worked at Immune Design Corp. from 2014 to 2019, most recently as senior director, corporate development &amp; operations. Prior to joining Immune Design, Mr. Maestas worked at Thermo Fisher Scientific, Becton Dickinson and Novartis Vaccines and Diagnostics (formerly known as Chiron Corporation). Mr. Maestas received his Bachelor of Arts from the University of California, Berkeley and his Masters in Business Administration from The Wharton School, University of Pennsylvania.</w:t>
      </w:r>
    </w:p>
    <w:p>
      <w:pPr>
        <w:spacing w:after="0" w:line="19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connection with his employment, Mr. Maestas is entering into an employment agreement and an indemnification agreement with the Company. Pursuant to his employment agreement, Mr. Maestas will receive an annual base salary of $325,000 and will be eligible to receive an annual performance bonus with a target amount equal to 30% of his base salary. In the event that Mr. Maestas experiences a termination of his employment without “cause” or he resigns for “good reason” outside of the “change in control period” (as such terms are defined in Mr. Maestas’s employment agreement), provided that he executes and makes effective a release of claims against the Company and its affiliates, Mr. Maestas will become entitled to (i) an amount equal to three months’ annual base salary, payable in a lump sum, (ii) an amount equal to any annual bonus for any completed calendar year, to the extent earned but not yet paid at the time of such termination, and (iii) premium payments for continued healthcare coverage for a period of three months. In the event that Mr. Maestas experiences a termination of his employment without cause or he resigns for good reason during the change in control period, provided that he executes and makes effective a release of claims against the Company and its affiliates, Mr. Maestas will become entitled to (i) an amount equal to six months’ base salary and 50% of his target annual performance bonus, payable in a lump sum, (ii) an amount equal to any annual bonus for any completed calendar year, to the extent earned but not yet paid at the time of such termination; (iii) premium payments for continued healthcare coverage for a period of six months; and (iv) accelerated vesting of each outstanding unvested equity award, provided that any performance-based vesting criteria will be treated in accordance with the applicable award agreement or other applicable equity incentive plan governing the terms of such equity award.</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Mr. Maestas was granted an option to purchase 23,225 shares of the Company’s common stock at an exercise price equal to the closing price of the Company’s common stock on July 12, 2021. Twenty-five percent of the shares subject to the option will vest on July 12, 2022 and the remaining shares will vest in equal monthly installments over the following 48 months. Mr. Maestas will be eligible for annual equity awards under the Company’s 2017 Equity Incentive Plan.</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Mr. Maestas has no family relationships with any director or executive officer of the Company. There are no arrangements or understandings between Mr. Maestas and any other persons pursuant to which he was selected as an officer of the Company, and there are no transactions in which Mr. Maestas has an interest requiring disclosure under Item 404(a) of Regulation S-K.</w:t>
      </w:r>
    </w:p>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680" w:type="dxa"/>
            <w:vAlign w:val="bottom"/>
            <w:gridSpan w:val="2"/>
          </w:tcPr>
          <w:p>
            <w:pPr>
              <w:ind w:left="1940"/>
              <w:spacing w:after="0"/>
              <w:rPr>
                <w:sz w:val="20"/>
                <w:szCs w:val="20"/>
                <w:color w:val="auto"/>
              </w:rPr>
            </w:pPr>
            <w:r>
              <w:rPr>
                <w:rFonts w:ascii="Arial" w:cs="Arial" w:eastAsia="Arial" w:hAnsi="Arial"/>
                <w:sz w:val="18"/>
                <w:szCs w:val="18"/>
                <w:b w:val="1"/>
                <w:bCs w:val="1"/>
                <w:color w:val="auto"/>
              </w:rPr>
              <w:t>TEMPEST THERAPEUTICS, INC.</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July 12, 2021</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09"/>
        </w:trPr>
        <w:tc>
          <w:tcPr>
            <w:tcW w:w="334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30"/>
        </w:trPr>
        <w:tc>
          <w:tcPr>
            <w:tcW w:w="334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2021-07-12T07:52:38Z</dcterms:created>
  <dcterms:modified xsi:type="dcterms:W3CDTF">2021-07-12T07:52:38Z</dcterms:modified>
</cp:coreProperties>
</file>