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2000 Sierra Point Parkway, Suite 400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Brisbane, California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94005</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 Notice of Delisting or Failure to Satisfy a Continued Listing Rule or Standard; Transfer of Listing.</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27, 2024, Tempest Therapeutics, Inc., a Delaware corporation (the “Company”), received a letter from the Listing Qualifications Staff (the “Staff”) of The Nasdaq Stock Market LLC (“Nasdaq”) notifying the Company that for the last 30 consecutive business days, the bid price of the Company’s common stock had closed below $1.00 per share, the minimum closing bid price required by the continued listing requirements of Nasdaq Listing Rule 5550(a)(2).</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notification received has no immediate effect on the listing of the Company’s common stock on the Nasdaq Stock Market. In accordance with Nasdaq Listing Rule 5810(c)(3)(A), the Company has 180 calendar days, or until June 25, 2025 (the “Compliance Date”), to regain compliance with the minimum bid price requirement. To regain compliance, the closing bid price of the Company’s common stock must be at least $1.00 per share for a minimum of 10 consecutive business days before the Compliance Date.</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If the Company’s common stock does not achieve compliance by the Compliance Date, the Company may be eligible for an additional 180-day period to regain compliance if it meets the continued listing requirement for market value of publicly held shares and all other initial listing standards, with the exception of the bid price requirement, and provides written notice to Nasdaq of its intention to cure the deficiency during the second compliance period by effecting a reverse stock split, if necessary.</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At a special meeting held on December 3, 2024, the Company received stockholder approval of a series of alternate amendments to the Company’s Restated Certificate of Incorporation to effect, at the option of the Board, a reverse stock split of its common stock at a ratio in the range of 1-for-2 to 1-for-15, inclusive, with such ratio to be determined by the Board in its sole discretion.</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between now and the Compliance Date and will evaluate available options to resolve the deficiency and regain compliance with the minimum bid price rule.</w:t>
      </w:r>
    </w:p>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31, 2024</w:t>
            </w: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740" w:type="dxa"/>
            <w:vAlign w:val="bottom"/>
          </w:tcPr>
          <w:p>
            <w:pPr>
              <w:spacing w:after="0"/>
              <w:rPr>
                <w:sz w:val="17"/>
                <w:szCs w:val="17"/>
                <w:color w:val="auto"/>
              </w:rPr>
            </w:pPr>
          </w:p>
        </w:tc>
        <w:tc>
          <w:tcPr>
            <w:tcW w:w="2420" w:type="dxa"/>
            <w:vAlign w:val="bottom"/>
          </w:tcPr>
          <w:p>
            <w:pPr>
              <w:ind w:left="17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740" w:type="dxa"/>
            <w:vAlign w:val="bottom"/>
          </w:tcPr>
          <w:p>
            <w:pPr>
              <w:spacing w:after="0"/>
              <w:rPr>
                <w:sz w:val="20"/>
                <w:szCs w:val="20"/>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2024-12-31T15:11:04Z</dcterms:created>
  <dcterms:modified xsi:type="dcterms:W3CDTF">2024-12-31T15:11:04Z</dcterms:modified>
</cp:coreProperties>
</file>