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904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Whiting Samuel</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TEMPEST THERAPEUTICS, INC.</w:t>
      </w:r>
    </w:p>
    <w:p>
      <w:pPr>
        <w:spacing w:after="0" w:line="59" w:lineRule="exact"/>
        <w:rPr>
          <w:sz w:val="24"/>
          <w:szCs w:val="24"/>
          <w:color w:val="auto"/>
        </w:rPr>
      </w:pPr>
    </w:p>
    <w:p>
      <w:pPr>
        <w:ind w:left="80" w:firstLine="38"/>
        <w:spacing w:after="0" w:line="398" w:lineRule="auto"/>
        <w:rPr>
          <w:sz w:val="20"/>
          <w:szCs w:val="20"/>
          <w:color w:val="auto"/>
        </w:rPr>
      </w:pPr>
      <w:r>
        <w:rPr>
          <w:rFonts w:ascii="Arial" w:cs="Arial" w:eastAsia="Arial" w:hAnsi="Arial"/>
          <w:sz w:val="17"/>
          <w:szCs w:val="17"/>
          <w:color w:val="0000FF"/>
        </w:rPr>
        <w:t xml:space="preserve">2000 SIERRA POINT PARKWAY, SUITE 400 </w:t>
      </w:r>
      <w:r>
        <w:rPr>
          <w:rFonts w:ascii="Arial" w:cs="Arial" w:eastAsia="Arial" w:hAnsi="Arial"/>
          <w:sz w:val="12"/>
          <w:szCs w:val="12"/>
          <w:color w:val="000000"/>
        </w:rPr>
        <w:t>(Street)</w:t>
      </w: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BRISBANE</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4"/>
          <w:szCs w:val="14"/>
          <w:color w:val="0000FF"/>
        </w:rPr>
        <w:t>94005</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Tempest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TPST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2260" w:type="dxa"/>
            <w:vAlign w:val="bottom"/>
            <w:gridSpan w:val="3"/>
          </w:tcPr>
          <w:p>
            <w:pPr>
              <w:ind w:left="60"/>
              <w:spacing w:after="0"/>
              <w:rPr>
                <w:sz w:val="20"/>
                <w:szCs w:val="20"/>
                <w:color w:val="auto"/>
              </w:rPr>
            </w:pPr>
            <w:r>
              <w:rPr>
                <w:rFonts w:ascii="Arial" w:cs="Arial" w:eastAsia="Arial" w:hAnsi="Arial"/>
                <w:sz w:val="17"/>
                <w:szCs w:val="17"/>
                <w:color w:val="0000FF"/>
              </w:rPr>
              <w:t>10/11/2023</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260" w:space="5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9.77</w:t>
            </w:r>
          </w:p>
        </w:tc>
        <w:tc>
          <w:tcPr>
            <w:tcW w:w="1060" w:type="dxa"/>
            <w:vAlign w:val="bottom"/>
          </w:tcPr>
          <w:p>
            <w:pPr>
              <w:jc w:val="right"/>
              <w:ind w:right="181"/>
              <w:spacing w:after="0" w:line="123" w:lineRule="exact"/>
              <w:rPr>
                <w:sz w:val="20"/>
                <w:szCs w:val="20"/>
                <w:color w:val="auto"/>
              </w:rPr>
            </w:pPr>
            <w:r>
              <w:rPr>
                <w:rFonts w:ascii="Arial" w:cs="Arial" w:eastAsia="Arial" w:hAnsi="Arial"/>
                <w:sz w:val="13"/>
                <w:szCs w:val="13"/>
                <w:color w:val="0000FF"/>
              </w:rPr>
              <w:t>10/11/2023</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23" w:lineRule="exact"/>
              <w:rPr>
                <w:sz w:val="20"/>
                <w:szCs w:val="20"/>
                <w:color w:val="auto"/>
              </w:rPr>
            </w:pPr>
            <w:r>
              <w:rPr>
                <w:rFonts w:ascii="Arial" w:cs="Arial" w:eastAsia="Arial" w:hAnsi="Arial"/>
                <w:sz w:val="13"/>
                <w:szCs w:val="13"/>
                <w:color w:val="0000FF"/>
              </w:rPr>
              <w:t>325,000</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3"/>
                <w:szCs w:val="13"/>
                <w:color w:val="0000FF"/>
                <w:w w:val="95"/>
              </w:rPr>
              <w:t>10/10/2033</w:t>
            </w: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line="123" w:lineRule="exact"/>
              <w:rPr>
                <w:sz w:val="20"/>
                <w:szCs w:val="20"/>
                <w:color w:val="auto"/>
              </w:rPr>
            </w:pPr>
            <w:r>
              <w:rPr>
                <w:rFonts w:ascii="Arial" w:cs="Arial" w:eastAsia="Arial" w:hAnsi="Arial"/>
                <w:sz w:val="13"/>
                <w:szCs w:val="13"/>
                <w:color w:val="0000FF"/>
              </w:rPr>
              <w:t>325,000</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 of the award shall vest on October 11, 2024 and the remainder of the award shall vest in 36 equal monthly installments thereafter, subject to the Reporting Person's continuous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Arial" w:cs="Arial" w:eastAsia="Arial" w:hAnsi="Arial"/>
          <w:sz w:val="17"/>
          <w:szCs w:val="17"/>
          <w:color w:val="0000FF"/>
        </w:rPr>
        <w:t xml:space="preserve">/s/ Stephen Brady, Attorney-in-  </w:t>
      </w:r>
      <w:r>
        <w:rPr>
          <w:rFonts w:ascii="Arial" w:cs="Arial" w:eastAsia="Arial" w:hAnsi="Arial"/>
          <w:sz w:val="33"/>
          <w:szCs w:val="33"/>
          <w:color w:val="0000FF"/>
          <w:vertAlign w:val="subscript"/>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16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0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37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2023-10-13T15:50:39Z</dcterms:created>
  <dcterms:modified xsi:type="dcterms:W3CDTF">2023-10-13T15:50:39Z</dcterms:modified>
</cp:coreProperties>
</file>