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333-294843</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2,777,781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182245</wp:posOffset>
            </wp:positionV>
            <wp:extent cx="152590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590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of up to an aggregate 2,777,781 shares of our common stock, par value $0.001 per share (the “Shares”) consisting of (i) 462,964 shares of our common stock, (ii) 925,927 shares of our common stock issuable upon the exercise of outstanding Series A Warrants (the “Series A Warrants”), (iii) 925,927 shares of our common stock issuable upon the exercise of outstanding Series B Warrants (the “Series B Warrants”), and (iv) 462,963 shares of our common stock issuable upon the exercise of pre-funded warrants (the “Pre-Funded Warrants,” and together with the Series A Warrants and the Series B Warrants, the “Warrants”) by the selling stockholders named herein, together with any additional selling stockholders listed in a prospectus supplement (together with any of such stockholders’ transferees, pledgees, donees or successors). The Shares were acquired by the selling stockholders named herein pursuant to a securities purchase agreement, dated March 20, 2026 (the “Purchase Agreement”), by and among us and the parties named therein, in a transaction more fully described in the section titled “Prospectus Summary.”</w:t>
      </w:r>
    </w:p>
    <w:p>
      <w:pPr>
        <w:spacing w:after="0" w:line="188" w:lineRule="exact"/>
        <w:rPr>
          <w:sz w:val="24"/>
          <w:szCs w:val="24"/>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are registering the offer and sale of the Shares from time to time by the selling stockholders to satisfy the registration rights granted in connection with the issuance of the Shares. We will not receive any proceeds from the sale of the Shares by the selling stockholders.</w:t>
      </w:r>
    </w:p>
    <w:p>
      <w:pPr>
        <w:spacing w:after="0" w:line="162" w:lineRule="exact"/>
        <w:rPr>
          <w:sz w:val="24"/>
          <w:szCs w:val="24"/>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may offer and sell or otherwise dispose of the Shares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their Shares.</w:t>
      </w:r>
    </w:p>
    <w:p>
      <w:pPr>
        <w:spacing w:after="0" w:line="183" w:lineRule="exact"/>
        <w:rPr>
          <w:sz w:val="24"/>
          <w:szCs w:val="24"/>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“TPST.” On April 8, 2026, the closing price of our common stock was $1.56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26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Before making an investment decision, please read the information under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4 of this prospectus and under similar headings in any amendment or supplement to this prospectus or in any filing with the Securities and Exchange Commission that is incorporated by reference herein.</w:t>
      </w:r>
    </w:p>
    <w:p>
      <w:pPr>
        <w:spacing w:after="0" w:line="181"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9,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6"/>
        </w:trPr>
        <w:tc>
          <w:tcPr>
            <w:tcW w:w="80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7"/>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0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2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80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80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4400" w:type="dxa"/>
            <w:vAlign w:val="bottom"/>
            <w:gridSpan w:val="9"/>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(“SEC”), using a “shelf” registration process. Under this registration statement, the selling stockholders may sell from time to time in one or more offerings the common stock described in this prospectus.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prospectus, the terms “we,” “us,” “our,” and our “company” refer to Tempest Therapeutics, Inc. and its subsidiaries.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320" w:top="455"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6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the Private Placement (as defined below)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on page 4 of this prospectus, as well as the information incorporated herein by reference, before making an investment decision</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advancing a diversified portfolio of cell therapy and small molecule product candidates. In February 2026, we expanded our pipeline through a strategic transaction under which we acquired rights to a portfolio of dual-targeting chimeric antigen receptor T-cells (“CAR-T”) product candidates with the potential to treat certain blood cancers, solid tumors and immunology indications, including TPST-2003, an autologous CD19/B-cell maturation antigen CAR-T therapy currently in clinical development for relapsed or refractory multiple myeloma (“rrMM”). Our portfolio also includes two clinical-stage small molecule product candidates with the potential to treat certain cancer indications. One of our small-molecule product candidates, amezalpat (previously known as TPST-1120), has completed a Phase 2 study in first-line hepatocellular carcinoma (“HCC”). Amezalpat remains Phase 3-ready in HCC and we plan to pursue business development discussions to advance pivotal development. Our second small-molecule product candidate is TPST-1495, which we plan to initiate a Phase 2 study for in familial adenomatous polyposis. The study is expected to be funded by the National Cancer Institute and conducted through the Cancer Prevention Clinical Trials Network, enabling advancement with limited internal capital deployment.</w:t>
      </w:r>
    </w:p>
    <w:p>
      <w:pPr>
        <w:spacing w:after="0" w:line="194" w:lineRule="exact"/>
        <w:rPr>
          <w:sz w:val="20"/>
          <w:szCs w:val="20"/>
          <w:color w:val="auto"/>
        </w:rPr>
      </w:pPr>
    </w:p>
    <w:p>
      <w:pPr>
        <w:ind w:left="300" w:right="320"/>
        <w:spacing w:after="0" w:line="266" w:lineRule="auto"/>
        <w:rPr>
          <w:sz w:val="20"/>
          <w:szCs w:val="20"/>
          <w:color w:val="auto"/>
        </w:rPr>
      </w:pPr>
      <w:r>
        <w:rPr>
          <w:rFonts w:ascii="Times New Roman" w:cs="Times New Roman" w:eastAsia="Times New Roman" w:hAnsi="Times New Roman"/>
          <w:sz w:val="18"/>
          <w:szCs w:val="18"/>
          <w:color w:val="auto"/>
        </w:rPr>
        <w:t>Additional information about our company, including recent developments, is contained in the documents incorporated by reference into this prospectus supplement and the accompanying prospectus, including our Annual Report on Form 10-K that we filed with the SEC on March 30, 2026.</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On March 20, 2026, we entered into the Purchase Agreement with (a) two institutional investors (the “Institutional Investors”) and (b) Factor Bioscience Inc. (“Factor” and, together with the Institutional Investors, each, an “Investor” and, together, the “Investors”), pursuant to which we agreed to issue and sell in a private placement (the “Private Placement”) an aggregate of 462,964 shares of our common stock, and, in lieu of common stock, Pre-Funded Warrants to purchase up to 462,963 shares of our common stock, in each case accompanied by (i) Series A Warrants to purchase up to 925,927 shares of our common stock and (ii) Series B Warrants to purchase up to 925,927 shares of our common stock (the Series B Warrants together with the Series A Warrants, the “Common Warrants”). The shares of common stock and the Common Warrants were immediately separable and were issued separately.</w:t>
      </w:r>
    </w:p>
    <w:p>
      <w:pPr>
        <w:spacing w:after="0" w:line="189"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Pursuant to the Purchase Agreement, we agreed to seek approval from our stockholders for the issuance of the shares issuable upon exercise of the Common Warrants within 90 days following the date of the Purchase Agreement (the “Stockholder Approval”). The Series A Warrants will become exercisable on the effective date of the Stockholder Approval (the “Stockholder Approval Date”) and have a term of five years from the later of the Stockholder Approval Date and the Effectiveness Date (as defined below). The Series B Warrants will become exercisable on the Stockholder Approval Date and have a term of twenty-four months from the later of the Stockholder Approval Date and the Effectiveness Date. The Common Warrants have an exercise price of $2.16 per share. The Pre-Funded Warrants are exercisable immediately following the closing date of the Private Placement have an exercise price of $0.001 per share and may be exercised at any time until exercised in full.</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36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74" w:lineRule="auto"/>
        <w:rPr>
          <w:sz w:val="20"/>
          <w:szCs w:val="20"/>
          <w:color w:val="auto"/>
        </w:rPr>
      </w:pPr>
      <w:r>
        <w:rPr>
          <w:rFonts w:ascii="Times New Roman" w:cs="Times New Roman" w:eastAsia="Times New Roman" w:hAnsi="Times New Roman"/>
          <w:sz w:val="17"/>
          <w:szCs w:val="17"/>
          <w:color w:val="auto"/>
        </w:rPr>
        <w:t>In connection with the Private Placement, we entered into a registration rights agreement with the Investors (the “Registration Rights Agreement”), pursuant to which we agreed to file registration statements under the Securities Act of 1933, as amended (the “Securities Act”) with the SEC covering the resale of the shares of common stock issued in the Private Placement and the shares of our common stock underlying the Common Warrants 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(the “Effectiveness Date”).</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 and a Non-Accelerated Filer</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92" w:lineRule="exact"/>
        <w:rPr>
          <w:sz w:val="20"/>
          <w:szCs w:val="20"/>
          <w:color w:val="auto"/>
        </w:rPr>
      </w:pPr>
    </w:p>
    <w:p>
      <w:pPr>
        <w:ind w:left="300" w:right="800"/>
        <w:spacing w:after="0" w:line="282" w:lineRule="auto"/>
        <w:rPr>
          <w:sz w:val="20"/>
          <w:szCs w:val="20"/>
          <w:color w:val="auto"/>
        </w:rPr>
      </w:pPr>
      <w:r>
        <w:rPr>
          <w:rFonts w:ascii="Times New Roman" w:cs="Times New Roman" w:eastAsia="Times New Roman" w:hAnsi="Times New Roman"/>
          <w:sz w:val="18"/>
          <w:szCs w:val="18"/>
          <w:color w:val="auto"/>
        </w:rPr>
        <w:t>Additionally, as a non-accelerated filer, we may continue to take advantage of the exception from compliance with the auditor attestation requirements of Section 404 of the Sarbanes-Oxley Act of 2002, as amended.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April 2011. Our principal executive offices are located at 2000 Sierra Point Parkway, Suite 400, Brisbane, CA 94005, and our telephone number is (415) 798-8589. Our website is located at http://www.tempesttx.com. We do not incorporate by reference into this prospectus supplement the information on, or accessible through, our website, and you should not consider it as part of this prospectus supplement.</w:t>
      </w:r>
    </w:p>
    <w:p>
      <w:pPr>
        <w:spacing w:after="0" w:line="180"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The Tempest logo and other trademarks or service marks of Tempest Therapeutics, Inc. appearing in this prospectus supplement are the property of Tempest Therapeutics, Inc.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449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4499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Common stock offered by the selling stockholders</w:t>
      </w:r>
      <w:r>
        <w:rPr>
          <w:sz w:val="20"/>
          <w:szCs w:val="20"/>
          <w:color w:val="auto"/>
        </w:rPr>
        <w:tab/>
      </w:r>
      <w:r>
        <w:rPr>
          <w:rFonts w:ascii="Times New Roman" w:cs="Times New Roman" w:eastAsia="Times New Roman" w:hAnsi="Times New Roman"/>
          <w:sz w:val="17"/>
          <w:szCs w:val="17"/>
          <w:color w:val="auto"/>
        </w:rPr>
        <w:t>Up to an aggregate of 2,777,781 Shares, including 462,963 shares of our common stock</w:t>
      </w:r>
    </w:p>
    <w:p>
      <w:pPr>
        <w:spacing w:after="0" w:line="31" w:lineRule="exact"/>
        <w:rPr>
          <w:sz w:val="20"/>
          <w:szCs w:val="20"/>
          <w:color w:val="auto"/>
        </w:rPr>
      </w:pPr>
    </w:p>
    <w:p>
      <w:pPr>
        <w:ind w:left="4340" w:right="600"/>
        <w:spacing w:after="0" w:line="260" w:lineRule="auto"/>
        <w:rPr>
          <w:sz w:val="20"/>
          <w:szCs w:val="20"/>
          <w:color w:val="auto"/>
        </w:rPr>
      </w:pPr>
      <w:r>
        <w:rPr>
          <w:rFonts w:ascii="Times New Roman" w:cs="Times New Roman" w:eastAsia="Times New Roman" w:hAnsi="Times New Roman"/>
          <w:sz w:val="18"/>
          <w:szCs w:val="18"/>
          <w:color w:val="auto"/>
        </w:rPr>
        <w:t>issuable upon the exercise of the Pre-Funded Warrants and 1,851,854 shares of our common stock issuable upon the exercise of the Common Warrants.</w:t>
      </w:r>
    </w:p>
    <w:p>
      <w:pPr>
        <w:sectPr>
          <w:pgSz w:w="11900" w:h="16838" w:orient="portrait"/>
          <w:cols w:equalWidth="0" w:num="1">
            <w:col w:w="10900"/>
          </w:cols>
          <w:pgMar w:left="320" w:top="455" w:right="679" w:bottom="1440" w:gutter="0" w:footer="0" w:header="0"/>
        </w:sectPr>
      </w:pPr>
    </w:p>
    <w:p>
      <w:pPr>
        <w:spacing w:after="0" w:line="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Terms of the offering</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Each selling stockholder will determine when and how it will sell the common stock offered in this prospectus, as described in “Plan of Distribution.”</w:t>
      </w:r>
    </w:p>
    <w:p>
      <w:pPr>
        <w:spacing w:after="0" w:line="63"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 this prospectus.</w:t>
      </w:r>
    </w:p>
    <w:p>
      <w:pPr>
        <w:spacing w:after="0" w:line="63"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See “Risk Factors” on page 4 for a discussion of factors you should carefully consider before deciding to invest in our common stock.</w:t>
      </w:r>
    </w:p>
    <w:p>
      <w:pPr>
        <w:spacing w:after="0" w:line="63"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TPST.</w:t>
      </w:r>
    </w:p>
    <w:p>
      <w:pPr>
        <w:spacing w:after="0" w:line="207"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4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selling stockholders named in this prospectus may offer and sell up to 2,777,781 shares of our common stock. Our common stock is currently listed on Nasdaq Capital Market under the symbol “TPST.” Shares of our common stock that may be offered under this prospectus are, or will be upon exercise of the Warrants, fully paid and non-assessable. We will not receive any of the proceeds from sales by the selling stockholders of any of the common stock covered by this prospectus. Throughout this prospectus, when we refer to the shares of our common stock being registered on behalf of the selling stockholders for offer and resale, we are referring to the Shares. When we refer to the selling stockholders in this prospectus, we are referring to the selling stockholders identified in this prospectus and, as applicable, their respective permitted transferees or other successors-in-interest that may be identified in a supplement to this prospectus or, if required, a post-effective amendment to the registration statement of which this prospectus is a part.</w:t>
      </w: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5" w:right="6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 investment decision, you should carefully consider the risks described in the sections entitled “Risk Factors” in our most recent Annual Report on Form 10-K and subsequent Quarterly Reports on Form 10-Q, as filed with the SEC, which are incorporated herein by reference in their entirety, as well any amendment or updates to our risk factors reflected in subsequent filings with the SEC, including any applicable prospectus supplement.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entitled “Special Note Regarding Forward-Looking Statements.”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any applicable prospectus supplement or free writing prospectus, including the documents that we incorporate by reference herein and therein, contain “forward-looking statements” within the meaning of Section 27A of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 In addition, statements indicating that “we believe” and similar statements reflect our beliefs and opinions on the relevant subject. These statements are based upon information available to us as of the date they were made, and while we believe such information formed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discuss many of these risks in greater detail under “Risk Factors” in this prospectus and in the “Risk Factors,”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not receive any of the proceeds from the sale or other disposition of shares of our common stock held by the selling stockholders pursuant to this prospectus; however, we will receive proceeds from any cash exercise of the Common Warrants and nominal proceeds from any cash exercise of the Pre-Funded Warrants. We will bear the out-of-pocket costs, expenses and fees incurred in connection with the registration of shares of our common stock to be sold by the selling stockholders pursuant to this prospectus. Other than registration expenses, the selling stockholders will bear underwriting discounts, commissions, placement agent fees or other similar expenses payable with respect to sales of shares of our common stock.</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each of the selling stockholders will beneficially own after termination of sales under this prospectus. In addition, the selling stockholders may have sold, transferred or otherwise disposed of all or a portion of their shares of common stock since the date on which they provided information for the table below.</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the table below and the footnotes thereto regarding shares of common stock to be beneficially owned after the offering assumes the sale of all shares being offered by the selling stockholders under this prospectus, consisting of the Shares. This information has been obtained from the selling stockholders. The percentage of shares of common stock owned after the offering is based on 14,344,034 shares of common stock outstanding as of March 30, 2026.</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the term “selling stockholders” includes the selling stockholders listed in the table below, together with any additional selling stockholders listed in a prospectus supplement, and their donees, pledgees, assignees, transferees, distributees and successors-in-interest that receive Shares in any non-sale transfer after the date of this prospectus.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48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Beneficial Ownership After this Offering</w:t>
            </w:r>
            <w:r>
              <w:rPr>
                <w:rFonts w:ascii="Times New Roman" w:cs="Times New Roman" w:eastAsia="Times New Roman" w:hAnsi="Times New Roman"/>
                <w:sz w:val="10"/>
                <w:szCs w:val="10"/>
                <w:b w:val="1"/>
                <w:bCs w:val="1"/>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 of Outstanding</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420" w:type="dxa"/>
            <w:vAlign w:val="bottom"/>
            <w:vMerge w:val="restart"/>
          </w:tcPr>
          <w:p>
            <w:pPr>
              <w:spacing w:after="0"/>
              <w:rPr>
                <w:sz w:val="12"/>
                <w:szCs w:val="12"/>
                <w:color w:val="auto"/>
              </w:rPr>
            </w:pPr>
          </w:p>
        </w:tc>
        <w:tc>
          <w:tcPr>
            <w:tcW w:w="22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prior</w:t>
            </w:r>
          </w:p>
        </w:tc>
        <w:tc>
          <w:tcPr>
            <w:tcW w:w="14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Shares Being</w:t>
            </w: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220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to this Offering</w:t>
            </w:r>
          </w:p>
        </w:tc>
        <w:tc>
          <w:tcPr>
            <w:tcW w:w="148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Offered</w:t>
            </w:r>
            <w:r>
              <w:rPr>
                <w:rFonts w:ascii="Times New Roman" w:cs="Times New Roman" w:eastAsia="Times New Roman" w:hAnsi="Times New Roman"/>
                <w:sz w:val="10"/>
                <w:szCs w:val="10"/>
                <w:b w:val="1"/>
                <w:bCs w:val="1"/>
                <w:color w:val="auto"/>
              </w:rPr>
              <w:t>(1)</w:t>
            </w:r>
          </w:p>
        </w:tc>
        <w:tc>
          <w:tcPr>
            <w:tcW w:w="1780" w:type="dxa"/>
            <w:vAlign w:val="bottom"/>
            <w:gridSpan w:val="2"/>
            <w:vMerge w:val="continue"/>
          </w:tcPr>
          <w:p>
            <w:pPr>
              <w:spacing w:after="0"/>
              <w:rPr>
                <w:sz w:val="15"/>
                <w:szCs w:val="15"/>
                <w:color w:val="auto"/>
              </w:rPr>
            </w:pPr>
          </w:p>
        </w:tc>
        <w:tc>
          <w:tcPr>
            <w:tcW w:w="148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Armistice Capital, LLC</w:t>
            </w:r>
            <w:r>
              <w:rPr>
                <w:rFonts w:ascii="Times New Roman" w:cs="Times New Roman" w:eastAsia="Times New Roman" w:hAnsi="Times New Roman"/>
                <w:sz w:val="23"/>
                <w:szCs w:val="23"/>
                <w:color w:val="auto"/>
                <w:vertAlign w:val="superscript"/>
              </w:rPr>
              <w:t>(3)</w:t>
            </w: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1,388,889</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1,388,889</w:t>
            </w:r>
          </w:p>
        </w:tc>
        <w:tc>
          <w:tcPr>
            <w:tcW w:w="6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8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11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Intracoastal Capital, LLC</w:t>
            </w:r>
            <w:r>
              <w:rPr>
                <w:rFonts w:ascii="Times New Roman" w:cs="Times New Roman" w:eastAsia="Times New Roman" w:hAnsi="Times New Roman"/>
                <w:sz w:val="25"/>
                <w:szCs w:val="25"/>
                <w:color w:val="auto"/>
                <w:vertAlign w:val="superscript"/>
              </w:rPr>
              <w:t>(4)</w:t>
            </w:r>
          </w:p>
        </w:tc>
        <w:tc>
          <w:tcPr>
            <w:tcW w:w="2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694,446</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694,446</w:t>
            </w:r>
          </w:p>
        </w:tc>
        <w:tc>
          <w:tcPr>
            <w:tcW w:w="17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Factor Bioscience Inc.</w:t>
            </w:r>
            <w:r>
              <w:rPr>
                <w:rFonts w:ascii="Times New Roman" w:cs="Times New Roman" w:eastAsia="Times New Roman" w:hAnsi="Times New Roman"/>
                <w:sz w:val="25"/>
                <w:szCs w:val="25"/>
                <w:color w:val="auto"/>
                <w:vertAlign w:val="superscript"/>
              </w:rPr>
              <w:t>(5)</w:t>
            </w:r>
          </w:p>
        </w:tc>
        <w:tc>
          <w:tcPr>
            <w:tcW w:w="2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694,446</w:t>
            </w:r>
          </w:p>
        </w:tc>
        <w:tc>
          <w:tcPr>
            <w:tcW w:w="14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694,446</w:t>
            </w:r>
          </w:p>
        </w:tc>
        <w:tc>
          <w:tcPr>
            <w:tcW w:w="17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80" w:hanging="424"/>
        <w:spacing w:after="0" w:line="261"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all of the shares of our common stock that the selling stockholders may offer and sell from time to time under this prospectus without giving effect to the beneficial ownership limitation in the Pre-Funded Warrants or the Common Warrants.</w:t>
      </w:r>
    </w:p>
    <w:p>
      <w:pPr>
        <w:ind w:left="540" w:right="280" w:hanging="424"/>
        <w:spacing w:after="0" w:line="250"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selling stockholders sell all Shares registered under this prospectus, but that such selling stockholders don’t sell or otherwise dispose of any of the other shares of common stock that it beneficially owns as of the date hereof.</w:t>
      </w:r>
    </w:p>
    <w:p>
      <w:pPr>
        <w:ind w:left="540" w:hanging="424"/>
        <w:spacing w:after="0" w:line="25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462,963 shares of common stock issuable upon the exercise of Pre-Funded Warrants held be the selling stockholder, (ii) 462,963 shares of common stock issuable upon the exercise of Series A Warrants held by the selling stockholder and (iii) 462,963 shares of common stock issuable upon the exercise of Series B Warrants held by the selling stockholder.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the selling stockholder from exercising that portion of the Warrants that would result in the selling stockholder and its affiliates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60"/>
        <w:spacing w:after="0" w:line="261" w:lineRule="auto"/>
        <w:rPr>
          <w:sz w:val="20"/>
          <w:szCs w:val="20"/>
          <w:color w:val="auto"/>
        </w:rPr>
      </w:pPr>
      <w:r>
        <w:rPr>
          <w:rFonts w:ascii="Times New Roman" w:cs="Times New Roman" w:eastAsia="Times New Roman" w:hAnsi="Times New Roman"/>
          <w:sz w:val="18"/>
          <w:szCs w:val="18"/>
          <w:color w:val="auto"/>
        </w:rPr>
        <w:t>owning, after exercise, a number of shares of common stock in excess of the beneficial ownership limitation. The address of Armistice Capital Master Fund Ltd. is c/o Armistice Capital, LLC, 510 Madison Avenue, 7th Floor, New York, NY 10022.</w:t>
      </w:r>
    </w:p>
    <w:p>
      <w:pPr>
        <w:ind w:left="540" w:hanging="424"/>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231,482 shares of common stock held by the selling stockholder, (ii) 231,482 shares of common stock issuable upon the exercise of Series A Warrants held by the selling stockholder and (iii) 231,482 shares of common stock issuable upon the exercise of Series B Warrants held by the selling stockholder. Mitchell P. Kopin (“Mr. Kopin”) and Daniel B. Asher (“Mr. Asher”), each of whom are managers of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address of Intracoastal Capital is 245 Palm Trail, Delray Beach, FL 33483.</w:t>
      </w:r>
    </w:p>
    <w:p>
      <w:pPr>
        <w:spacing w:after="0" w:line="2"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231,482 shares of common stock held by the selling stockholder, (ii) 231,482 shares of common stock issuable upon the exercise of Series A Warrants held by the selling stockholder and (iii) 231,482 shares of common stock issuable upon the exercise of Series B Warrants held by the selling stockholder. The address of Factor is 1035 Cambridge St., Suite 17B, Cambridge, MA 02141.</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Selling Stockholders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discussed in greater detail above under the section “Prospectus Summary—Private Placement,” on March 20, 2026, we entered into the Purchase Agreement with (a) the Institutional Investors and (b) Factor, pursuant to which we agreed to issue and sell in the Private Placement an aggregate of 462,964 shares of our common stock, and, in lieu of common stock, Pre-Funded Warrants to purchase up to 462,963 shares of our common stock, in each case accompanied by (i) Series A Warrants to purchase shares of our common stock and (ii) Series B Warrants to purchase shares of our common stock. Dr. Matthew Angel, who is our Chief Executive Officer and a director, is a majority equityholder of the parent of Factor and Chairman of the Board of Directors of Factor. Pursuant to the Purchase Agreement, we sold an aggregate of 231,482 shares of our common stock, 231,482 Series A Warrants and 231,482 Series B Warrants to Factor in exchange for $500,001.12, before deducting placement agent fees and other offering expenses payable by us. No other selling stockholder or any persons having control over such selling stockholder has held any position or office with us or our affiliates within the last three years or has had a material relationship with us or any of our predecessors or affiliates within the past three years, other than as a result of the ownership of our shares.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3" w:lineRule="exact"/>
        <w:rPr>
          <w:sz w:val="20"/>
          <w:szCs w:val="20"/>
          <w:color w:val="auto"/>
        </w:rPr>
      </w:pPr>
    </w:p>
    <w:p>
      <w:pPr>
        <w:ind w:left="120" w:right="720"/>
        <w:spacing w:after="0" w:line="260" w:lineRule="auto"/>
        <w:rPr>
          <w:sz w:val="20"/>
          <w:szCs w:val="20"/>
          <w:color w:val="auto"/>
        </w:rPr>
      </w:pPr>
      <w:r>
        <w:rPr>
          <w:rFonts w:ascii="Times New Roman" w:cs="Times New Roman" w:eastAsia="Times New Roman" w:hAnsi="Times New Roman"/>
          <w:sz w:val="18"/>
          <w:szCs w:val="18"/>
          <w:color w:val="auto"/>
        </w:rPr>
        <w:t>The selling stockholders also may transfer the shares of common stock in other circumstances, in which case the transferees, pledgees or other successors in interest may become the selling stockholders for purposes of this prospectus.</w:t>
      </w:r>
    </w:p>
    <w:p>
      <w:pPr>
        <w:spacing w:after="0" w:line="1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stockholders reserves the right to accept and, together with their agents from time to time, to reject, in whole or in part, any proposed purchase of common stock to be made directly or through agents. We will not receive any of the proceeds from this offering. However, we will receive proceeds from any cash exercise of the Common Warrants and nominal proceeds from any cash exercise of the Pre-Funded Warrants.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have agreed with the selling stockholders to use our best efforts to cause the registration statement of which this prospectus constitutes a part to become effective and to remain continuously effective until such time as the selling stockholders no longer owns any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Certain legal matters, including the validity of the shares of common stock offered by this prospectus, will be passed upon by Cooley LLP.</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Tempest Therapeutics, Inc. appearing in Tempest Therapeutics,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maintain a website at www.tempesttx.com. Information contained in or accessible through our website does not constitute a part of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the information or documents listed below that we have filed with the</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(File No. 001-35890):</w:t>
      </w:r>
    </w:p>
    <w:p>
      <w:pPr>
        <w:spacing w:after="0" w:line="112"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30, 2026;</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1">
        <w:r>
          <w:rPr>
            <w:rFonts w:ascii="Times New Roman" w:cs="Times New Roman" w:eastAsia="Times New Roman" w:hAnsi="Times New Roman"/>
            <w:sz w:val="18"/>
            <w:szCs w:val="18"/>
            <w:u w:val="single" w:color="auto"/>
            <w:color w:val="0000EE"/>
          </w:rPr>
          <w:t>January 9, 2026</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January 28, 2026</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February 6, 2026</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February 25,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5">
        <w:r>
          <w:rPr>
            <w:rFonts w:ascii="Times New Roman" w:cs="Times New Roman" w:eastAsia="Times New Roman" w:hAnsi="Times New Roman"/>
            <w:sz w:val="18"/>
            <w:szCs w:val="18"/>
            <w:u w:val="single" w:color="auto"/>
            <w:color w:val="0000EE"/>
          </w:rPr>
          <w:t>March 23,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extent the information in such reports is filed and not furnished; and</w:t>
      </w:r>
    </w:p>
    <w:p>
      <w:pPr>
        <w:spacing w:after="0" w:line="67" w:lineRule="exact"/>
        <w:rPr>
          <w:rFonts w:ascii="Times New Roman" w:cs="Times New Roman" w:eastAsia="Times New Roman" w:hAnsi="Times New Roman"/>
          <w:sz w:val="18"/>
          <w:szCs w:val="18"/>
          <w:color w:val="0000EE"/>
        </w:rPr>
      </w:pPr>
    </w:p>
    <w:p>
      <w:pPr>
        <w:ind w:left="1080" w:right="2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3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001-35890), filed with the SEC on April 25, 2013, including any amendments thereto or reports filed for the purposes of updating this description, including </w:t>
      </w:r>
      <w:hyperlink r:id="rId3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2025 filed with the SEC on March 30, 2026.</w:t>
      </w:r>
    </w:p>
    <w:p>
      <w:pPr>
        <w:spacing w:after="0" w:line="176" w:lineRule="exact"/>
        <w:rPr>
          <w:rFonts w:ascii="Times New Roman" w:cs="Times New Roman" w:eastAsia="Times New Roman" w:hAnsi="Times New Roman"/>
          <w:sz w:val="18"/>
          <w:szCs w:val="18"/>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and other information that is furnished or is otherwise not incorporated into registrations statements pursuant to applicable SEC rules)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83" w:lineRule="exact"/>
        <w:rPr>
          <w:rFonts w:ascii="Times New Roman" w:cs="Times New Roman" w:eastAsia="Times New Roman" w:hAnsi="Times New Roman"/>
          <w:sz w:val="18"/>
          <w:szCs w:val="18"/>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w:t>
      </w:r>
    </w:p>
    <w:p>
      <w:pPr>
        <w:spacing w:after="0" w:line="112" w:lineRule="exact"/>
        <w:rPr>
          <w:rFonts w:ascii="Times New Roman" w:cs="Times New Roman" w:eastAsia="Times New Roman" w:hAnsi="Times New Roman"/>
          <w:sz w:val="18"/>
          <w:szCs w:val="18"/>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080"/>
      </w:cols>
      <w:pgMar w:left="320" w:top="45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hyperlink" Target="http://www.sec.gov/ix?doc=/Archives/edgar/data/1544227/000119312526130490/tpst-20251231.htm" TargetMode="External"/><Relationship Id="rId31" Type="http://schemas.openxmlformats.org/officeDocument/2006/relationships/hyperlink" Target="http://www.sec.gov/ix?doc=/Archives/edgar/data/1544227/000119312526008938/d30095d8k.htm" TargetMode="External"/><Relationship Id="rId32" Type="http://schemas.openxmlformats.org/officeDocument/2006/relationships/hyperlink" Target="http://www.sec.gov/ix?doc=/Archives/edgar/data/1544227/000119312526027203/d70064d8k.htm" TargetMode="External"/><Relationship Id="rId33" Type="http://schemas.openxmlformats.org/officeDocument/2006/relationships/hyperlink" Target="http://www.sec.gov/ix?doc=/Archives/edgar/data/1544227/000119312526041190/d159400d8k.htm" TargetMode="External"/><Relationship Id="rId34" Type="http://schemas.openxmlformats.org/officeDocument/2006/relationships/hyperlink" Target="http://www.sec.gov/ix?doc=/Archives/edgar/data/1544227/000119312526068614/d22967d8k.htm" TargetMode="External"/><Relationship Id="rId35" Type="http://schemas.openxmlformats.org/officeDocument/2006/relationships/hyperlink" Target="http://www.sec.gov/ix?doc=/Archives/edgar/data/1544227/000119312526118618/d85035d8k.htm" TargetMode="External"/><Relationship Id="rId36" Type="http://schemas.openxmlformats.org/officeDocument/2006/relationships/hyperlink" Target="http://www.sec.gov/Archives/edgar/data/1544227/000110465913033085/a13-9660_28a12b.htm" TargetMode="External"/><Relationship Id="rId37" Type="http://schemas.openxmlformats.org/officeDocument/2006/relationships/hyperlink" Target="http://www.sec.gov/Archives/edgar/data/1544227/000119312526130490/tpst-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2026-04-10T08:27:54Z</dcterms:created>
  <dcterms:modified xsi:type="dcterms:W3CDTF">2026-04-10T08:27:54Z</dcterms:modified>
</cp:coreProperties>
</file>