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703d8k.htm"/>
      <w:bookmarkStart w:id="1" w:name="ksd9170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45-1472564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b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i/>
          <w:sz w:val="20"/>
        </w:rPr>
      </w:pPr>
      <w:r>
        <w:rPr>
          <w:rFonts w:ascii="Times New Roman" w:hAnsi="Times New Roman"/>
          <w:i/>
          <w:sz w:val="20"/>
        </w:rPr>
        <w:t xml:space="preserve">Departure of Chief Financial Officer and Principal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May 29, 2026, Mr. Nicholas Maestas notified Tempest Therapeutics, Inc. (the “Company”) of his decision to resign from his position as Chief Financial Officer of the Company and from any and all other positions he holds with the Company, effective as of June 5, 2026. </w:t>
      </w:r>
    </w:p>
    <w:p>
      <w:pPr>
        <w:pStyle w:val="TextBody"/>
        <w:bidi w:val="0"/>
        <w:spacing w:before="360" w:after="0"/>
        <w:jc w:val="left"/>
        <w:rPr>
          <w:rFonts w:ascii="Times New Roman" w:hAnsi="Times New Roman"/>
          <w:i/>
          <w:sz w:val="20"/>
        </w:rPr>
      </w:pPr>
      <w:r>
        <w:rPr>
          <w:rFonts w:ascii="Times New Roman" w:hAnsi="Times New Roman"/>
          <w:i/>
          <w:sz w:val="20"/>
        </w:rPr>
        <w:t xml:space="preserve">Appointment of Principal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Effective June 5, 2026, the Board of Directors of the Company (the “Board”) appointed Mr. Justin Trojanowski as Vice President, Finance, Principal Financial Officer and Corporate Secretary of the Company, in addition to his current role as Corporate Controller, Treasurer and Principal Accounting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Mr. Trojanowski, 37, has served as the Company’s Corporate Controller, Treasurer and Principal Accounting Officer since September 2022. Previously, Mr. Trojanowski has served as Director, Finance and Assistant Controller from June 2022 through September 2022. Prior to joining the Company, Mr. Trojanowski served as Associate Director, Accounting at Nektar Therapeutics, a biopharmaceutical company, from June 2019 to June 2022. Prior to Nektar, Mr. Trojanowski served as Senior Manager, Accounting at Immune Design, a late-stage oncology company that was acquired by Merck in 2019, from June 2018 to May 2019. Prior to Immune Design, Mr. Trojanowski worked at Ernst &amp; Young, Global Limited, a multinational audit and professional services company, from September 2012 to May 2018, most recently as an Assurance Manager. Mr. Trojanowski received his B.S. in Accountancy from Providence College and an M.B.A. in Accountancy from Providence College, and is a Certified Public Accountant. </w:t>
      </w:r>
    </w:p>
    <w:p>
      <w:pPr>
        <w:pStyle w:val="TextBody"/>
        <w:bidi w:val="0"/>
        <w:spacing w:before="240" w:after="0"/>
        <w:jc w:val="left"/>
        <w:rPr>
          <w:rFonts w:ascii="Times New Roman" w:hAnsi="Times New Roman"/>
          <w:sz w:val="20"/>
        </w:rPr>
      </w:pPr>
      <w:r>
        <w:rPr>
          <w:rFonts w:ascii="Times New Roman" w:hAnsi="Times New Roman"/>
          <w:sz w:val="20"/>
        </w:rPr>
        <w:t xml:space="preserve">Mr. Trojanowski has entered into the Company’s standard form of indemnification agreement, the form of which was previously filed by the Company. A copy of Mr. Trojanowski’s employment agreement will be filed as an exhibit to the Company’s Quarterly Report on Form 10-Q for the quarter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Mr. Trojanowski and any of the Company’s directors or executive officers, and there are no arrangements or understandings between Mr. Trojanowski and any other person pursuant to which he was appointed as an officer of the Company. There are no transactions involving Mr. Trojanowski requiring disclosure under Item 404(a) of Regulation S-K. </w:t>
      </w:r>
    </w:p>
    <w:p>
      <w:pPr>
        <w:pStyle w:val="TextBody"/>
        <w:bidi w:val="0"/>
        <w:spacing w:before="360" w:after="0"/>
        <w:jc w:val="left"/>
        <w:rPr>
          <w:rFonts w:ascii="Times New Roman" w:hAnsi="Times New Roman"/>
          <w:i/>
          <w:sz w:val="20"/>
        </w:rPr>
      </w:pPr>
      <w:r>
        <w:rPr>
          <w:rFonts w:ascii="Times New Roman" w:hAnsi="Times New Roman"/>
          <w:i/>
          <w:sz w:val="20"/>
        </w:rPr>
        <w:t xml:space="preserve">Appointment of Directors </w:t>
      </w:r>
    </w:p>
    <w:p>
      <w:pPr>
        <w:pStyle w:val="TextBody"/>
        <w:bidi w:val="0"/>
        <w:spacing w:before="120" w:after="0"/>
        <w:jc w:val="left"/>
        <w:rPr>
          <w:rFonts w:ascii="Times New Roman" w:hAnsi="Times New Roman"/>
          <w:sz w:val="20"/>
        </w:rPr>
      </w:pPr>
      <w:r>
        <w:rPr>
          <w:rFonts w:ascii="Times New Roman" w:hAnsi="Times New Roman"/>
          <w:sz w:val="20"/>
        </w:rPr>
        <w:t xml:space="preserve">Effective June 4, 2026, the Board appointed Dr. John David Yee and Mr. William Drake Richey as Class II directors to fill vacancies on the Board. Dr. Yee and Mr. Richey will each serve until the Company’s 2026 annual meeting of stockholders and until his successor is duly elected and qualified, or until his earlier death, resignation or removal. Dr. Yee and Mr. Richey have each been appointed to serve on the Audit Committee, the Compensation Committee and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Dr. Yee, MD, MPH, 63, currently serves as Senior Vice President, Medical Affairs at Apnimed, Inc. and has more than 25 years of leadership experience at biotechnology, pharmaceutical and health care technology companies and at a major academic medical center. Prior to joining Apnimed in September 2023, Dr. Yee served as Chief Medical Officer at Sobi North America from 2020 to 2023, and previously held senior medical leadership roles at Genzyme Corporation, AstraZeneca Pharmaceuticals, Intarcia Therapeutics, Inc., Vertex Pharmaceuticals, Inc. (Nasdaq: VRTX) and Flexion Therapeutics, Inc. Dr. Yee previously served as an independent director on the board of Comera Life Sciences from 2021 to 2023. Dr. Yee earned an M.D. from Harvard Medical School, an M.P.H. in Health Care Management from the Harvard T.H. Chan School of Public Health and an A.B. from Harvard College. The Company believes Dr. Yee’s extensive biopharmaceutical and medical affairs experience qualifies him to serve on the Board. </w:t>
      </w:r>
    </w:p>
    <w:p>
      <w:pPr>
        <w:pStyle w:val="TextBody"/>
        <w:bidi w:val="0"/>
        <w:spacing w:before="240" w:after="0"/>
        <w:jc w:val="left"/>
        <w:rPr>
          <w:rFonts w:ascii="Times New Roman" w:hAnsi="Times New Roman"/>
          <w:sz w:val="20"/>
        </w:rPr>
      </w:pPr>
      <w:r>
        <w:rPr>
          <w:rFonts w:ascii="Times New Roman" w:hAnsi="Times New Roman"/>
          <w:sz w:val="20"/>
        </w:rPr>
        <w:t xml:space="preserve">Mr. Richey, 43, serves as President of Bush &amp; Company, a financial advisory firm that advises high-net-worth families and business owners on investment strategy, risk management, and multi-generational planning. Mr. Richey previously served as President of Life Check, an independent insurance policy review firm serving investment fiduciaries, professional trustees, and trusted advisors, as Vice President, Portfolio Manager at Wells Fargo, and as Director at Fitch Ratings. Mr. Richey is a founding member of the Boston Chapter of the Exit Planning Institute and has served on the boards of DEAF Inc., International Fellowship House, and Park Street Church. Mr. Richey earned a Bachelor of Science degree from Trinity College. The Company believes Mr. Richey’s financial and strategic experience qualifies him to serve on the Board.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non-employee directors will be compensated in accordance with the Company’s Non-Employee Director Compensation Policy, as amended on June 4, 2026 (the “Amended Compensation Policy”). Pursuant to the Amended Compensation Policy, each of Dr. Yee and Mr. Richey will receive compensation in connection with his service as a non-employee director, including an initial option award to purchase 25,000 shares of the Company’s common stock under the Company’s 2023 Equity Incentive Plan (“Plan”), subject to the terms and conditions of the applicable award agreement and the Compensation Policy. Each of Dr. Yee and Mr. Richey has entered into the Company’s standard form of indemnification agreement, the form of which was previously filed by the Company. The Amended Compensation Policy is substantially consistent with the terms described under “Director Compensation” in the Company’s Annual Report on Form 10-K for the fiscal year ended December 31, 2025, except that it provides for the following reduced annual cash retainers: a base retainer of $20,000 for service on the Board, an additional $17,500 for service as non-executive Chair of the Board, committee chair retainers of $10,000 for the Audit Committee, $7,500 for the Compensation Committee, $5,000 for the Nominating and Corporate Governance Committee and $6,000 for the Science and Technology Committee, and committee member retainers of $5,000 for the Audit Committee, $3,750 for the Compensation Committee, $2,500 for the Nominating and Corporate Governance Committee and $3,000 for the Science and Technology Committee.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Compensation Policy does not purport to be complete and is qualified by reference to the full text of the Amended Compensation Policy, a copy of which will be filed as exhibits to the Company’s Quarterly Report on Form 10-Q for the quarter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either Dr. Yee or Mr. Richey and any other person pursuant to which either was appointed as a director of the Company, there are no family relationships between either Dr. Yee or Mr. Richey and any of the Company’s directors or executive officers, and there are no transactions involving either Dr. Yee or Mr. Richey requiring disclosure under Item 404(a) of Regulation S-K. Previously, on May 22, 2026, Nasdaq had notified the Company that, as a result of resignations from the Board, the Company was no longer in compliance with the Nasdaq Listing Rules due to more than one vacancy on its Board and board committees. As a result, Nasdaq advised the Company that it was not eligible for the cure periods set forth in Nasdaq Listing Rules 5605(b)(1)(A) and 5605(c)(4) and that the Company is required to submit a plan of compliance within the timeframe prescribed by Nasdaq. </w:t>
      </w:r>
    </w:p>
    <w:p>
      <w:pPr>
        <w:pStyle w:val="TextBody"/>
        <w:bidi w:val="0"/>
        <w:spacing w:before="240" w:after="0"/>
        <w:jc w:val="left"/>
        <w:rPr>
          <w:rFonts w:ascii="Times New Roman" w:hAnsi="Times New Roman"/>
          <w:sz w:val="20"/>
        </w:rPr>
      </w:pPr>
      <w:r>
        <w:rPr>
          <w:rFonts w:ascii="Times New Roman" w:hAnsi="Times New Roman"/>
          <w:sz w:val="20"/>
        </w:rPr>
        <w:t xml:space="preserve">Following receipt of the Nasdaq notification, the Board has taken steps to address the identified deficiencies. In connection with the appointments of Dr. Yee and Mr. Richey described above, the Board has begun to reconstitute its membership and committees as part of its efforts to regain compliance with the applicable Nasdaq Listing Rules, and believes it has only one remaining vacancy to fill before becoming eligible for the cure period provided in Nasdaq’s Listing Rules 5605(b)(1)(A) and 5605(c)(4). The Company further believes it has regained compliance with Nasdaq Listing Rule 5605(d)(2)(A) and intends to appoint an additional independent director to complete the reconstitution of the Audit Committee and restore full compliance with the applicable Nasdaq requirements.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4, 2026, the Company issued a press release entitled “Tempest Therapeutics Appoints Drake Richey and John Yee, MD, MPH to Board of Directors.” A copy of the press release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provided by specific reference in such a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890"/>
        <w:gridCol w:w="120"/>
        <w:gridCol w:w="768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1703dex991.htm">
              <w:r>
                <w:rPr>
                  <w:rStyle w:val="InternetLink"/>
                </w:rPr>
                <w:t xml:space="preserve">Press Release, dated June 4, 2026, furnished herewith.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03" w:type="dxa"/>
        <w:jc w:val="left"/>
        <w:tblInd w:w="0" w:type="dxa"/>
        <w:tblLayout w:type="fixed"/>
        <w:tblCellMar>
          <w:top w:w="0" w:type="dxa"/>
          <w:left w:w="0" w:type="dxa"/>
          <w:bottom w:w="0" w:type="dxa"/>
          <w:right w:w="0" w:type="dxa"/>
        </w:tblCellMar>
      </w:tblPr>
      <w:tblGrid>
        <w:gridCol w:w="1820"/>
        <w:gridCol w:w="60"/>
        <w:gridCol w:w="23"/>
        <w:gridCol w:w="60"/>
        <w:gridCol w:w="650"/>
        <w:gridCol w:w="60"/>
        <w:gridCol w:w="383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b/>
              </w:rPr>
            </w:pPr>
            <w:r>
              <w:rPr>
                <w:b/>
              </w:rPr>
              <w:t>TEMPEST THERAPEUTICS,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Matthew Angel</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91703dex991.htm"/>
      <w:bookmarkStart w:id="3" w:name="ksd9170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15277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52775" cy="11906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Tempest Therapeutics Appoints Drake Richey and John Yee, MD, MPH to Board of Directors </w:t>
      </w:r>
    </w:p>
    <w:p>
      <w:pPr>
        <w:pStyle w:val="TextBody"/>
        <w:bidi w:val="0"/>
        <w:spacing w:before="240" w:after="0"/>
        <w:jc w:val="left"/>
        <w:rPr>
          <w:rFonts w:ascii="Times New Roman" w:hAnsi="Times New Roman"/>
          <w:sz w:val="20"/>
        </w:rPr>
      </w:pPr>
      <w:r>
        <w:rPr>
          <w:rFonts w:ascii="Times New Roman" w:hAnsi="Times New Roman"/>
          <w:b/>
          <w:sz w:val="20"/>
        </w:rPr>
        <w:t>Brisbane, CA</w:t>
      </w:r>
      <w:r>
        <w:rPr>
          <w:rFonts w:ascii="Times New Roman" w:hAnsi="Times New Roman"/>
          <w:sz w:val="20"/>
        </w:rPr>
        <w:t xml:space="preserve">, June 4, 2026 – Tempest Therapeutics, Inc. (Nasdaq: TPST) (“Tempest” or “Tempest Therapeutics”) today announced the appointment of two independent directors, Drake Richey and John Yee, MD, MPH to its Board of Directors (the “Board”), effective June 4, 2026. Mr. Richey and Dr. Yee collectively bring decades of experience in corporate finance and therapeutic product development to the Board. </w:t>
      </w:r>
    </w:p>
    <w:p>
      <w:pPr>
        <w:pStyle w:val="TextBody"/>
        <w:bidi w:val="0"/>
        <w:spacing w:before="240" w:after="0"/>
        <w:jc w:val="left"/>
        <w:rPr/>
      </w:pPr>
      <w:r>
        <w:rPr/>
        <w:t>“</w:t>
      </w:r>
      <w:r>
        <w:rPr>
          <w:rFonts w:ascii="Times New Roman" w:hAnsi="Times New Roman"/>
          <w:sz w:val="20"/>
        </w:rPr>
        <w:t xml:space="preserve">Over the past several months, we have built a portfolio of CAR-T cell therapy product candidates targeting safe, effective treatments for patients with advanced cancers,” said Matt Angel, Ph.D., President and CEO of Tempest. “The addition of Drake and John to the Board could further enable us to realize our vision of providing meaningful treatment options to cancer patients that have either failed or relapsed from prior therapies, while supporting Tempest’s focus on driving growth and disciplined capital allocation. I look forward to Drake’s and John’s insights as we continue to position the Company for long-term success.” </w:t>
      </w:r>
    </w:p>
    <w:p>
      <w:pPr>
        <w:pStyle w:val="TextBody"/>
        <w:bidi w:val="0"/>
        <w:spacing w:before="360" w:after="0"/>
        <w:jc w:val="left"/>
        <w:rPr>
          <w:rFonts w:ascii="Times New Roman" w:hAnsi="Times New Roman"/>
          <w:b/>
          <w:sz w:val="20"/>
        </w:rPr>
      </w:pPr>
      <w:r>
        <w:rPr>
          <w:rFonts w:ascii="Times New Roman" w:hAnsi="Times New Roman"/>
          <w:b/>
          <w:sz w:val="20"/>
        </w:rPr>
        <w:t xml:space="preserve">About Drake Richey </w:t>
      </w:r>
    </w:p>
    <w:p>
      <w:pPr>
        <w:pStyle w:val="TextBody"/>
        <w:bidi w:val="0"/>
        <w:spacing w:before="120" w:after="0"/>
        <w:jc w:val="left"/>
        <w:rPr>
          <w:rFonts w:ascii="Times New Roman" w:hAnsi="Times New Roman"/>
          <w:sz w:val="20"/>
        </w:rPr>
      </w:pPr>
      <w:r>
        <w:rPr>
          <w:rFonts w:ascii="Times New Roman" w:hAnsi="Times New Roman"/>
          <w:sz w:val="20"/>
        </w:rPr>
        <w:t xml:space="preserve">Drake Richey serves as President of Bush &amp; Company, a financial advisory firm that advises high-net-worth families and business owners on investment strategy, risk management, and multi-generational planning. Mr. Richey previously served as President of Life Check, an independent insurance policy review firm serving investment fiduciaries, professional trustees, and trusted advisors, as Vice President, Portfolio Manager at Wells Fargo, and as Director at Fitch Ratings. Mr. Richey is a founding member of the Boston Chapter of the Exit Planning Institute and has served on the boards of DEAF Inc., International Fellowship House, and Park Street Church. Mr. Richey earned a Bachelor of Science degree from Trinity College.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John Yee, MD, MPH </w:t>
      </w:r>
    </w:p>
    <w:p>
      <w:pPr>
        <w:pStyle w:val="TextBody"/>
        <w:bidi w:val="0"/>
        <w:spacing w:before="120" w:after="0"/>
        <w:jc w:val="left"/>
        <w:rPr>
          <w:rFonts w:ascii="Times New Roman" w:hAnsi="Times New Roman"/>
          <w:sz w:val="20"/>
        </w:rPr>
      </w:pPr>
      <w:r>
        <w:rPr>
          <w:rFonts w:ascii="Times New Roman" w:hAnsi="Times New Roman"/>
          <w:sz w:val="20"/>
        </w:rPr>
        <w:t xml:space="preserve">John Yee MD, MPH, is Senior Vice President, Medical Affairs at Apnimed. Dr. Yee previously served as Chief Medical Officer at Sobi North America, Senior Vice President, Medical Affairs at Flexion Therapeutics, Inc., Senior Vice President and Global Head of Medical Affairs at Vertex Pharmaceuticals, Inc., Vice President, Medical Affairs, Safety and Operations at Intarcia Therapeutics, Inc., and Vice President, US Head Medical Officer and Vice President and Head of Medical Affairs for the US Diabetes franchise at AstraZeneca Pharmaceuticals, and in various medical leadership roles at Genzyme Corporation, including Vice President, US Medical Affairs, Vice President, Global Medical Affairs, and Vice President, Global Head, Evidence-Based Medicine and Health Outcomes Research. Dr. Yee earned his MD at Harvard Medical School and MPH in Health Care Management from the Harvard T.H. Chan School of Public Health. Dr. Yee previously held leadership roles at Boston Children’s Hospital and served as a faculty member at Harvard Medical School. Dr. Yee previously served as an independent director on the board of Comera Life Sciences. </w:t>
      </w:r>
    </w:p>
    <w:p>
      <w:pPr>
        <w:pStyle w:val="TextBody"/>
        <w:bidi w:val="0"/>
        <w:spacing w:before="360" w:after="0"/>
        <w:jc w:val="left"/>
        <w:rPr>
          <w:rFonts w:ascii="Times New Roman" w:hAnsi="Times New Roman"/>
          <w:b/>
          <w:sz w:val="20"/>
        </w:rPr>
      </w:pPr>
      <w:r>
        <w:rPr>
          <w:rFonts w:ascii="Times New Roman" w:hAnsi="Times New Roman"/>
          <w:b/>
          <w:sz w:val="20"/>
        </w:rPr>
        <w:t xml:space="preserve">About Tempest Therapeutics </w:t>
      </w:r>
    </w:p>
    <w:p>
      <w:pPr>
        <w:pStyle w:val="TextBody"/>
        <w:bidi w:val="0"/>
        <w:spacing w:before="120" w:after="0"/>
        <w:jc w:val="left"/>
        <w:rPr>
          <w:rFonts w:ascii="Times New Roman" w:hAnsi="Times New Roman"/>
          <w:sz w:val="20"/>
        </w:rPr>
      </w:pPr>
      <w:r>
        <w:rPr>
          <w:rFonts w:ascii="Times New Roman" w:hAnsi="Times New Roman"/>
          <w:sz w:val="20"/>
        </w:rPr>
        <w:t xml:space="preserve">Tempest Therapeutics is a clinical-stage biotechnology company developing a pipeline of advanced CAR-T cell therapy product candidates to treat cancer. Tempest is headquartered in Brisbane, California. More information about Tempest can be found on the company’s website at https://www.tempesttx.com.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(including within the meaning of Section 21E of the Securities Exchange Act of 1934, as amended, and Section 27A of the Securities Act of 1933, as amended, concerning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the anticipated contributions of the newly appointed directors; the strategic growth, capital allocation and long-term success of Tempest Therapeutics; and Tempest Therapeutics’ ability to achieve its operational plans. All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risks and uncertainties include, but are not limited to Tempest Therapeutics’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 Therapeutics’ Annual Report on Form 10-K for the year ended December 31, 2025, filed with the Securities and Exchange Commission (“SEC”) on March 30, 2026, and in other documents filed by Tempest Therapeutics from time to time with the SEC.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Contacts: </w:t>
      </w:r>
    </w:p>
    <w:p>
      <w:pPr>
        <w:pStyle w:val="TextBody"/>
        <w:bidi w:val="0"/>
        <w:spacing w:before="120" w:after="0"/>
        <w:jc w:val="left"/>
        <w:rPr>
          <w:rFonts w:ascii="Times New Roman" w:hAnsi="Times New Roman"/>
          <w:sz w:val="20"/>
        </w:rPr>
      </w:pPr>
      <w:r>
        <w:rPr>
          <w:rFonts w:ascii="Times New Roman" w:hAnsi="Times New Roman"/>
          <w:sz w:val="20"/>
        </w:rPr>
        <w:t xml:space="preserve">Sylvia Wheeler </w:t>
      </w:r>
    </w:p>
    <w:p>
      <w:pPr>
        <w:pStyle w:val="TextBody"/>
        <w:bidi w:val="0"/>
        <w:spacing w:before="0" w:after="0"/>
        <w:jc w:val="left"/>
        <w:rPr>
          <w:rFonts w:ascii="Times New Roman" w:hAnsi="Times New Roman"/>
          <w:sz w:val="20"/>
        </w:rPr>
      </w:pPr>
      <w:r>
        <w:rPr>
          <w:rFonts w:ascii="Times New Roman" w:hAnsi="Times New Roman"/>
          <w:sz w:val="20"/>
        </w:rPr>
        <w:t xml:space="preserve">Wheelhouse Life Science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swheeler@wheelhouselsa.com </w:t>
      </w:r>
    </w:p>
    <w:p>
      <w:pPr>
        <w:pStyle w:val="TextBody"/>
        <w:bidi w:val="0"/>
        <w:spacing w:before="240" w:after="0"/>
        <w:jc w:val="left"/>
        <w:rPr>
          <w:rFonts w:ascii="Times New Roman" w:hAnsi="Times New Roman"/>
          <w:sz w:val="20"/>
        </w:rPr>
      </w:pPr>
      <w:r>
        <w:rPr>
          <w:rFonts w:ascii="Times New Roman" w:hAnsi="Times New Roman"/>
          <w:sz w:val="20"/>
        </w:rPr>
        <w:t xml:space="preserve">Aljanae Reynolds </w:t>
      </w:r>
    </w:p>
    <w:p>
      <w:pPr>
        <w:pStyle w:val="TextBody"/>
        <w:bidi w:val="0"/>
        <w:spacing w:before="0" w:after="0"/>
        <w:jc w:val="left"/>
        <w:rPr>
          <w:rFonts w:ascii="Times New Roman" w:hAnsi="Times New Roman"/>
          <w:sz w:val="20"/>
        </w:rPr>
      </w:pPr>
      <w:r>
        <w:rPr>
          <w:rFonts w:ascii="Times New Roman" w:hAnsi="Times New Roman"/>
          <w:sz w:val="20"/>
        </w:rPr>
        <w:t xml:space="preserve">Wheelhouse Life Science Advisors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areynolds@wheelhouselsa.com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2866</Words>
  <Characters>16163</Characters>
  <CharactersWithSpaces>19025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