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Versant Venture Capital VI, L.P.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SANSOME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3630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95"/>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Tempest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TPST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04/29/2022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75"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20" w:type="dxa"/>
            <w:vAlign w:val="bottom"/>
            <w:vMerge w:val="restart"/>
          </w:tcPr>
          <w:p>
            <w:pPr>
              <w:spacing w:after="0"/>
              <w:rPr>
                <w:sz w:val="7"/>
                <w:szCs w:val="7"/>
                <w:color w:val="auto"/>
              </w:rPr>
            </w:pPr>
          </w:p>
        </w:tc>
        <w:tc>
          <w:tcPr>
            <w:tcW w:w="3540" w:type="dxa"/>
            <w:vAlign w:val="bottom"/>
            <w:gridSpan w:val="9"/>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2"/>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200" w:type="dxa"/>
            <w:vAlign w:val="bottom"/>
            <w:tcBorders>
              <w:top w:val="single" w:sz="8" w:color="EEEEEE"/>
            </w:tcBorders>
          </w:tcPr>
          <w:p>
            <w:pPr>
              <w:spacing w:after="0"/>
              <w:rPr>
                <w:sz w:val="3"/>
                <w:szCs w:val="3"/>
                <w:color w:val="auto"/>
              </w:rPr>
            </w:pPr>
          </w:p>
        </w:tc>
        <w:tc>
          <w:tcPr>
            <w:tcW w:w="92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900" w:type="dxa"/>
            <w:vAlign w:val="bottom"/>
            <w:tcBorders>
              <w:top w:val="single" w:sz="8" w:color="EEEEEE"/>
            </w:tcBorders>
          </w:tcPr>
          <w:p>
            <w:pPr>
              <w:spacing w:after="0"/>
              <w:rPr>
                <w:sz w:val="3"/>
                <w:szCs w:val="3"/>
                <w:color w:val="auto"/>
              </w:rPr>
            </w:pPr>
          </w:p>
        </w:tc>
        <w:tc>
          <w:tcPr>
            <w:tcW w:w="20" w:type="dxa"/>
            <w:vAlign w:val="bottom"/>
            <w:vMerge w:val="continue"/>
          </w:tcPr>
          <w:p>
            <w:pPr>
              <w:spacing w:after="0"/>
              <w:rPr>
                <w:sz w:val="3"/>
                <w:szCs w:val="3"/>
                <w:color w:val="auto"/>
              </w:rPr>
            </w:pPr>
          </w:p>
        </w:tc>
        <w:tc>
          <w:tcPr>
            <w:tcW w:w="3540" w:type="dxa"/>
            <w:vAlign w:val="bottom"/>
            <w:gridSpan w:val="9"/>
            <w:vMerge w:val="continue"/>
          </w:tcPr>
          <w:p>
            <w:pPr>
              <w:spacing w:after="0"/>
              <w:rPr>
                <w:sz w:val="3"/>
                <w:szCs w:val="3"/>
                <w:color w:val="auto"/>
              </w:rPr>
            </w:pPr>
          </w:p>
        </w:tc>
        <w:tc>
          <w:tcPr>
            <w:tcW w:w="3760" w:type="dxa"/>
            <w:vAlign w:val="bottom"/>
            <w:gridSpan w:val="1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30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2"/>
                <w:szCs w:val="12"/>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134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94104</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20" w:type="dxa"/>
            <w:vAlign w:val="bottom"/>
            <w:gridSpan w:val="8"/>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340" w:type="dxa"/>
            <w:vAlign w:val="bottom"/>
            <w:gridSpan w:val="3"/>
            <w:vMerge w:val="continue"/>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w w:val="81"/>
              </w:rPr>
              <w:t>X</w:t>
            </w:r>
          </w:p>
        </w:tc>
        <w:tc>
          <w:tcPr>
            <w:tcW w:w="30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20" w:type="dxa"/>
            <w:vAlign w:val="bottom"/>
            <w:gridSpan w:val="2"/>
            <w:vMerge w:val="continue"/>
          </w:tcPr>
          <w:p>
            <w:pPr>
              <w:spacing w:after="0"/>
              <w:rPr>
                <w:sz w:val="8"/>
                <w:szCs w:val="8"/>
                <w:color w:val="auto"/>
              </w:rPr>
            </w:pPr>
          </w:p>
        </w:tc>
        <w:tc>
          <w:tcPr>
            <w:tcW w:w="1340" w:type="dxa"/>
            <w:vAlign w:val="bottom"/>
            <w:gridSpan w:val="3"/>
            <w:vMerge w:val="continue"/>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gridSpan w:val="3"/>
            <w:vMerge w:val="continue"/>
          </w:tcPr>
          <w:p>
            <w:pPr>
              <w:spacing w:after="0"/>
              <w:rPr>
                <w:sz w:val="8"/>
                <w:szCs w:val="8"/>
                <w:color w:val="auto"/>
              </w:rPr>
            </w:pPr>
          </w:p>
        </w:tc>
        <w:tc>
          <w:tcPr>
            <w:tcW w:w="302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gridSpan w:val="3"/>
            <w:vMerge w:val="continue"/>
          </w:tcPr>
          <w:p>
            <w:pPr>
              <w:spacing w:after="0"/>
              <w:rPr>
                <w:sz w:val="15"/>
                <w:szCs w:val="15"/>
                <w:color w:val="auto"/>
              </w:rPr>
            </w:pPr>
          </w:p>
        </w:tc>
        <w:tc>
          <w:tcPr>
            <w:tcW w:w="1160" w:type="dxa"/>
            <w:vAlign w:val="bottom"/>
            <w:gridSpan w:val="2"/>
          </w:tcPr>
          <w:p>
            <w:pPr>
              <w:ind w:left="200"/>
              <w:spacing w:after="0"/>
              <w:rPr>
                <w:sz w:val="20"/>
                <w:szCs w:val="20"/>
                <w:color w:val="auto"/>
              </w:rPr>
            </w:pPr>
            <w:r>
              <w:rPr>
                <w:rFonts w:ascii="Arial" w:cs="Arial" w:eastAsia="Arial" w:hAnsi="Arial"/>
                <w:sz w:val="13"/>
                <w:szCs w:val="13"/>
                <w:color w:val="auto"/>
              </w:rPr>
              <w:t>Person</w:t>
            </w: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gridSpan w:val="2"/>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gridSpan w:val="2"/>
          </w:tcPr>
          <w:p>
            <w:pPr>
              <w:spacing w:after="0"/>
              <w:rPr>
                <w:sz w:val="10"/>
                <w:szCs w:val="10"/>
                <w:color w:val="auto"/>
              </w:rPr>
            </w:pPr>
          </w:p>
        </w:tc>
        <w:tc>
          <w:tcPr>
            <w:tcW w:w="50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3460" w:type="dxa"/>
            <w:vAlign w:val="bottom"/>
            <w:tcBorders>
              <w:bottom w:val="single" w:sz="8" w:color="2C2C2C"/>
            </w:tcBorders>
            <w:gridSpan w:val="6"/>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20"/>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6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4"/>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gridSpan w:val="3"/>
          </w:tcPr>
          <w:p>
            <w:pPr>
              <w:ind w:left="3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5"/>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jc w:val="right"/>
              <w:ind w:right="273"/>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ind w:right="60"/>
              <w:spacing w:after="0"/>
              <w:rPr>
                <w:sz w:val="20"/>
                <w:szCs w:val="20"/>
                <w:color w:val="auto"/>
              </w:rPr>
            </w:pPr>
            <w:r>
              <w:rPr>
                <w:rFonts w:ascii="Times New Roman" w:cs="Times New Roman" w:eastAsia="Times New Roman" w:hAnsi="Times New Roman"/>
                <w:sz w:val="17"/>
                <w:szCs w:val="17"/>
                <w:color w:val="0000FF"/>
              </w:rPr>
              <w:t>997,940</w:t>
            </w:r>
          </w:p>
        </w:tc>
        <w:tc>
          <w:tcPr>
            <w:tcW w:w="2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2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(1)</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6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1,171,094</w:t>
            </w:r>
          </w:p>
        </w:tc>
        <w:tc>
          <w:tcPr>
            <w:tcW w:w="260" w:type="dxa"/>
            <w:vAlign w:val="bottom"/>
          </w:tcPr>
          <w:p>
            <w:pPr>
              <w:spacing w:after="0"/>
              <w:rPr>
                <w:sz w:val="21"/>
                <w:szCs w:val="21"/>
                <w:color w:val="auto"/>
              </w:rPr>
            </w:pP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6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w w:val="99"/>
              </w:rPr>
              <w:t>7,377</w:t>
            </w:r>
          </w:p>
        </w:tc>
        <w:tc>
          <w:tcPr>
            <w:tcW w:w="260" w:type="dxa"/>
            <w:vAlign w:val="bottom"/>
          </w:tcPr>
          <w:p>
            <w:pPr>
              <w:spacing w:after="0"/>
              <w:rPr>
                <w:sz w:val="21"/>
                <w:szCs w:val="21"/>
                <w:color w:val="auto"/>
              </w:rPr>
            </w:pP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6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2,118,644</w:t>
            </w:r>
          </w:p>
        </w:tc>
        <w:tc>
          <w:tcPr>
            <w:tcW w:w="260" w:type="dxa"/>
            <w:vAlign w:val="bottom"/>
          </w:tcPr>
          <w:p>
            <w:pPr>
              <w:spacing w:after="0"/>
              <w:rPr>
                <w:sz w:val="21"/>
                <w:szCs w:val="21"/>
                <w:color w:val="auto"/>
              </w:rPr>
            </w:pP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9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800" w:type="dxa"/>
            <w:vAlign w:val="bottom"/>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80" w:type="dxa"/>
            <w:vAlign w:val="bottom"/>
            <w:gridSpan w:val="13"/>
          </w:tcPr>
          <w:p>
            <w:pPr>
              <w:ind w:left="3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60" w:type="dxa"/>
            <w:vAlign w:val="bottom"/>
          </w:tcPr>
          <w:p>
            <w:pPr>
              <w:spacing w:after="0"/>
              <w:rPr>
                <w:sz w:val="15"/>
                <w:szCs w:val="15"/>
                <w:color w:val="auto"/>
              </w:rPr>
            </w:pPr>
          </w:p>
        </w:tc>
        <w:tc>
          <w:tcPr>
            <w:tcW w:w="1180" w:type="dxa"/>
            <w:vAlign w:val="bottom"/>
            <w:gridSpan w:val="2"/>
          </w:tcPr>
          <w:p>
            <w:pPr>
              <w:jc w:val="right"/>
              <w:ind w:right="273"/>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60" w:type="dxa"/>
            <w:vAlign w:val="bottom"/>
          </w:tcPr>
          <w:p>
            <w:pPr>
              <w:spacing w:after="0"/>
              <w:rPr>
                <w:sz w:val="11"/>
                <w:szCs w:val="11"/>
                <w:color w:val="auto"/>
              </w:rPr>
            </w:pPr>
          </w:p>
        </w:tc>
        <w:tc>
          <w:tcPr>
            <w:tcW w:w="11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derivative</w:t>
            </w:r>
          </w:p>
        </w:tc>
        <w:tc>
          <w:tcPr>
            <w:tcW w:w="26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4"/>
              </w:rPr>
              <w:t>Securities</w:t>
            </w:r>
          </w:p>
        </w:tc>
        <w:tc>
          <w:tcPr>
            <w:tcW w:w="260" w:type="dxa"/>
            <w:vAlign w:val="bottom"/>
          </w:tcPr>
          <w:p>
            <w:pPr>
              <w:spacing w:after="0"/>
              <w:rPr>
                <w:sz w:val="11"/>
                <w:szCs w:val="11"/>
                <w:color w:val="auto"/>
              </w:rPr>
            </w:pPr>
          </w:p>
        </w:tc>
        <w:tc>
          <w:tcPr>
            <w:tcW w:w="6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Following</w:t>
            </w:r>
          </w:p>
        </w:tc>
        <w:tc>
          <w:tcPr>
            <w:tcW w:w="26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60" w:type="dxa"/>
            <w:vAlign w:val="bottom"/>
            <w:tcBorders>
              <w:bottom w:val="single" w:sz="8" w:color="2C2C2C"/>
            </w:tcBorders>
            <w:gridSpan w:val="5"/>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740" w:type="dxa"/>
            <w:vAlign w:val="bottom"/>
            <w:tcBorders>
              <w:top w:val="single" w:sz="8" w:color="2C2C2C"/>
            </w:tcBorders>
            <w:gridSpan w:val="8"/>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Borders>
              <w:top w:val="single" w:sz="8" w:color="2C2C2C"/>
            </w:tcBorders>
          </w:tcPr>
          <w:p>
            <w:pPr>
              <w:spacing w:after="0"/>
              <w:rPr>
                <w:sz w:val="20"/>
                <w:szCs w:val="20"/>
                <w:color w:val="auto"/>
              </w:rPr>
            </w:pPr>
          </w:p>
        </w:tc>
        <w:tc>
          <w:tcPr>
            <w:tcW w:w="42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7"/>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Versant Venture Capital VI, L.P.</w:t>
              </w:r>
            </w:hyperlink>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9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ind w:right="293"/>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ONE SANSOME STREET</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3630</w:t>
            </w: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340" w:type="dxa"/>
            <w:vAlign w:val="bottom"/>
            <w:gridSpan w:val="3"/>
            <w:vMerge w:val="restart"/>
          </w:tcPr>
          <w:p>
            <w:pPr>
              <w:ind w:left="500"/>
              <w:spacing w:after="0"/>
              <w:rPr>
                <w:sz w:val="20"/>
                <w:szCs w:val="20"/>
                <w:color w:val="auto"/>
              </w:rPr>
            </w:pPr>
            <w:r>
              <w:rPr>
                <w:rFonts w:ascii="Times New Roman" w:cs="Times New Roman" w:eastAsia="Times New Roman" w:hAnsi="Times New Roman"/>
                <w:sz w:val="17"/>
                <w:szCs w:val="17"/>
                <w:color w:val="0000FF"/>
              </w:rPr>
              <w:t>94104</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20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134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ind w:left="6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60" w:type="dxa"/>
            <w:vAlign w:val="bottom"/>
            <w:tcBorders>
              <w:bottom w:val="single" w:sz="8" w:color="2C2C2C"/>
            </w:tcBorders>
            <w:gridSpan w:val="5"/>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74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7"/>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Versant Ventures VI GP, L.P.</w:t>
              </w:r>
            </w:hyperlink>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9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ind w:right="293"/>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-4371340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SANSOME STREET</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3630</w:t>
      </w:r>
    </w:p>
    <w:p>
      <w:pPr>
        <w:spacing w:after="0" w:line="299"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19" w:right="359" w:bottom="0" w:gutter="0" w:footer="0" w:header="0"/>
          <w:type w:val="continuous"/>
        </w:sectPr>
      </w:pPr>
    </w:p>
    <w:p>
      <w:pPr>
        <w:spacing w:after="0" w:line="35" w:lineRule="exact"/>
        <w:rPr>
          <w:sz w:val="20"/>
          <w:szCs w:val="20"/>
          <w:color w:val="auto"/>
        </w:rPr>
      </w:pPr>
    </w:p>
    <w:p>
      <w:pPr>
        <w:ind w:left="120"/>
        <w:spacing w:after="0"/>
        <w:tabs>
          <w:tab w:leader="none" w:pos="1500" w:val="left"/>
          <w:tab w:leader="none" w:pos="2900" w:val="left"/>
        </w:tabs>
        <w:rPr>
          <w:sz w:val="20"/>
          <w:szCs w:val="20"/>
          <w:color w:val="auto"/>
        </w:rPr>
      </w:pPr>
      <w:r>
        <w:rPr>
          <w:rFonts w:ascii="Times New Roman" w:cs="Times New Roman" w:eastAsia="Times New Roman" w:hAnsi="Times New Roman"/>
          <w:sz w:val="17"/>
          <w:szCs w:val="17"/>
          <w:color w:val="0000FF"/>
        </w:rPr>
        <w:t>SAN</w:t>
      </w:r>
      <w:r>
        <w:rPr>
          <w:sz w:val="20"/>
          <w:szCs w:val="20"/>
          <w:color w:val="auto"/>
        </w:rPr>
        <w:tab/>
      </w:r>
      <w:r>
        <w:rPr>
          <w:rFonts w:ascii="Times New Roman" w:cs="Times New Roman" w:eastAsia="Times New Roman" w:hAnsi="Times New Roman"/>
          <w:sz w:val="17"/>
          <w:szCs w:val="17"/>
          <w:color w:val="0000FF"/>
        </w:rPr>
        <w:t>CA</w:t>
      </w:r>
      <w:r>
        <w:rPr>
          <w:sz w:val="20"/>
          <w:szCs w:val="20"/>
          <w:color w:val="auto"/>
        </w:rPr>
        <w:tab/>
      </w:r>
      <w:r>
        <w:rPr>
          <w:rFonts w:ascii="Times New Roman" w:cs="Times New Roman" w:eastAsia="Times New Roman" w:hAnsi="Times New Roman"/>
          <w:sz w:val="17"/>
          <w:szCs w:val="17"/>
          <w:color w:val="0000FF"/>
        </w:rPr>
        <w:t>94104</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100"/>
        <w:spacing w:after="0"/>
        <w:rPr>
          <w:sz w:val="20"/>
          <w:szCs w:val="20"/>
          <w:color w:val="auto"/>
        </w:rPr>
      </w:pPr>
      <w:r>
        <w:rPr>
          <w:rFonts w:ascii="Times New Roman" w:cs="Times New Roman" w:eastAsia="Times New Roman" w:hAnsi="Times New Roman"/>
          <w:sz w:val="17"/>
          <w:szCs w:val="17"/>
          <w:color w:val="0000FF"/>
        </w:rPr>
        <w:t>FRANCISCO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-114300</wp:posOffset>
            </wp:positionV>
            <wp:extent cx="2809240"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p>
    <w:p>
      <w:pPr>
        <w:spacing w:after="0" w:line="31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7">
        <w:r>
          <w:rPr>
            <w:rFonts w:ascii="Times New Roman" w:cs="Times New Roman" w:eastAsia="Times New Roman" w:hAnsi="Times New Roman"/>
            <w:sz w:val="21"/>
            <w:szCs w:val="21"/>
            <w:u w:val="single" w:color="auto"/>
            <w:color w:val="0000EE"/>
          </w:rPr>
          <w:t>Versant Ventures VI GP-GP, LLC</w:t>
        </w:r>
      </w:hyperlink>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ONE SANSOME STREET</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SUITE 3630</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580" w:type="dxa"/>
            <w:vAlign w:val="bottom"/>
            <w:gridSpan w:val="5"/>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94104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580" w:type="dxa"/>
            <w:vAlign w:val="bottom"/>
            <w:gridSpan w:val="5"/>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2020" w:type="dxa"/>
            <w:vAlign w:val="bottom"/>
            <w:tcBorders>
              <w:bottom w:val="single" w:sz="8" w:color="2C2C2C"/>
            </w:tcBorders>
            <w:gridSpan w:val="2"/>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8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780" w:type="dxa"/>
            <w:vAlign w:val="bottom"/>
            <w:gridSpan w:val="6"/>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Versant Vantage II, L.P.</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ONE SANSOME STREET</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SUITE 3630</w:t>
            </w:r>
          </w:p>
        </w:tc>
        <w:tc>
          <w:tcPr>
            <w:tcW w:w="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580" w:type="dxa"/>
            <w:vAlign w:val="bottom"/>
            <w:gridSpan w:val="5"/>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94104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580" w:type="dxa"/>
            <w:vAlign w:val="bottom"/>
            <w:gridSpan w:val="5"/>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2020" w:type="dxa"/>
            <w:vAlign w:val="bottom"/>
            <w:tcBorders>
              <w:bottom w:val="single" w:sz="8" w:color="2C2C2C"/>
            </w:tcBorders>
            <w:gridSpan w:val="2"/>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8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780" w:type="dxa"/>
            <w:vAlign w:val="bottom"/>
            <w:gridSpan w:val="6"/>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Versant Vantage II GP, L.P.</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ONE SANSOME STREET</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SUITE 3630</w:t>
            </w:r>
          </w:p>
        </w:tc>
        <w:tc>
          <w:tcPr>
            <w:tcW w:w="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580" w:type="dxa"/>
            <w:vAlign w:val="bottom"/>
            <w:gridSpan w:val="5"/>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94104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580" w:type="dxa"/>
            <w:vAlign w:val="bottom"/>
            <w:gridSpan w:val="5"/>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2020" w:type="dxa"/>
            <w:vAlign w:val="bottom"/>
            <w:tcBorders>
              <w:bottom w:val="single" w:sz="8" w:color="2C2C2C"/>
            </w:tcBorders>
            <w:gridSpan w:val="2"/>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8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780" w:type="dxa"/>
            <w:vAlign w:val="bottom"/>
            <w:gridSpan w:val="6"/>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Versant Vantage II GP-GP, LLC</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ONE SANSOME STREET</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SUITE 3630</w:t>
            </w:r>
          </w:p>
        </w:tc>
        <w:tc>
          <w:tcPr>
            <w:tcW w:w="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580" w:type="dxa"/>
            <w:vAlign w:val="bottom"/>
            <w:gridSpan w:val="5"/>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94104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580" w:type="dxa"/>
            <w:vAlign w:val="bottom"/>
            <w:gridSpan w:val="5"/>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2020" w:type="dxa"/>
            <w:vAlign w:val="bottom"/>
            <w:tcBorders>
              <w:bottom w:val="single" w:sz="8" w:color="2C2C2C"/>
            </w:tcBorders>
            <w:gridSpan w:val="2"/>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8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780" w:type="dxa"/>
            <w:vAlign w:val="bottom"/>
            <w:gridSpan w:val="6"/>
          </w:tcPr>
          <w:p>
            <w:pPr>
              <w:spacing w:after="0" w:line="227"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Versant Ventures IV, LLC</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ONE SANSOME STREET</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SUITE 3630</w:t>
            </w:r>
          </w:p>
        </w:tc>
        <w:tc>
          <w:tcPr>
            <w:tcW w:w="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580" w:type="dxa"/>
            <w:vAlign w:val="bottom"/>
            <w:gridSpan w:val="5"/>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94104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580" w:type="dxa"/>
            <w:vAlign w:val="bottom"/>
            <w:gridSpan w:val="5"/>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9979"/>
          </w:cols>
          <w:pgMar w:left="480" w:top="125" w:right="1440" w:bottom="0" w:gutter="0" w:footer="0" w:header="0"/>
        </w:sectPr>
      </w:pPr>
    </w:p>
    <w:p>
      <w:pPr>
        <w:ind w:left="100"/>
        <w:spacing w:after="0"/>
        <w:rPr>
          <w:rFonts w:ascii="Times New Roman" w:cs="Times New Roman" w:eastAsia="Times New Roman" w:hAnsi="Times New Roman"/>
          <w:sz w:val="20"/>
          <w:szCs w:val="20"/>
          <w:u w:val="single" w:color="auto"/>
          <w:color w:val="0000EE"/>
        </w:rPr>
      </w:pPr>
      <w:hyperlink r:id="rId22">
        <w:r>
          <w:rPr>
            <w:rFonts w:ascii="Times New Roman" w:cs="Times New Roman" w:eastAsia="Times New Roman" w:hAnsi="Times New Roman"/>
            <w:sz w:val="20"/>
            <w:szCs w:val="20"/>
            <w:u w:val="single" w:color="auto"/>
            <w:color w:val="0000EE"/>
          </w:rPr>
          <w:t>Versant Venture Capital IV, L.P.</w:t>
        </w:r>
      </w:hyperlink>
    </w:p>
    <w:p>
      <w:pPr>
        <w:sectPr>
          <w:pgSz w:w="11900" w:h="16838" w:orient="portrait"/>
          <w:cols w:equalWidth="0" w:num="1">
            <w:col w:w="9979"/>
          </w:cols>
          <w:pgMar w:left="480" w:top="125" w:right="1440"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gridSpan w:val="2"/>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ONE SANSOME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SUITE 3630</w:t>
            </w:r>
          </w:p>
        </w:tc>
        <w:tc>
          <w:tcPr>
            <w:tcW w:w="10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4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60" w:type="dxa"/>
            <w:vAlign w:val="bottom"/>
            <w:gridSpan w:val="2"/>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2260" w:type="dxa"/>
            <w:vAlign w:val="bottom"/>
            <w:tcBorders>
              <w:bottom w:val="single" w:sz="8" w:color="2C2C2C"/>
            </w:tcBorders>
            <w:gridSpan w:val="2"/>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23">
              <w:r>
                <w:rPr>
                  <w:rFonts w:ascii="Times New Roman" w:cs="Times New Roman" w:eastAsia="Times New Roman" w:hAnsi="Times New Roman"/>
                  <w:sz w:val="21"/>
                  <w:szCs w:val="21"/>
                  <w:color w:val="0000EE"/>
                </w:rPr>
                <w:t>Versant Side Fund IV,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1060" w:type="dxa"/>
            <w:vAlign w:val="bottom"/>
            <w:tcBorders>
              <w:top w:val="single" w:sz="8" w:color="0000EE"/>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gridSpan w:val="2"/>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ONE SANSOME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SUITE 3630</w:t>
            </w:r>
          </w:p>
        </w:tc>
        <w:tc>
          <w:tcPr>
            <w:tcW w:w="10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4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60" w:type="dxa"/>
            <w:vAlign w:val="bottom"/>
            <w:gridSpan w:val="2"/>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3430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extLst>
                    </a:blip>
                    <a:srcRect/>
                    <a:stretch>
                      <a:fillRect/>
                    </a:stretch>
                  </pic:blipFill>
                  <pic:spPr bwMode="auto">
                    <a:xfrm>
                      <a:off x="0" y="0"/>
                      <a:ext cx="2809240" cy="34309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200" w:firstLine="7"/>
        <w:spacing w:after="0" w:line="247"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Versant Venture Capital VI, L.P. ("VVC VI"). Versant Ventures VI GP, L.P. ("VV VI GP") is the general partner of VVC VI, and Versant Ventures VI GP-GP, LLC ("VV VI GP-GP") is the general partner of VV VI GP. Thomas Woiwode, a member of the Issuer's board of directors, is a managing director of VV VI GP-GP and may be deemed to share voting and dispositive power over the shares held by VVC VI. Each of VV VI GP-GP, VV VI GP and Thomas Woiwode disclaim beneficial ownership of such securities, except to the extent of their respective pecuniary interests therein. Thomas Woiwode is a director of the Issuer and, accordingly, files separate Section 16 reports.</w:t>
      </w:r>
    </w:p>
    <w:p>
      <w:pPr>
        <w:spacing w:after="0" w:line="24" w:lineRule="exact"/>
        <w:rPr>
          <w:rFonts w:ascii="Times New Roman" w:cs="Times New Roman" w:eastAsia="Times New Roman" w:hAnsi="Times New Roman"/>
          <w:sz w:val="13"/>
          <w:szCs w:val="13"/>
          <w:color w:val="008000"/>
        </w:rPr>
      </w:pPr>
    </w:p>
    <w:p>
      <w:pPr>
        <w:ind w:left="20" w:right="12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Versant Venture Capital IV, L.P. ("VVC IV"). Versant Ventures IV, LLC ("VV IV") is the general partner of VVC IV. Thomas Woiwode, a member of the Issuer's board of directors, is a managing director of VV IV and may be deemed to share voting and dispositive power over the shares held by VVC IV. Each of VV IV and Thomas Woiwode disclaim beneficial ownership of such securities, except to the extent of their respective pecuniary interests therein. Thomas Woiwode is a director of the Issuer and, accordingly, files separate Section 16 reports.</w:t>
      </w:r>
    </w:p>
    <w:p>
      <w:pPr>
        <w:spacing w:after="0" w:line="20" w:lineRule="exact"/>
        <w:rPr>
          <w:rFonts w:ascii="Times New Roman" w:cs="Times New Roman" w:eastAsia="Times New Roman" w:hAnsi="Times New Roman"/>
          <w:sz w:val="13"/>
          <w:szCs w:val="13"/>
          <w:color w:val="008000"/>
        </w:rPr>
      </w:pPr>
    </w:p>
    <w:p>
      <w:pPr>
        <w:ind w:left="20" w:right="2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Versant Side Fund IV, L.P. ("VSF IV"). VV IV is the general partner of VSF IV. Thomas Woiwode, a member of the Issuer's board of directors, is a managing director of VV IV and may be deemed to share voting and dispositive power over the shares held by VSF IV. Each of VV IV and Thomas Woiwode disclaim beneficial ownership of such securities, except to the extent of their respective pecuniary interests therein. Thomas Woiwode is a director of the Issuer and, accordingly, files separate Section 16 reports.</w:t>
      </w:r>
    </w:p>
    <w:p>
      <w:pPr>
        <w:spacing w:after="0" w:line="20" w:lineRule="exact"/>
        <w:rPr>
          <w:rFonts w:ascii="Times New Roman" w:cs="Times New Roman" w:eastAsia="Times New Roman" w:hAnsi="Times New Roman"/>
          <w:sz w:val="13"/>
          <w:szCs w:val="13"/>
          <w:color w:val="008000"/>
        </w:rPr>
      </w:pPr>
    </w:p>
    <w:p>
      <w:pPr>
        <w:ind w:left="20" w:firstLine="7"/>
        <w:spacing w:after="0" w:line="244"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Versant Vantage II, L.P. ("Vantage II") and the acquisition of which was reported on a Form 3 filed by Vantage II and its general partner entities on the date hereof. Versant Vantage II GP, L.P. ("Vantage II GP") is the general partner of Vantage II, and Versant Vantage II GP-GP, LLC ("Vantage II GP-GP") is the general partner of Vantage II GP. Thomas Woiwode, a member of the Issuer's board of directors, is a managing director of Vantage II GP-GP and may be deemed to share voting and dispositive power over the shares held by Vantage II. Each of Vantage II GP-GP, Vantage II GP and Thomas Woiwode disclaim beneficial ownership of such securities, except to the extent of their respective pecuniary interests therein. Thomas Woiwode is a director of the Issuer and, accordingly, files separate Section 16 reports.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Versant Venture Capital 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468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134683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L.P. By: Versant Ventures 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712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GP, L.P.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33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ind w:left="6560"/>
        <w:spacing w:after="0"/>
        <w:tabs>
          <w:tab w:leader="none" w:pos="8740" w:val="left"/>
        </w:tabs>
        <w:rPr>
          <w:sz w:val="20"/>
          <w:szCs w:val="20"/>
          <w:color w:val="auto"/>
        </w:rPr>
      </w:pPr>
      <w:r>
        <w:rPr>
          <w:rFonts w:ascii="Times New Roman" w:cs="Times New Roman" w:eastAsia="Times New Roman" w:hAnsi="Times New Roman"/>
          <w:sz w:val="17"/>
          <w:szCs w:val="17"/>
          <w:color w:val="0000FF"/>
        </w:rPr>
        <w:t>By: Versant Ventures VI GP-</w:t>
        <w:tab/>
        <w:t>05/03/2022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8973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GP, 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80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12801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By: Robin L. Praeger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087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11087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8401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Versant Ventures VI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0078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120078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L.P. By: Versant Ventures 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712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ind w:left="6560"/>
        <w:spacing w:after="0"/>
        <w:tabs>
          <w:tab w:leader="none" w:pos="8740" w:val="left"/>
        </w:tabs>
        <w:rPr>
          <w:sz w:val="20"/>
          <w:szCs w:val="20"/>
          <w:color w:val="auto"/>
        </w:rPr>
      </w:pPr>
      <w:r>
        <w:rPr>
          <w:rFonts w:ascii="Times New Roman" w:cs="Times New Roman" w:eastAsia="Times New Roman" w:hAnsi="Times New Roman"/>
          <w:sz w:val="17"/>
          <w:szCs w:val="17"/>
          <w:color w:val="0000FF"/>
        </w:rPr>
        <w:t>GP-GP, LLC Its: General</w:t>
      </w:r>
      <w:r>
        <w:rPr>
          <w:sz w:val="20"/>
          <w:szCs w:val="20"/>
          <w:color w:val="auto"/>
        </w:rPr>
        <w:tab/>
      </w:r>
      <w:r>
        <w:rPr>
          <w:rFonts w:ascii="Times New Roman" w:cs="Times New Roman" w:eastAsia="Times New Roman" w:hAnsi="Times New Roman"/>
          <w:sz w:val="17"/>
          <w:szCs w:val="17"/>
          <w:color w:val="0000FF"/>
        </w:rPr>
        <w:t>05/03/2022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8973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 By: Robin L. Praeger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858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Its: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0774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100774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Versant Ventures VI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2174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122174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GP, LLC By: Robin L. Praeger 05/03/2022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8973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Its: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0774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1007745" cy="8255"/>
                    </a:xfrm>
                    <a:prstGeom prst="rect">
                      <a:avLst/>
                    </a:prstGeom>
                    <a:noFill/>
                  </pic:spPr>
                </pic:pic>
              </a:graphicData>
            </a:graphic>
          </wp:anchor>
        </w:drawing>
      </w:r>
    </w:p>
    <w:p>
      <w:pPr>
        <w:sectPr>
          <w:pgSz w:w="11900" w:h="16838" w:orient="portrait"/>
          <w:cols w:equalWidth="0" w:num="1">
            <w:col w:w="10900"/>
          </w:cols>
          <w:pgMar w:left="480" w:top="300" w:right="519" w:bottom="0" w:gutter="0" w:footer="0" w:header="0"/>
        </w:sectPr>
      </w:pPr>
    </w:p>
    <w:p>
      <w:pPr>
        <w:spacing w:after="0" w:line="5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Versant Vantage II,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563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Versant Vantage II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44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477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104775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Versant Vantage II GP-GP,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7284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11728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827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128270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Robin L. Praeger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226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92265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84010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Versant Vantage II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258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By: Versant Vantage II GP-GP,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595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827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128270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Robin L. Praeger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226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92265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84010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Versant Vantage II GP-GP,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042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130429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LLC By: Robin L. Praeger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4429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84010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Versant Ventures IV,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655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126555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By: Robin L. Praeger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0871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11087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84010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05/03/2022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05/03/2022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05/03/2022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05/03/2022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84" w:lineRule="exact"/>
        <w:rPr>
          <w:sz w:val="20"/>
          <w:szCs w:val="20"/>
          <w:color w:val="auto"/>
        </w:rPr>
      </w:pPr>
    </w:p>
    <w:p>
      <w:pPr>
        <w:sectPr>
          <w:pgSz w:w="11900" w:h="16838" w:orient="portrait"/>
          <w:cols w:equalWidth="0" w:num="2">
            <w:col w:w="8720" w:space="40"/>
            <w:col w:w="2140"/>
          </w:cols>
          <w:pgMar w:left="480" w:top="300" w:right="519" w:bottom="0" w:gutter="0" w:footer="0" w:header="0"/>
          <w:type w:val="continuous"/>
        </w:sectPr>
      </w:pPr>
    </w:p>
    <w:p>
      <w:pPr>
        <w:ind w:left="6560"/>
        <w:spacing w:after="0"/>
        <w:rPr>
          <w:sz w:val="20"/>
          <w:szCs w:val="20"/>
          <w:color w:val="auto"/>
        </w:rPr>
      </w:pPr>
      <w:r>
        <w:rPr>
          <w:rFonts w:ascii="Times New Roman" w:cs="Times New Roman" w:eastAsia="Times New Roman" w:hAnsi="Times New Roman"/>
          <w:sz w:val="17"/>
          <w:szCs w:val="17"/>
          <w:color w:val="0000FF"/>
        </w:rPr>
        <w:t>/s/ Versant Venture Capital IV, 05/03/2022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8973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L.P. By: Versant Ventures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839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128397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827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1282700" cy="8255"/>
                    </a:xfrm>
                    <a:prstGeom prst="rect">
                      <a:avLst/>
                    </a:prstGeom>
                    <a:noFill/>
                  </pic:spPr>
                </pic:pic>
              </a:graphicData>
            </a:graphic>
          </wp:anchor>
        </w:drawing>
      </w:r>
    </w:p>
    <w:p>
      <w:pPr>
        <w:sectPr>
          <w:pgSz w:w="11900" w:h="16838" w:orient="portrait"/>
          <w:cols w:equalWidth="0" w:num="1">
            <w:col w:w="10900"/>
          </w:cols>
          <w:pgMar w:left="480" w:top="300" w:right="519" w:bottom="0" w:gutter="0" w:footer="0" w:header="0"/>
          <w:type w:val="continuous"/>
        </w:sectPr>
      </w:pPr>
    </w:p>
    <w:bookmarkStart w:id="3" w:name="page4"/>
    <w:bookmarkEnd w:id="3"/>
    <w:p>
      <w:pPr>
        <w:ind w:left="6540"/>
        <w:spacing w:after="0"/>
        <w:rPr>
          <w:sz w:val="20"/>
          <w:szCs w:val="20"/>
          <w:color w:val="auto"/>
        </w:rPr>
      </w:pPr>
      <w:r>
        <w:rPr>
          <w:rFonts w:ascii="Times New Roman" w:cs="Times New Roman" w:eastAsia="Times New Roman" w:hAnsi="Times New Roman"/>
          <w:sz w:val="17"/>
          <w:szCs w:val="17"/>
          <w:color w:val="0000FF"/>
        </w:rPr>
        <w:t>Robin L. Praeger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226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9226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4010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Versant Side Fund IV,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9349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129349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Versant Ventures IV,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208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13208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Its: General Partner By: Robin 05/03/2022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 Praeger Its: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998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10998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6639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366395" cy="8255"/>
                    </a:xfrm>
                    <a:prstGeom prst="rect">
                      <a:avLst/>
                    </a:prstGeom>
                    <a:noFill/>
                  </pic:spPr>
                </pic:pic>
              </a:graphicData>
            </a:graphic>
          </wp:anchor>
        </w:drawing>
      </w:r>
    </w:p>
    <w:p>
      <w:pPr>
        <w:spacing w:after="0" w:line="40"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24"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12" Type="http://schemas.openxmlformats.org/officeDocument/2006/relationships/hyperlink" Target="http://www.sec.gov/cgi-bin/browse-edgar?action=getcompany&amp;CIK=0001687880" TargetMode="External"/><Relationship Id="rId13" Type="http://schemas.openxmlformats.org/officeDocument/2006/relationships/hyperlink" Target="http://www.sec.gov/cgi-bin/browse-edgar?action=getcompany&amp;CIK=0001544227" TargetMode="External"/><Relationship Id="rId14" Type="http://schemas.openxmlformats.org/officeDocument/2006/relationships/hyperlink" Target="http://www.sec.gov/cgi-bin/browse-edgar?action=getcompany&amp;CIK=0001777654" TargetMode="External"/><Relationship Id="rId17" Type="http://schemas.openxmlformats.org/officeDocument/2006/relationships/hyperlink" Target="http://www.sec.gov/cgi-bin/browse-edgar?action=getcompany&amp;CIK=0001777652" TargetMode="External"/><Relationship Id="rId18" Type="http://schemas.openxmlformats.org/officeDocument/2006/relationships/hyperlink" Target="http://www.sec.gov/cgi-bin/browse-edgar?action=getcompany&amp;CIK=0001832235" TargetMode="External"/><Relationship Id="rId19" Type="http://schemas.openxmlformats.org/officeDocument/2006/relationships/hyperlink" Target="http://www.sec.gov/cgi-bin/browse-edgar?action=getcompany&amp;CIK=0001839790" TargetMode="External"/><Relationship Id="rId20" Type="http://schemas.openxmlformats.org/officeDocument/2006/relationships/hyperlink" Target="http://www.sec.gov/cgi-bin/browse-edgar?action=getcompany&amp;CIK=0001839789" TargetMode="External"/><Relationship Id="rId21" Type="http://schemas.openxmlformats.org/officeDocument/2006/relationships/hyperlink" Target="http://www.sec.gov/cgi-bin/browse-edgar?action=getcompany&amp;CIK=0001456589" TargetMode="External"/><Relationship Id="rId22" Type="http://schemas.openxmlformats.org/officeDocument/2006/relationships/hyperlink" Target="http://www.sec.gov/cgi-bin/browse-edgar?action=getcompany&amp;CIK=0001456590" TargetMode="External"/><Relationship Id="rId23" Type="http://schemas.openxmlformats.org/officeDocument/2006/relationships/hyperlink" Target="http://www.sec.gov/cgi-bin/browse-edgar?action=getcompany&amp;CIK=00014565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2022-05-03T16:44:40Z</dcterms:created>
  <dcterms:modified xsi:type="dcterms:W3CDTF">2022-05-03T16:44:40Z</dcterms:modified>
</cp:coreProperties>
</file>