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OvaScience,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 Fourth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Waltham, Massachusetts 02451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3, 2018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Jeffrey Gabor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4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OvaScience, Inc.</w:t>
            </w:r>
          </w:p>
        </w:tc>
      </w:tr>
      <w:tr>
        <w:trPr>
          <w:trHeight w:val="21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Registration Statement on Form S-3 File No. 333-228209</w:t>
            </w:r>
          </w:p>
        </w:tc>
      </w:tr>
      <w:tr>
        <w:trPr>
          <w:trHeight w:val="194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Request for Acceleration of Effectiveness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120" w:firstLine="648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Rule 461 promulgated under the Securities Act of 1933, as amended, OvaScience, Inc. (the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7"/>
          <w:szCs w:val="17"/>
          <w:color w:val="auto"/>
        </w:rPr>
        <w:t>”) hereby requests acceleration of the effective date of the Registration Statement on Form S-3 (File No. 333-228209), as amended (the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7"/>
          <w:szCs w:val="17"/>
          <w:color w:val="auto"/>
        </w:rPr>
        <w:t>”), so that it may become effective at 9:00 a.m., Washington, D.C. time on December 6, 2018, or as soon as possible thereafter.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hereby authorizes Megan N. Gates, Esq. of Mintz, Levin, Cohn, Ferris, Glovsky and Popeo, P.C. to orally modify or withdraw this request for acceleration.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right="38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respectfully requests that it be notified of such effectiveness by a telephone call to Ms. Gates at (617) 348-4443 and that such effectiveness also be confirmed in writing. Any questions regarding this request may be addressed to Ms. Gates.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OVASCIENCE,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Jonathan Gillis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14605</wp:posOffset>
            </wp:positionV>
            <wp:extent cx="356616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Jonathan Gillis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Finance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u w:val="single" w:color="auto"/>
          <w:color w:val="auto"/>
        </w:rPr>
        <w:t>OvaScience, Inc.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8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Christopher A. Kroeger., M.D., M.B.A.,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President and Chief Executive Officer</w:t>
      </w:r>
    </w:p>
    <w:p>
      <w:pPr>
        <w:spacing w:after="0" w:line="21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860" w:right="6460"/>
        <w:spacing w:after="0" w:line="258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u w:val="single" w:color="auto"/>
          <w:color w:val="auto"/>
        </w:rPr>
        <w:t xml:space="preserve">Mintz, Levin, Cohn, Ferris, Glovsky and Popeo, P.C. </w:t>
      </w:r>
      <w:r>
        <w:rPr>
          <w:rFonts w:ascii="Arial" w:cs="Arial" w:eastAsia="Arial" w:hAnsi="Arial"/>
          <w:sz w:val="18"/>
          <w:szCs w:val="18"/>
          <w:color w:val="auto"/>
        </w:rPr>
        <w:t>William C. Hicks, Esq.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860" w:right="8360"/>
        <w:spacing w:after="0" w:line="323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Megan N. Gates, Esq. Daniel A. Bagliebter, Esq.</w:t>
      </w:r>
    </w:p>
    <w:p>
      <w:pPr>
        <w:spacing w:after="0" w:line="138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860" w:right="8540"/>
        <w:spacing w:after="0" w:line="263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u w:val="single" w:color="auto"/>
          <w:color w:val="auto"/>
        </w:rPr>
        <w:t xml:space="preserve">Cooley, LLP </w:t>
      </w:r>
      <w:r>
        <w:rPr>
          <w:rFonts w:ascii="Arial" w:cs="Arial" w:eastAsia="Arial" w:hAnsi="Arial"/>
          <w:sz w:val="18"/>
          <w:szCs w:val="18"/>
          <w:color w:val="auto"/>
        </w:rPr>
        <w:t>Miguel J. Vega, Esq. Nicole Brookshire, Esq.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192405</wp:posOffset>
            </wp:positionV>
            <wp:extent cx="7153275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20"/>
      </w:cols>
      <w:pgMar w:left="320" w:top="445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2020-10-07T23:31:07Z</dcterms:created>
  <dcterms:modified xsi:type="dcterms:W3CDTF">2020-10-07T23:31:07Z</dcterms:modified>
</cp:coreProperties>
</file>