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before="0" w:after="0"/>
        <w:jc w:val="left"/>
        <w:rPr/>
      </w:pPr>
      <w:bookmarkStart w:id="0" w:name="tpst-20230510.htm"/>
      <w:bookmarkStart w:id="1" w:name="kstpst20230510"/>
      <w:bookmarkEnd w:id="0"/>
      <w:bookmarkEnd w:id="1"/>
      <w:r>
        <w:rPr/>
        <w:t> </w:t>
      </w:r>
    </w:p>
    <w:p>
      <w:pPr>
        <w:pStyle w:val="TextBody"/>
        <w:spacing w:before="115" w:after="0"/>
        <w:jc w:val="center"/>
        <w:rPr>
          <w:rFonts w:ascii="Times New Roman" w:hAnsi="Times New Roman"/>
          <w:sz w:val="20"/>
        </w:rPr>
      </w:pPr>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pBdr>
          <w:bottom w:val="single" w:sz="6" w:space="1" w:color="000000"/>
        </w:pBdr>
        <w:spacing w:before="0" w:after="0"/>
        <w:jc w:val="left"/>
        <w:rPr/>
      </w:pPr>
      <w:r>
        <w:rPr/>
        <w:t> </w:t>
      </w:r>
    </w:p>
    <w:p>
      <w:pPr>
        <w:pStyle w:val="TextBody"/>
        <w:spacing w:before="200" w:after="0"/>
        <w:jc w:val="center"/>
        <w:rPr>
          <w:rFonts w:ascii="Times New Roman;serif" w:hAnsi="Times New Roman;serif"/>
          <w:b/>
          <w:sz w:val="36"/>
        </w:rPr>
      </w:pPr>
      <w:r>
        <w:rPr>
          <w:rFonts w:ascii="Times New Roman;serif" w:hAnsi="Times New Roman;serif"/>
          <w:b/>
          <w:sz w:val="36"/>
        </w:rPr>
        <w:t>FORM 8-K</w:t>
      </w:r>
    </w:p>
    <w:p>
      <w:pPr>
        <w:pStyle w:val="TextBody"/>
        <w:pBdr>
          <w:bottom w:val="single" w:sz="6" w:space="1" w:color="000000"/>
        </w:pBdr>
        <w:spacing w:before="0" w:after="0"/>
        <w:jc w:val="left"/>
        <w:rPr/>
      </w:pPr>
      <w:r>
        <w:rPr/>
        <w:t> </w:t>
      </w:r>
    </w:p>
    <w:p>
      <w:pPr>
        <w:pStyle w:val="TextBody"/>
        <w:spacing w:before="180" w:after="0"/>
        <w:jc w:val="center"/>
        <w:rPr>
          <w:rFonts w:ascii="Times New Roman;serif" w:hAnsi="Times New Roman;serif"/>
          <w:b/>
          <w:sz w:val="24"/>
        </w:rPr>
      </w:pPr>
      <w:r>
        <w:rPr>
          <w:rFonts w:ascii="Times New Roman;serif" w:hAnsi="Times New Roman;serif"/>
          <w:b/>
          <w:sz w:val="24"/>
        </w:rPr>
        <w:t>CURRENT REPORT</w:t>
      </w:r>
    </w:p>
    <w:p>
      <w:pPr>
        <w:pStyle w:val="TextBody"/>
        <w:spacing w:before="180" w:after="120"/>
        <w:jc w:val="center"/>
        <w:rPr>
          <w:rFonts w:ascii="Times New Roman;serif" w:hAnsi="Times New Roman;serif"/>
          <w:b/>
          <w:sz w:val="24"/>
        </w:rPr>
      </w:pPr>
      <w:r>
        <w:rPr>
          <w:rFonts w:ascii="Times New Roman;serif" w:hAnsi="Times New Roman;serif"/>
          <w:b/>
          <w:sz w:val="24"/>
        </w:rPr>
        <w:t>Pursuant to Section 13 or 15(d) of the Securities Exchange Act of 1934</w:t>
      </w:r>
    </w:p>
    <w:tbl>
      <w:tblPr>
        <w:tblW w:w="5414" w:type="dxa"/>
        <w:jc w:val="left"/>
        <w:tblInd w:w="0" w:type="dxa"/>
        <w:tblCellMar>
          <w:top w:w="28" w:type="dxa"/>
          <w:left w:w="28" w:type="dxa"/>
          <w:bottom w:w="28" w:type="dxa"/>
          <w:right w:w="28" w:type="dxa"/>
        </w:tblCellMar>
      </w:tblPr>
      <w:tblGrid>
        <w:gridCol w:w="5414"/>
      </w:tblGrid>
      <w:tr>
        <w:trPr/>
        <w:tc>
          <w:tcPr>
            <w:tcW w:w="5414" w:type="dxa"/>
            <w:tcBorders/>
            <w:shd w:fill="auto" w:val="clear"/>
            <w:vAlign w:val="center"/>
          </w:tcPr>
          <w:p>
            <w:pPr>
              <w:pStyle w:val="TableContents"/>
              <w:spacing w:before="0" w:after="283"/>
              <w:rPr>
                <w:sz w:val="4"/>
                <w:szCs w:val="4"/>
              </w:rPr>
            </w:pPr>
            <w:r>
              <w:rPr>
                <w:sz w:val="4"/>
                <w:szCs w:val="4"/>
              </w:rPr>
            </w:r>
          </w:p>
        </w:tc>
      </w:tr>
      <w:tr>
        <w:trPr/>
        <w:tc>
          <w:tcPr>
            <w:tcW w:w="5414" w:type="dxa"/>
            <w:tcBorders/>
            <w:shd w:fill="auto" w:val="clear"/>
            <w:tcMar>
              <w:top w:w="0" w:type="dxa"/>
              <w:left w:w="0" w:type="dxa"/>
              <w:bottom w:w="0" w:type="dxa"/>
              <w:right w:w="0" w:type="dxa"/>
            </w:tcMar>
            <w:vAlign w:val="center"/>
          </w:tcPr>
          <w:p>
            <w:pPr>
              <w:pStyle w:val="TableContents"/>
              <w:spacing w:before="0" w:after="0"/>
              <w:ind w:left="0" w:right="43" w:hanging="0"/>
              <w:jc w:val="center"/>
              <w:rPr>
                <w:rFonts w:ascii="Times New Roman;serif" w:hAnsi="Times New Roman;serif"/>
                <w:b/>
                <w:sz w:val="20"/>
              </w:rPr>
            </w:pPr>
            <w:r>
              <w:rPr>
                <w:rFonts w:ascii="Times New Roman;serif" w:hAnsi="Times New Roman;serif"/>
                <w:b/>
                <w:sz w:val="20"/>
              </w:rPr>
              <w:t>Date of Report (Date of earliest event reported): May 10, 2023</w:t>
            </w:r>
          </w:p>
        </w:tc>
      </w:tr>
    </w:tbl>
    <w:p>
      <w:pPr>
        <w:pStyle w:val="TextBody"/>
        <w:pBdr>
          <w:bottom w:val="single" w:sz="6" w:space="1" w:color="000000"/>
        </w:pBdr>
        <w:spacing w:before="100" w:after="0"/>
        <w:jc w:val="left"/>
        <w:rPr/>
      </w:pPr>
      <w:r>
        <w:rPr/>
        <w:t> </w:t>
      </w:r>
    </w:p>
    <w:p>
      <w:pPr>
        <w:pStyle w:val="TextBody"/>
        <w:spacing w:before="0" w:after="0"/>
        <w:jc w:val="left"/>
        <w:rPr/>
      </w:pPr>
      <w:r>
        <w:rPr/>
        <w:t> </w:t>
      </w:r>
    </w:p>
    <w:p>
      <w:pPr>
        <w:pStyle w:val="TextBody"/>
        <w:spacing w:before="100" w:after="0"/>
        <w:jc w:val="center"/>
        <w:rPr>
          <w:rFonts w:ascii="Times New Roman;serif" w:hAnsi="Times New Roman;serif"/>
          <w:b/>
          <w:sz w:val="48"/>
        </w:rPr>
      </w:pPr>
      <w:r>
        <w:rPr>
          <w:rFonts w:ascii="Times New Roman;serif" w:hAnsi="Times New Roman;serif"/>
          <w:b/>
          <w:sz w:val="48"/>
        </w:rPr>
        <w:t>Tempest Therapeutics, Inc.</w:t>
      </w:r>
    </w:p>
    <w:p>
      <w:pPr>
        <w:pStyle w:val="TextBody"/>
        <w:spacing w:before="60" w:after="0"/>
        <w:jc w:val="center"/>
        <w:rPr>
          <w:rFonts w:ascii="Times New Roman;serif" w:hAnsi="Times New Roman;serif"/>
          <w:b/>
          <w:sz w:val="15"/>
        </w:rPr>
      </w:pPr>
      <w:r>
        <w:rPr>
          <w:rFonts w:ascii="Times New Roman;serif" w:hAnsi="Times New Roman;serif"/>
          <w:b/>
          <w:sz w:val="15"/>
        </w:rPr>
        <w:t>(Exact name of Registrant as Specified in Its Charter)</w:t>
      </w:r>
    </w:p>
    <w:p>
      <w:pPr>
        <w:pStyle w:val="TextBody"/>
        <w:pBdr>
          <w:bottom w:val="single" w:sz="6" w:space="1" w:color="000000"/>
        </w:pBdr>
        <w:spacing w:before="180" w:after="0"/>
        <w:jc w:val="left"/>
        <w:rPr/>
      </w:pPr>
      <w:r>
        <w:rPr/>
        <w:t> </w:t>
      </w:r>
    </w:p>
    <w:p>
      <w:pPr>
        <w:pStyle w:val="TextBody"/>
        <w:spacing w:before="0" w:after="0"/>
        <w:jc w:val="left"/>
        <w:rPr/>
      </w:pPr>
      <w:r>
        <w:rPr/>
        <w:t> </w:t>
      </w:r>
    </w:p>
    <w:tbl>
      <w:tblPr>
        <w:tblW w:w="6481" w:type="dxa"/>
        <w:jc w:val="left"/>
        <w:tblInd w:w="0" w:type="dxa"/>
        <w:tblCellMar>
          <w:top w:w="28" w:type="dxa"/>
          <w:left w:w="28" w:type="dxa"/>
          <w:bottom w:w="28" w:type="dxa"/>
          <w:right w:w="28" w:type="dxa"/>
        </w:tblCellMar>
      </w:tblPr>
      <w:tblGrid>
        <w:gridCol w:w="1166"/>
        <w:gridCol w:w="1064"/>
        <w:gridCol w:w="1069"/>
        <w:gridCol w:w="1846"/>
        <w:gridCol w:w="1336"/>
      </w:tblGrid>
      <w:tr>
        <w:trPr/>
        <w:tc>
          <w:tcPr>
            <w:tcW w:w="1166"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001-35890</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45-1472564</w:t>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(State or Other Jurisdiction</w:t>
              <w:br/>
              <w:t>of Incorporation)</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(Commission File Number)</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116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064"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06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2000 Sierra Point Parkway, Suite 400</w:t>
            </w:r>
          </w:p>
        </w:tc>
        <w:tc>
          <w:tcPr>
            <w:tcW w:w="3182" w:type="dxa"/>
            <w:gridSpan w:val="2"/>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Brisbane, California</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94005</w:t>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(Address of Principal Executive Offices)</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(Zip Code)</w:t>
            </w:r>
          </w:p>
        </w:tc>
      </w:tr>
    </w:tbl>
    <w:p>
      <w:pPr>
        <w:pStyle w:val="TextBody"/>
        <w:spacing w:before="0" w:after="0"/>
        <w:jc w:val="left"/>
        <w:rPr/>
      </w:pPr>
      <w:r>
        <w:rPr/>
        <w:t> </w:t>
      </w:r>
    </w:p>
    <w:tbl>
      <w:tblPr>
        <w:tblW w:w="6119" w:type="dxa"/>
        <w:jc w:val="left"/>
        <w:tblInd w:w="0" w:type="dxa"/>
        <w:tblCellMar>
          <w:top w:w="28" w:type="dxa"/>
          <w:left w:w="28" w:type="dxa"/>
          <w:bottom w:w="28" w:type="dxa"/>
          <w:right w:w="28" w:type="dxa"/>
        </w:tblCellMar>
      </w:tblPr>
      <w:tblGrid>
        <w:gridCol w:w="6119"/>
      </w:tblGrid>
      <w:tr>
        <w:trPr/>
        <w:tc>
          <w:tcPr>
            <w:tcW w:w="6119" w:type="dxa"/>
            <w:tcBorders/>
            <w:shd w:fill="auto" w:val="clear"/>
            <w:vAlign w:val="center"/>
          </w:tcPr>
          <w:p>
            <w:pPr>
              <w:pStyle w:val="TableContents"/>
              <w:spacing w:before="0" w:after="283"/>
              <w:rPr>
                <w:sz w:val="4"/>
                <w:szCs w:val="4"/>
              </w:rPr>
            </w:pPr>
            <w:r>
              <w:rPr>
                <w:sz w:val="4"/>
                <w:szCs w:val="4"/>
              </w:rPr>
            </w:r>
          </w:p>
        </w:tc>
      </w:tr>
      <w:tr>
        <w:trPr/>
        <w:tc>
          <w:tcPr>
            <w:tcW w:w="6119" w:type="dxa"/>
            <w:tcBorders/>
            <w:shd w:fill="auto" w:val="clear"/>
            <w:tcMar>
              <w:top w:w="0" w:type="dxa"/>
              <w:left w:w="0" w:type="dxa"/>
              <w:bottom w:w="0" w:type="dxa"/>
              <w:right w:w="0" w:type="dxa"/>
            </w:tcMar>
            <w:vAlign w:val="center"/>
          </w:tcPr>
          <w:p>
            <w:pPr>
              <w:pStyle w:val="TableContents"/>
              <w:spacing w:before="0" w:after="0"/>
              <w:ind w:left="0" w:right="43" w:hanging="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r>
              <w:rPr>
                <w:rFonts w:ascii="Times New Roman;serif" w:hAnsi="Times New Roman;serif"/>
                <w:b/>
                <w:sz w:val="20"/>
              </w:rPr>
              <w:t>(415)</w:t>
            </w:r>
            <w:r>
              <w:rPr>
                <w:rFonts w:ascii="Times New Roman" w:hAnsi="Times New Roman"/>
                <w:sz w:val="20"/>
              </w:rPr>
              <w:t xml:space="preserve"> </w:t>
            </w:r>
            <w:r>
              <w:rPr>
                <w:rFonts w:ascii="Times New Roman;serif" w:hAnsi="Times New Roman;serif"/>
                <w:b/>
                <w:sz w:val="20"/>
              </w:rPr>
              <w:t>798-8589</w:t>
            </w:r>
          </w:p>
        </w:tc>
      </w:tr>
    </w:tbl>
    <w:p>
      <w:pPr>
        <w:pStyle w:val="TextBody"/>
        <w:spacing w:before="0" w:after="0"/>
        <w:jc w:val="left"/>
        <w:rPr/>
      </w:pPr>
      <w:r>
        <w:rPr/>
        <w:t> </w:t>
      </w:r>
    </w:p>
    <w:tbl>
      <w:tblPr>
        <w:tblW w:w="206" w:type="dxa"/>
        <w:jc w:val="left"/>
        <w:tblInd w:w="0" w:type="dxa"/>
        <w:tblCellMar>
          <w:top w:w="28" w:type="dxa"/>
          <w:left w:w="28" w:type="dxa"/>
          <w:bottom w:w="28" w:type="dxa"/>
          <w:right w:w="28" w:type="dxa"/>
        </w:tblCellMar>
      </w:tblPr>
      <w:tblGrid>
        <w:gridCol w:w="206"/>
      </w:tblGrid>
      <w:tr>
        <w:trPr/>
        <w:tc>
          <w:tcPr>
            <w:tcW w:w="206" w:type="dxa"/>
            <w:tcBorders/>
            <w:shd w:fill="auto" w:val="clear"/>
            <w:vAlign w:val="center"/>
          </w:tcPr>
          <w:p>
            <w:pPr>
              <w:pStyle w:val="TableContents"/>
              <w:spacing w:before="0" w:after="283"/>
              <w:rPr>
                <w:sz w:val="4"/>
                <w:szCs w:val="4"/>
              </w:rPr>
            </w:pPr>
            <w:r>
              <w:rPr>
                <w:sz w:val="4"/>
                <w:szCs w:val="4"/>
              </w:rPr>
            </w:r>
          </w:p>
        </w:tc>
      </w:tr>
      <w:tr>
        <w:trPr/>
        <w:tc>
          <w:tcPr>
            <w:tcW w:w="2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bl>
    <w:p>
      <w:pPr>
        <w:pStyle w:val="TextBody"/>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pBdr>
          <w:bottom w:val="single" w:sz="6" w:space="1" w:color="000000"/>
        </w:pBdr>
        <w:spacing w:before="187" w:after="0"/>
        <w:jc w:val="left"/>
        <w:rPr/>
      </w:pPr>
      <w:r>
        <w:rPr/>
        <w:t> </w:t>
      </w:r>
    </w:p>
    <w:p>
      <w:pPr>
        <w:pStyle w:val="TextBody"/>
        <w:spacing w:before="187"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spacing w:before="180" w:after="0"/>
        <w:ind w:left="0" w:right="0" w:hanging="490"/>
        <w:jc w:val="left"/>
        <w:rPr/>
      </w:pPr>
      <w:r>
        <w:rPr/>
        <w:t>☐</w:t>
      </w:r>
      <w:r>
        <w:rPr>
          <w:rFonts w:ascii="Times New Roman;serif" w:hAnsi="Times New Roman;serif"/>
          <w:b w:val="false"/>
          <w:sz w:val="20"/>
        </w:rPr>
        <w:t>Written communications pursuant to Rule 425 under the Securities Act (17 CFR 230.425)</w:t>
      </w:r>
    </w:p>
    <w:p>
      <w:pPr>
        <w:pStyle w:val="TextBody"/>
        <w:spacing w:before="120" w:after="0"/>
        <w:ind w:left="0" w:right="0" w:hanging="490"/>
        <w:jc w:val="left"/>
        <w:rPr/>
      </w:pPr>
      <w:r>
        <w:rPr/>
        <w:t>☐</w:t>
      </w:r>
      <w:r>
        <w:rPr>
          <w:rFonts w:ascii="Times New Roman;serif" w:hAnsi="Times New Roman;serif"/>
          <w:b w:val="false"/>
          <w:sz w:val="20"/>
        </w:rPr>
        <w:t>Soliciting material pursuant to Rule 14a-12 under the Exchange Act (17 CFR 240.14a-12)</w:t>
      </w:r>
    </w:p>
    <w:p>
      <w:pPr>
        <w:pStyle w:val="TextBody"/>
        <w:spacing w:before="120" w:after="0"/>
        <w:ind w:left="0" w:right="0" w:hanging="490"/>
        <w:jc w:val="left"/>
        <w:rPr/>
      </w:pPr>
      <w:r>
        <w:rPr/>
        <w:t>☐</w:t>
      </w:r>
      <w:r>
        <w:rPr>
          <w:rFonts w:ascii="Times New Roman;serif" w:hAnsi="Times New Roman;serif"/>
          <w:b w:val="false"/>
          <w:sz w:val="20"/>
        </w:rPr>
        <w:t>Pre-commencement communications pursuant to Rule 14d-2(b) under the Exchange Act (17 CFR 240.14d-2(b))</w:t>
      </w:r>
    </w:p>
    <w:p>
      <w:pPr>
        <w:pStyle w:val="TextBody"/>
        <w:spacing w:before="120" w:after="283"/>
        <w:ind w:left="0" w:right="0" w:hanging="490"/>
        <w:jc w:val="left"/>
        <w:rPr/>
      </w:pPr>
      <w:r>
        <w:rPr/>
        <w:t>☐</w:t>
      </w:r>
      <w:r>
        <w:rPr>
          <w:rFonts w:ascii="Times New Roman;serif" w:hAnsi="Times New Roman;serif"/>
          <w:b w:val="false"/>
          <w:sz w:val="20"/>
        </w:rPr>
        <w:t>Pre-commencement communications pursuant to Rule 13e-4(c) under the Exchange Act (17 CFR 240.13e-4(c))</w:t>
      </w:r>
    </w:p>
    <w:p>
      <w:pPr>
        <w:pStyle w:val="TextBody"/>
        <w:spacing w:before="180" w:after="180"/>
        <w:jc w:val="center"/>
        <w:rPr>
          <w:rFonts w:ascii="Times New Roman;serif" w:hAnsi="Times New Roman;serif"/>
          <w:b/>
          <w:sz w:val="20"/>
        </w:rPr>
      </w:pPr>
      <w:r>
        <w:rPr>
          <w:rFonts w:ascii="Times New Roman;serif" w:hAnsi="Times New Roman;serif"/>
          <w:b/>
          <w:sz w:val="20"/>
        </w:rPr>
        <w:t>Securities registered pursuant to Section 12(b) of the Act:</w:t>
      </w:r>
    </w:p>
    <w:tbl>
      <w:tblPr>
        <w:tblW w:w="7900" w:type="dxa"/>
        <w:jc w:val="left"/>
        <w:tblInd w:w="0" w:type="dxa"/>
        <w:tblCellMar>
          <w:top w:w="28" w:type="dxa"/>
          <w:left w:w="28" w:type="dxa"/>
          <w:bottom w:w="28" w:type="dxa"/>
          <w:right w:w="28" w:type="dxa"/>
        </w:tblCellMar>
      </w:tblPr>
      <w:tblGrid>
        <w:gridCol w:w="2836"/>
        <w:gridCol w:w="146"/>
        <w:gridCol w:w="946"/>
        <w:gridCol w:w="146"/>
        <w:gridCol w:w="3826"/>
      </w:tblGrid>
      <w:tr>
        <w:trPr/>
        <w:tc>
          <w:tcPr>
            <w:tcW w:w="28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26" w:type="dxa"/>
            <w:tcBorders/>
            <w:shd w:fill="auto" w:val="clear"/>
            <w:vAlign w:val="center"/>
          </w:tcPr>
          <w:p>
            <w:pPr>
              <w:pStyle w:val="TableContents"/>
              <w:spacing w:before="0" w:after="283"/>
              <w:rPr>
                <w:sz w:val="4"/>
                <w:szCs w:val="4"/>
              </w:rPr>
            </w:pPr>
            <w:r>
              <w:rPr>
                <w:sz w:val="4"/>
                <w:szCs w:val="4"/>
              </w:rPr>
            </w:r>
          </w:p>
        </w:tc>
      </w:tr>
      <w:tr>
        <w:trPr/>
        <w:tc>
          <w:tcPr>
            <w:tcW w:w="283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br/>
              <w:t>Title of each class</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Trading</w:t>
              <w:br/>
              <w:t>Symbol(s)</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2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br/>
              <w:t>Name of each exchange on which registered</w:t>
            </w:r>
          </w:p>
        </w:tc>
      </w:tr>
      <w:tr>
        <w:trPr/>
        <w:tc>
          <w:tcPr>
            <w:tcW w:w="28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$0.001 par value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TPST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2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The Nasdaq Stock Market LLC</w:t>
            </w:r>
          </w:p>
        </w:tc>
      </w:tr>
    </w:tbl>
    <w:p>
      <w:pPr>
        <w:pStyle w:val="TextBody"/>
        <w:spacing w:before="24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spacing w:before="1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HorizontalLine"/>
        <w:rPr/>
      </w:pPr>
      <w:r>
        <w:rPr/>
      </w:r>
    </w:p>
    <w:p>
      <w:pPr>
        <w:pStyle w:val="TextBody"/>
        <w:spacing w:before="360" w:after="120"/>
        <w:jc w:val="left"/>
        <w:rPr>
          <w:rFonts w:ascii="Times New Roman;serif" w:hAnsi="Times New Roman;serif"/>
          <w:b/>
          <w:sz w:val="20"/>
        </w:rPr>
      </w:pPr>
      <w:r>
        <w:rPr>
          <w:rFonts w:ascii="Times New Roman;serif" w:hAnsi="Times New Roman;serif"/>
          <w:b/>
          <w:sz w:val="20"/>
        </w:rPr>
        <w:t>Item 2.02 Results of Operations and Financial Condition.</w:t>
      </w:r>
    </w:p>
    <w:p>
      <w:pPr>
        <w:pStyle w:val="TextBody"/>
        <w:spacing w:before="0" w:after="0"/>
        <w:jc w:val="left"/>
        <w:rPr>
          <w:rFonts w:ascii="Times New Roman" w:hAnsi="Times New Roman"/>
          <w:sz w:val="20"/>
        </w:rPr>
      </w:pPr>
      <w:r>
        <w:rPr>
          <w:rFonts w:ascii="Times New Roman;serif" w:hAnsi="Times New Roman;serif"/>
          <w:b w:val="false"/>
          <w:sz w:val="20"/>
        </w:rPr>
        <w:t>On May 10, 2023, Tempest Therapeutics, Inc. (the “Company”) issued a press release announcing its financial results for the quarter ended March 31, 2023. A copy of the Company’s press release dated May 10, 2023, titled “Tempest Reports First Quarter 2022 Financial Results and Provides Corporate Highlights” is attached hereto as Exhibit 99.1 and is incorporated herein by reference.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foregoing information (including the exhibit hereto) is being furnished under “Item 2.02 Results of Operations and Financial Condition”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r>
        <w:rPr>
          <w:rFonts w:ascii="Times New Roman" w:hAnsi="Times New Roman"/>
          <w:sz w:val="20"/>
        </w:rPr>
        <w:t xml:space="preserve"> </w:t>
      </w:r>
    </w:p>
    <w:p>
      <w:pPr>
        <w:pStyle w:val="TextBody"/>
        <w:spacing w:before="360" w:after="120"/>
        <w:jc w:val="left"/>
        <w:rPr>
          <w:rFonts w:ascii="Times New Roman;serif" w:hAnsi="Times New Roman;serif"/>
          <w:b/>
          <w:sz w:val="20"/>
        </w:rPr>
      </w:pPr>
      <w:r>
        <w:rPr>
          <w:rFonts w:ascii="Times New Roman;serif" w:hAnsi="Times New Roman;serif"/>
          <w:b/>
          <w:sz w:val="20"/>
        </w:rPr>
        <w:t>Item 9.01 Financial Statements and Exhibits.</w:t>
      </w:r>
    </w:p>
    <w:p>
      <w:pPr>
        <w:pStyle w:val="TextBody"/>
        <w:spacing w:before="0" w:after="0"/>
        <w:jc w:val="left"/>
        <w:rPr>
          <w:rFonts w:ascii="Times New Roman" w:hAnsi="Times New Roman"/>
          <w:sz w:val="20"/>
        </w:rPr>
      </w:pPr>
      <w:r>
        <w:rPr>
          <w:rFonts w:ascii="Times New Roman;serif" w:hAnsi="Times New Roman;serif"/>
          <w:b w:val="false"/>
          <w:sz w:val="20"/>
        </w:rPr>
        <w:t>(d) Exhibits.</w:t>
      </w:r>
      <w:r>
        <w:rPr>
          <w:rFonts w:ascii="Times New Roman" w:hAnsi="Times New Roman"/>
          <w:sz w:val="20"/>
        </w:rPr>
        <w:t xml:space="preserve"> </w:t>
      </w:r>
    </w:p>
    <w:tbl>
      <w:tblPr>
        <w:tblW w:w="7727" w:type="dxa"/>
        <w:jc w:val="left"/>
        <w:tblInd w:w="0" w:type="dxa"/>
        <w:tblCellMar>
          <w:top w:w="28" w:type="dxa"/>
          <w:left w:w="28" w:type="dxa"/>
          <w:bottom w:w="28" w:type="dxa"/>
          <w:right w:w="28" w:type="dxa"/>
        </w:tblCellMar>
      </w:tblPr>
      <w:tblGrid>
        <w:gridCol w:w="1126"/>
        <w:gridCol w:w="6601"/>
      </w:tblGrid>
      <w:tr>
        <w:trPr/>
        <w:tc>
          <w:tcPr>
            <w:tcW w:w="1126" w:type="dxa"/>
            <w:tcBorders/>
            <w:shd w:fill="auto" w:val="clear"/>
            <w:vAlign w:val="center"/>
          </w:tcPr>
          <w:p>
            <w:pPr>
              <w:pStyle w:val="TableContents"/>
              <w:spacing w:before="0" w:after="283"/>
              <w:rPr>
                <w:sz w:val="4"/>
                <w:szCs w:val="4"/>
              </w:rPr>
            </w:pPr>
            <w:r>
              <w:rPr>
                <w:sz w:val="4"/>
                <w:szCs w:val="4"/>
              </w:rPr>
            </w:r>
          </w:p>
        </w:tc>
        <w:tc>
          <w:tcPr>
            <w:tcW w:w="6601" w:type="dxa"/>
            <w:tcBorders/>
            <w:shd w:fill="auto" w:val="clear"/>
            <w:vAlign w:val="center"/>
          </w:tcPr>
          <w:p>
            <w:pPr>
              <w:pStyle w:val="TableContents"/>
              <w:spacing w:before="0" w:after="283"/>
              <w:rPr>
                <w:sz w:val="4"/>
                <w:szCs w:val="4"/>
              </w:rPr>
            </w:pPr>
            <w:r>
              <w:rPr>
                <w:sz w:val="4"/>
                <w:szCs w:val="4"/>
              </w:rPr>
            </w:r>
          </w:p>
        </w:tc>
      </w:tr>
      <w:tr>
        <w:trPr/>
        <w:tc>
          <w:tcPr>
            <w:tcW w:w="11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Exhibit No.</w:t>
            </w:r>
            <w:r>
              <w:rPr>
                <w:rFonts w:ascii="Times New Roman" w:hAnsi="Times New Roman"/>
                <w:sz w:val="20"/>
              </w:rPr>
              <w:t xml:space="preserve"> </w:t>
            </w:r>
          </w:p>
        </w:tc>
        <w:tc>
          <w:tcPr>
            <w:tcW w:w="66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Description</w:t>
            </w:r>
            <w:r>
              <w:rPr>
                <w:rFonts w:ascii="Times New Roman" w:hAnsi="Times New Roman"/>
                <w:sz w:val="20"/>
              </w:rPr>
              <w:t xml:space="preserve"> </w:t>
            </w:r>
          </w:p>
        </w:tc>
      </w:tr>
      <w:tr>
        <w:trPr/>
        <w:tc>
          <w:tcPr>
            <w:tcW w:w="1126" w:type="dxa"/>
            <w:tcBorders/>
            <w:shd w:fill="auto" w:val="clear"/>
            <w:vAlign w:val="center"/>
          </w:tcPr>
          <w:p>
            <w:pPr>
              <w:pStyle w:val="TableContents"/>
              <w:spacing w:before="0" w:after="283"/>
              <w:ind w:left="0" w:right="0" w:hanging="0"/>
              <w:rPr>
                <w:sz w:val="4"/>
                <w:szCs w:val="4"/>
              </w:rPr>
            </w:pPr>
            <w:r>
              <w:rPr>
                <w:sz w:val="4"/>
                <w:szCs w:val="4"/>
              </w:rPr>
            </w:r>
          </w:p>
        </w:tc>
        <w:tc>
          <w:tcPr>
            <w:tcW w:w="6601" w:type="dxa"/>
            <w:tcBorders/>
            <w:shd w:fill="auto" w:val="clear"/>
            <w:vAlign w:val="center"/>
          </w:tcPr>
          <w:p>
            <w:pPr>
              <w:pStyle w:val="TableContents"/>
              <w:spacing w:before="0" w:after="283"/>
              <w:ind w:left="0" w:right="0" w:hanging="0"/>
              <w:rPr>
                <w:sz w:val="4"/>
                <w:szCs w:val="4"/>
              </w:rPr>
            </w:pPr>
            <w:r>
              <w:rPr>
                <w:sz w:val="4"/>
                <w:szCs w:val="4"/>
              </w:rPr>
            </w:r>
          </w:p>
        </w:tc>
      </w:tr>
      <w:tr>
        <w:trPr/>
        <w:tc>
          <w:tcPr>
            <w:tcW w:w="11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99.1</w:t>
            </w:r>
          </w:p>
        </w:tc>
        <w:tc>
          <w:tcPr>
            <w:tcW w:w="6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tpst-ex99_1.htm">
              <w:r>
                <w:rPr>
                  <w:rStyle w:val="InternetLink"/>
                  <w:rFonts w:ascii="Times New Roman;serif" w:hAnsi="Times New Roman;serif"/>
                  <w:b w:val="false"/>
                  <w:sz w:val="20"/>
                  <w:u w:val="single"/>
                </w:rPr>
                <w:t>Press release dated May 10, 2023</w:t>
              </w:r>
            </w:hyperlink>
          </w:p>
        </w:tc>
      </w:tr>
      <w:tr>
        <w:trPr/>
        <w:tc>
          <w:tcPr>
            <w:tcW w:w="112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60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1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66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187"/>
        <w:jc w:val="center"/>
        <w:rPr>
          <w:rFonts w:ascii="Times New Roman;serif" w:hAnsi="Times New Roman;serif"/>
          <w:b/>
          <w:sz w:val="20"/>
        </w:rPr>
      </w:pPr>
      <w:r>
        <w:rPr>
          <w:rFonts w:ascii="Times New Roman;serif" w:hAnsi="Times New Roman;serif"/>
          <w:b/>
          <w:sz w:val="20"/>
        </w:rPr>
        <w:t>SIGNATURES</w:t>
      </w:r>
    </w:p>
    <w:p>
      <w:pPr>
        <w:pStyle w:val="TextBody"/>
        <w:spacing w:before="0" w:after="187"/>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p>
    <w:tbl>
      <w:tblPr>
        <w:tblW w:w="5584" w:type="dxa"/>
        <w:jc w:val="left"/>
        <w:tblInd w:w="0" w:type="dxa"/>
        <w:tblCellMar>
          <w:top w:w="28" w:type="dxa"/>
          <w:left w:w="28" w:type="dxa"/>
          <w:bottom w:w="28" w:type="dxa"/>
          <w:right w:w="28" w:type="dxa"/>
        </w:tblCellMar>
      </w:tblPr>
      <w:tblGrid>
        <w:gridCol w:w="556"/>
        <w:gridCol w:w="1246"/>
        <w:gridCol w:w="631"/>
        <w:gridCol w:w="3151"/>
      </w:tblGrid>
      <w:tr>
        <w:trPr/>
        <w:tc>
          <w:tcPr>
            <w:tcW w:w="55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151"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51" w:type="dxa"/>
            <w:tcBorders/>
            <w:shd w:fill="auto" w:val="clear"/>
            <w:tcMar>
              <w:top w:w="0" w:type="dxa"/>
              <w:left w:w="0" w:type="dxa"/>
              <w:bottom w:w="0" w:type="dxa"/>
              <w:right w:w="0" w:type="dxa"/>
            </w:tcMar>
            <w:vAlign w:val="center"/>
          </w:tcPr>
          <w:p>
            <w:pPr>
              <w:pStyle w:val="TableContents"/>
              <w:spacing w:before="86" w:after="86"/>
              <w:ind w:left="0" w:right="0" w:hanging="0"/>
              <w:jc w:val="left"/>
              <w:rPr>
                <w:rFonts w:ascii="Times New Roman;serif" w:hAnsi="Times New Roman;serif"/>
                <w:b/>
                <w:sz w:val="20"/>
              </w:rPr>
            </w:pPr>
            <w:r>
              <w:rPr>
                <w:rFonts w:ascii="Times New Roman;serif" w:hAnsi="Times New Roman;serif"/>
                <w:b/>
                <w:sz w:val="20"/>
              </w:rPr>
              <w:t>TEMPEST THERAPEUTICS, INC.</w:t>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556" w:type="dxa"/>
            <w:tcBorders/>
            <w:shd w:fill="auto" w:val="clear"/>
            <w:tcMar>
              <w:top w:w="0" w:type="dxa"/>
              <w:left w:w="0" w:type="dxa"/>
              <w:bottom w:w="0" w:type="dxa"/>
              <w:right w:w="0" w:type="dxa"/>
            </w:tcMar>
            <w:vAlign w:val="center"/>
          </w:tcPr>
          <w:p>
            <w:pPr>
              <w:pStyle w:val="TableContents"/>
              <w:spacing w:before="86"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246" w:type="dxa"/>
            <w:tcBorders/>
            <w:shd w:fill="auto" w:val="clear"/>
            <w:tcMar>
              <w:top w:w="0" w:type="dxa"/>
              <w:left w:w="0" w:type="dxa"/>
              <w:bottom w:w="0" w:type="dxa"/>
              <w:right w:w="0" w:type="dxa"/>
            </w:tcMar>
            <w:vAlign w:val="center"/>
          </w:tcPr>
          <w:p>
            <w:pPr>
              <w:pStyle w:val="TableContents"/>
              <w:spacing w:before="86" w:after="0"/>
              <w:ind w:left="0" w:right="0" w:hanging="0"/>
              <w:jc w:val="left"/>
              <w:rPr>
                <w:rFonts w:ascii="Times New Roman;serif" w:hAnsi="Times New Roman;serif"/>
                <w:b w:val="false"/>
                <w:sz w:val="20"/>
              </w:rPr>
            </w:pPr>
            <w:r>
              <w:rPr>
                <w:rFonts w:ascii="Times New Roman;serif" w:hAnsi="Times New Roman;serif"/>
                <w:b w:val="false"/>
                <w:sz w:val="20"/>
              </w:rPr>
              <w:t>May 10, 2023</w:t>
            </w:r>
          </w:p>
        </w:tc>
        <w:tc>
          <w:tcPr>
            <w:tcW w:w="631" w:type="dxa"/>
            <w:tcBorders/>
            <w:shd w:fill="auto" w:val="clear"/>
            <w:tcMar>
              <w:top w:w="0" w:type="dxa"/>
              <w:left w:w="0" w:type="dxa"/>
              <w:bottom w:w="0" w:type="dxa"/>
              <w:right w:w="0" w:type="dxa"/>
            </w:tcMar>
            <w:vAlign w:val="center"/>
          </w:tcPr>
          <w:p>
            <w:pPr>
              <w:pStyle w:val="TableContents"/>
              <w:spacing w:before="86"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3151" w:type="dxa"/>
            <w:tcBorders>
              <w:bottom w:val="single" w:sz="2" w:space="0" w:color="000000"/>
            </w:tcBorders>
            <w:shd w:fill="auto" w:val="clear"/>
            <w:tcMar>
              <w:top w:w="0" w:type="dxa"/>
              <w:left w:w="0" w:type="dxa"/>
              <w:right w:w="0" w:type="dxa"/>
            </w:tcMar>
            <w:vAlign w:val="center"/>
          </w:tcPr>
          <w:p>
            <w:pPr>
              <w:pStyle w:val="TableContents"/>
              <w:spacing w:before="86" w:after="0"/>
              <w:ind w:left="0" w:right="0" w:hanging="0"/>
              <w:jc w:val="left"/>
              <w:rPr>
                <w:rFonts w:ascii="Times New Roman;serif" w:hAnsi="Times New Roman;serif"/>
                <w:b w:val="false"/>
                <w:sz w:val="20"/>
              </w:rPr>
            </w:pPr>
            <w:r>
              <w:rPr>
                <w:rFonts w:ascii="Times New Roman;serif" w:hAnsi="Times New Roman;serif"/>
                <w:b w:val="false"/>
                <w:sz w:val="20"/>
              </w:rPr>
              <w:t>/s/ Stephen Brady</w:t>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31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Stephen Brady</w:t>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3151" w:type="dxa"/>
            <w:tcBorders/>
            <w:shd w:fill="auto" w:val="clear"/>
            <w:tcMar>
              <w:top w:w="0" w:type="dxa"/>
              <w:left w:w="0" w:type="dxa"/>
              <w:bottom w:w="0" w:type="dxa"/>
              <w:right w:w="0" w:type="dxa"/>
            </w:tcMar>
            <w:vAlign w:val="center"/>
          </w:tcPr>
          <w:p>
            <w:pPr>
              <w:pStyle w:val="TableContents"/>
              <w:spacing w:before="14" w:after="187"/>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2"/>
        </w:rPr>
      </w:pPr>
      <w:bookmarkStart w:id="2" w:name="tpst-ex99_1.htm"/>
      <w:bookmarkStart w:id="3" w:name="kstpstex99_1"/>
      <w:bookmarkEnd w:id="2"/>
      <w:bookmarkEnd w:id="3"/>
      <w:r>
        <w:rPr>
          <w:rFonts w:ascii="Times New Roman;serif" w:hAnsi="Times New Roman;serif"/>
          <w:b/>
          <w:sz w:val="22"/>
        </w:rPr>
        <w:t>Exhibit 99.1</w:t>
      </w:r>
    </w:p>
    <w:p>
      <w:pPr>
        <w:pStyle w:val="TextBody"/>
        <w:spacing w:before="0" w:after="0"/>
        <w:jc w:val="center"/>
        <w:rPr/>
      </w:pPr>
      <w:r>
        <w:rPr/>
        <w:drawing>
          <wp:inline distT="0" distB="0" distL="0" distR="0">
            <wp:extent cx="3524250"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24250" cy="942975"/>
                    </a:xfrm>
                    <a:prstGeom prst="rect">
                      <a:avLst/>
                    </a:prstGeom>
                  </pic:spPr>
                </pic:pic>
              </a:graphicData>
            </a:graphic>
          </wp:inline>
        </w:drawing>
      </w:r>
      <w:r>
        <w:rPr/>
        <w:t xml:space="preserve"> </w:t>
      </w:r>
    </w:p>
    <w:p>
      <w:pPr>
        <w:pStyle w:val="TextBody"/>
        <w:spacing w:before="0" w:after="0"/>
        <w:jc w:val="center"/>
        <w:rPr/>
      </w:pPr>
      <w:r>
        <w:rPr/>
        <w:t> </w:t>
      </w:r>
    </w:p>
    <w:p>
      <w:pPr>
        <w:pStyle w:val="TextBody"/>
        <w:spacing w:before="0" w:after="60"/>
        <w:jc w:val="center"/>
        <w:rPr>
          <w:rFonts w:ascii="Arial;sans-serif" w:hAnsi="Arial;sans-serif"/>
          <w:b/>
          <w:sz w:val="26"/>
        </w:rPr>
      </w:pPr>
      <w:r>
        <w:rPr>
          <w:rFonts w:ascii="Arial;sans-serif" w:hAnsi="Arial;sans-serif"/>
          <w:b/>
          <w:sz w:val="26"/>
        </w:rPr>
        <w:t>Tempest Reports First Quarter 2023 Financial Results and</w:t>
      </w:r>
    </w:p>
    <w:p>
      <w:pPr>
        <w:pStyle w:val="TextBody"/>
        <w:spacing w:before="0" w:after="120"/>
        <w:jc w:val="center"/>
        <w:rPr>
          <w:rFonts w:ascii="Arial;sans-serif" w:hAnsi="Arial;sans-serif"/>
          <w:b/>
          <w:sz w:val="26"/>
        </w:rPr>
      </w:pPr>
      <w:r>
        <w:rPr>
          <w:rFonts w:ascii="Arial;sans-serif" w:hAnsi="Arial;sans-serif"/>
          <w:b/>
          <w:sz w:val="26"/>
        </w:rPr>
        <w:t>Provides Business Update</w:t>
      </w:r>
    </w:p>
    <w:p>
      <w:pPr>
        <w:pStyle w:val="TextBody"/>
        <w:spacing w:before="120" w:after="160"/>
        <w:jc w:val="both"/>
        <w:rPr/>
      </w:pPr>
      <w:r>
        <w:rPr/>
        <w:t> </w:t>
      </w:r>
    </w:p>
    <w:p>
      <w:pPr>
        <w:pStyle w:val="TextBody"/>
        <w:spacing w:before="120" w:after="160"/>
        <w:jc w:val="both"/>
        <w:rPr>
          <w:rFonts w:ascii="Times New Roman" w:hAnsi="Times New Roman"/>
          <w:sz w:val="20"/>
        </w:rPr>
      </w:pPr>
      <w:r>
        <w:rPr>
          <w:rFonts w:ascii="Arial;sans-serif" w:hAnsi="Arial;sans-serif"/>
          <w:b/>
          <w:sz w:val="24"/>
        </w:rPr>
        <w:t>Brisbane, CA</w:t>
      </w:r>
      <w:r>
        <w:rPr>
          <w:rFonts w:ascii="Arial;sans-serif" w:hAnsi="Arial;sans-serif"/>
          <w:b w:val="false"/>
          <w:sz w:val="24"/>
        </w:rPr>
        <w:t xml:space="preserve">, May 10, 2023 </w:t>
      </w:r>
      <w:r>
        <w:rPr>
          <w:rFonts w:ascii="Times New Roman" w:hAnsi="Times New Roman"/>
          <w:sz w:val="20"/>
        </w:rPr>
        <w:t xml:space="preserve">– </w:t>
      </w:r>
      <w:r>
        <w:rPr>
          <w:rFonts w:ascii="Arial;sans-serif" w:hAnsi="Arial;sans-serif"/>
          <w:b w:val="false"/>
          <w:sz w:val="24"/>
        </w:rPr>
        <w:t>Tempest Therapeutics, Inc. (Nasdaq: TPST), a clinical-stage oncology company developing first-in-class</w:t>
      </w:r>
      <w:r>
        <w:rPr>
          <w:rFonts w:ascii="Arial;sans-serif" w:hAnsi="Arial;sans-serif"/>
          <w:b w:val="false"/>
          <w:sz w:val="16"/>
        </w:rPr>
        <w:t>i</w:t>
      </w:r>
      <w:r>
        <w:rPr>
          <w:rFonts w:ascii="Times New Roman" w:hAnsi="Times New Roman"/>
          <w:sz w:val="20"/>
        </w:rPr>
        <w:t xml:space="preserve"> </w:t>
      </w:r>
      <w:r>
        <w:rPr>
          <w:rFonts w:ascii="Arial;sans-serif" w:hAnsi="Arial;sans-serif"/>
          <w:b w:val="false"/>
          <w:sz w:val="24"/>
        </w:rPr>
        <w:t>therapeutics that combine both targeted and immune-mediated mechanisms, today reported financial results for the quarter ended March 31, 2023 and provided a corporate update.</w:t>
      </w:r>
    </w:p>
    <w:p>
      <w:pPr>
        <w:pStyle w:val="TextBody"/>
        <w:spacing w:before="0" w:after="160"/>
        <w:jc w:val="both"/>
        <w:rPr/>
      </w:pPr>
      <w:r>
        <w:rPr/>
        <w:t>“</w:t>
      </w:r>
      <w:r>
        <w:rPr>
          <w:rFonts w:ascii="Arial;sans-serif" w:hAnsi="Arial;sans-serif"/>
          <w:b w:val="false"/>
          <w:sz w:val="24"/>
        </w:rPr>
        <w:t>The first few months of 2023 set the pace for what we believe will be a transformative year for Tempest,” said Stephen Brady, chief executive officer of Tempest. “Recently, we announced exciting early data showing that TPST-1120, the company’s PPAR</w:t>
      </w:r>
      <w:r>
        <w:rPr>
          <w:rFonts w:ascii="Times New Roman" w:hAnsi="Times New Roman"/>
          <w:sz w:val="20"/>
        </w:rPr>
        <w:t xml:space="preserve">⍺ </w:t>
      </w:r>
      <w:r>
        <w:rPr>
          <w:rFonts w:ascii="Arial;sans-serif" w:hAnsi="Arial;sans-serif"/>
          <w:b w:val="false"/>
          <w:sz w:val="24"/>
        </w:rPr>
        <w:t>antagonist, combined with standard of care in first-line HCC patients demonstrated clinically meaningful improvement in multiple categories, including RECIST responses, over standard of care alone in an ongoing global randomized Phase 1b/2 study. Additionally, at AACR, we presented data highlighting new translational biomarker findings for TPST-1120, as well as the first-of-its-kind co-crystal structures of human TREX1 enzyme and a TREX1 inhibitor, which we believe is an important step forward towards systemic modulation of the STING pathway. We are excited to continue this momentum with multiple potential catalysts this year and in 2024, including more later-stage and biomarker data from the HCC study with TPST-1120.”</w:t>
      </w:r>
    </w:p>
    <w:p>
      <w:pPr>
        <w:pStyle w:val="TextBody"/>
        <w:spacing w:before="0" w:after="120"/>
        <w:jc w:val="left"/>
        <w:rPr>
          <w:rFonts w:ascii="Arial;sans-serif" w:hAnsi="Arial;sans-serif"/>
          <w:b/>
          <w:sz w:val="24"/>
        </w:rPr>
      </w:pPr>
      <w:r>
        <w:rPr>
          <w:rFonts w:ascii="Arial;sans-serif" w:hAnsi="Arial;sans-serif"/>
          <w:b/>
          <w:sz w:val="24"/>
        </w:rPr>
        <w:t>Recent Highlights</w:t>
      </w:r>
    </w:p>
    <w:p>
      <w:pPr>
        <w:pStyle w:val="TextBody"/>
        <w:spacing w:before="0" w:after="120"/>
        <w:jc w:val="both"/>
        <w:rPr/>
      </w:pPr>
      <w:r>
        <w:rPr/>
        <w:t>•</w:t>
      </w:r>
    </w:p>
    <w:p>
      <w:pPr>
        <w:pStyle w:val="TextBody"/>
        <w:spacing w:before="0" w:after="120"/>
        <w:jc w:val="both"/>
        <w:rPr/>
      </w:pPr>
      <w:r>
        <w:rPr>
          <w:rFonts w:ascii="Arial;sans-serif" w:hAnsi="Arial;sans-serif"/>
          <w:b/>
          <w:sz w:val="24"/>
        </w:rPr>
        <w:t>TPST-1120</w:t>
      </w:r>
      <w:r>
        <w:rPr/>
        <w:t xml:space="preserve"> </w:t>
      </w:r>
      <w:r>
        <w:rPr>
          <w:rFonts w:ascii="Arial;sans-serif" w:hAnsi="Arial;sans-serif"/>
          <w:b w:val="false"/>
          <w:sz w:val="24"/>
        </w:rPr>
        <w:t xml:space="preserve">(clinical PPARα antagonist): (i) presented new biomarker data from Phase 1 patients at the 2023 </w:t>
      </w:r>
      <w:r>
        <w:rPr>
          <w:rFonts w:ascii="Roboto;sans-serif" w:hAnsi="Roboto;sans-serif"/>
          <w:b w:val="false"/>
          <w:sz w:val="24"/>
        </w:rPr>
        <w:t>American Association for Cancer Research (AACR) Annual Meeting and Society for Immunotherapy of Cancer (SITC) 2023 Spring Scientific Meeting;</w:t>
      </w:r>
      <w:r>
        <w:rPr/>
        <w:t xml:space="preserve"> </w:t>
      </w:r>
      <w:r>
        <w:rPr>
          <w:rFonts w:ascii="Arial;sans-serif" w:hAnsi="Arial;sans-serif"/>
          <w:b w:val="false"/>
          <w:sz w:val="24"/>
        </w:rPr>
        <w:t>(ii) disclosed the completion of enrollment in the global randomized first-line Phase 1b/2 study in patients with hepatocellular carcinoma (HCC), under a collaboration with F. Hoffmann La Roche (Roche); and (iii) announced positive early results from the randomized HCC study, demonstrating clinically meaningful improvements in multiple categories and a favorable safety profile when combined with the standard-of-care regimen of atezolizumab and bevacizumab, compared head-to-head to standard-of-care alone, including:</w:t>
      </w:r>
    </w:p>
    <w:p>
      <w:pPr>
        <w:pStyle w:val="TextBody"/>
        <w:spacing w:before="0" w:after="0"/>
        <w:jc w:val="left"/>
        <w:rPr/>
      </w:pPr>
      <w:r>
        <w:rPr/>
        <w:t> </w:t>
      </w:r>
    </w:p>
    <w:p>
      <w:pPr>
        <w:pStyle w:val="TextBody"/>
        <w:spacing w:before="0" w:after="0"/>
        <w:jc w:val="left"/>
        <w:rPr>
          <w:rFonts w:ascii="Arial;sans-serif" w:hAnsi="Arial;sans-serif"/>
          <w:b w:val="false"/>
          <w:sz w:val="14"/>
        </w:rPr>
      </w:pPr>
      <w:r>
        <w:rPr>
          <w:rFonts w:ascii="Arial;sans-serif" w:hAnsi="Arial;sans-serif"/>
          <w:b w:val="false"/>
          <w:sz w:val="14"/>
        </w:rPr>
        <w:t>285820715 v1</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120"/>
        <w:jc w:val="both"/>
        <w:rPr>
          <w:rFonts w:ascii="Times New Roman" w:hAnsi="Times New Roman"/>
          <w:b w:val="false"/>
          <w:sz w:val="24"/>
        </w:rPr>
      </w:pPr>
      <w:r>
        <w:rPr>
          <w:rFonts w:ascii="Times New Roman" w:hAnsi="Times New Roman"/>
          <w:b w:val="false"/>
          <w:sz w:val="24"/>
        </w:rPr>
        <w:t>o</w:t>
      </w:r>
    </w:p>
    <w:p>
      <w:pPr>
        <w:pStyle w:val="TextBody"/>
        <w:spacing w:before="0" w:after="120"/>
        <w:jc w:val="both"/>
        <w:rPr>
          <w:rFonts w:ascii="Arial;sans-serif" w:hAnsi="Arial;sans-serif"/>
          <w:b w:val="false"/>
          <w:sz w:val="24"/>
        </w:rPr>
      </w:pPr>
      <w:r>
        <w:rPr>
          <w:rFonts w:ascii="Arial;sans-serif" w:hAnsi="Arial;sans-serif"/>
          <w:b w:val="false"/>
          <w:sz w:val="24"/>
        </w:rPr>
        <w:t>Unconfirmed responses of 30% for the TPST-1120 triplet arm (12/40) vs. 17.2% for the active control arm (5/29), demonstrating a 74.4% relative improvement in objective response rate (ORR);</w:t>
      </w:r>
    </w:p>
    <w:p>
      <w:pPr>
        <w:pStyle w:val="TextBody"/>
        <w:spacing w:before="0" w:after="120"/>
        <w:jc w:val="both"/>
        <w:rPr>
          <w:rFonts w:ascii="Times New Roman" w:hAnsi="Times New Roman"/>
          <w:b w:val="false"/>
          <w:sz w:val="24"/>
        </w:rPr>
      </w:pPr>
      <w:r>
        <w:rPr>
          <w:rFonts w:ascii="Times New Roman" w:hAnsi="Times New Roman"/>
          <w:b w:val="false"/>
          <w:sz w:val="24"/>
        </w:rPr>
        <w:t>o</w:t>
      </w:r>
    </w:p>
    <w:p>
      <w:pPr>
        <w:pStyle w:val="TextBody"/>
        <w:spacing w:before="0" w:after="120"/>
        <w:jc w:val="both"/>
        <w:rPr>
          <w:rFonts w:ascii="Arial;sans-serif" w:hAnsi="Arial;sans-serif"/>
          <w:b w:val="false"/>
          <w:sz w:val="24"/>
        </w:rPr>
      </w:pPr>
      <w:r>
        <w:rPr>
          <w:rFonts w:ascii="Arial;sans-serif" w:hAnsi="Arial;sans-serif"/>
          <w:b w:val="false"/>
          <w:sz w:val="24"/>
        </w:rPr>
        <w:t>Confirmed responses of 17.5% for the TPST-1120 triplet arm (7/40) vs. 10.3% for the active control arm (3/29), demonstrating a 69.9% relative improvement in confirmed ORR;</w:t>
      </w:r>
    </w:p>
    <w:p>
      <w:pPr>
        <w:pStyle w:val="TextBody"/>
        <w:spacing w:before="0" w:after="120"/>
        <w:jc w:val="both"/>
        <w:rPr>
          <w:rFonts w:ascii="Times New Roman" w:hAnsi="Times New Roman"/>
          <w:b w:val="false"/>
          <w:sz w:val="24"/>
        </w:rPr>
      </w:pPr>
      <w:r>
        <w:rPr>
          <w:rFonts w:ascii="Times New Roman" w:hAnsi="Times New Roman"/>
          <w:b w:val="false"/>
          <w:sz w:val="24"/>
        </w:rPr>
        <w:t>o</w:t>
      </w:r>
    </w:p>
    <w:p>
      <w:pPr>
        <w:pStyle w:val="TextBody"/>
        <w:spacing w:before="0" w:after="120"/>
        <w:jc w:val="both"/>
        <w:rPr>
          <w:rFonts w:ascii="Arial;sans-serif" w:hAnsi="Arial;sans-serif"/>
          <w:b w:val="false"/>
          <w:sz w:val="24"/>
        </w:rPr>
      </w:pPr>
      <w:r>
        <w:rPr>
          <w:rFonts w:ascii="Arial;sans-serif" w:hAnsi="Arial;sans-serif"/>
          <w:b w:val="false"/>
          <w:sz w:val="24"/>
        </w:rPr>
        <w:t>47.5% (19/40) of the TPST-1120 arm patients are on treatment vs. 23.3% (7/30) in the control arm; and</w:t>
      </w:r>
    </w:p>
    <w:p>
      <w:pPr>
        <w:pStyle w:val="TextBody"/>
        <w:spacing w:before="0" w:after="120"/>
        <w:jc w:val="both"/>
        <w:rPr>
          <w:rFonts w:ascii="Times New Roman" w:hAnsi="Times New Roman"/>
          <w:b w:val="false"/>
          <w:sz w:val="24"/>
        </w:rPr>
      </w:pPr>
      <w:r>
        <w:rPr>
          <w:rFonts w:ascii="Times New Roman" w:hAnsi="Times New Roman"/>
          <w:b w:val="false"/>
          <w:sz w:val="24"/>
        </w:rPr>
        <w:t>o</w:t>
      </w:r>
    </w:p>
    <w:p>
      <w:pPr>
        <w:pStyle w:val="TextBody"/>
        <w:spacing w:before="0" w:after="120"/>
        <w:jc w:val="both"/>
        <w:rPr/>
      </w:pPr>
      <w:r>
        <w:rPr>
          <w:rFonts w:ascii="Arial;sans-serif" w:hAnsi="Arial;sans-serif"/>
          <w:b w:val="false"/>
          <w:sz w:val="24"/>
        </w:rPr>
        <w:t>80% (32/40) of the TPST-1120 arm patients are on study vs. 50% (15/30) in the control.</w:t>
      </w:r>
      <w:r>
        <w:rPr>
          <w:rFonts w:ascii="Arial;sans-serif" w:hAnsi="Arial;sans-serif"/>
          <w:b w:val="false"/>
          <w:sz w:val="16"/>
        </w:rPr>
        <w:t>ii</w:t>
      </w:r>
      <w:r>
        <w:rPr/>
        <w:t xml:space="preserve"> </w:t>
      </w:r>
    </w:p>
    <w:p>
      <w:pPr>
        <w:pStyle w:val="TextBody"/>
        <w:spacing w:before="0" w:after="120"/>
        <w:jc w:val="both"/>
        <w:rPr/>
      </w:pPr>
      <w:r>
        <w:rPr/>
        <w:t>•</w:t>
      </w:r>
    </w:p>
    <w:p>
      <w:pPr>
        <w:pStyle w:val="TextBody"/>
        <w:spacing w:before="0" w:after="120"/>
        <w:jc w:val="both"/>
        <w:rPr/>
      </w:pPr>
      <w:r>
        <w:rPr>
          <w:rFonts w:ascii="Arial;sans-serif" w:hAnsi="Arial;sans-serif"/>
          <w:b/>
          <w:sz w:val="24"/>
        </w:rPr>
        <w:t>TPST-1495</w:t>
      </w:r>
      <w:r>
        <w:rPr/>
        <w:t xml:space="preserve"> </w:t>
      </w:r>
      <w:r>
        <w:rPr>
          <w:rFonts w:ascii="Arial;sans-serif" w:hAnsi="Arial;sans-serif"/>
          <w:b w:val="false"/>
          <w:sz w:val="24"/>
        </w:rPr>
        <w:t>(clinical dual EP2/4 prostaglandin receptor antagonist): (i) continued enrollment of a study evaluating combination dose and schedule optimization with the anti-PD-1 checkpoint inhibitor, pembrolizumab; and (ii) enrolled first patient in an endometrial cancer-specific arm investigating the two highest doses of TPST-1495 in combination with pembrolizumab.</w:t>
      </w:r>
    </w:p>
    <w:p>
      <w:pPr>
        <w:pStyle w:val="TextBody"/>
        <w:spacing w:before="0" w:after="120"/>
        <w:jc w:val="both"/>
        <w:rPr/>
      </w:pPr>
      <w:r>
        <w:rPr/>
        <w:t>•</w:t>
      </w:r>
    </w:p>
    <w:p>
      <w:pPr>
        <w:pStyle w:val="TextBody"/>
        <w:spacing w:before="0" w:after="120"/>
        <w:jc w:val="both"/>
        <w:rPr/>
      </w:pPr>
      <w:r>
        <w:rPr>
          <w:rFonts w:ascii="Arial;sans-serif" w:hAnsi="Arial;sans-serif"/>
          <w:b/>
          <w:sz w:val="24"/>
        </w:rPr>
        <w:t xml:space="preserve">TREX1 Inhibitor </w:t>
      </w:r>
      <w:r>
        <w:rPr>
          <w:rFonts w:ascii="Arial;sans-serif" w:hAnsi="Arial;sans-serif"/>
          <w:b w:val="false"/>
          <w:sz w:val="24"/>
        </w:rPr>
        <w:t xml:space="preserve">(preclinical tumor-selective STING pathway activator): presented data, including </w:t>
      </w:r>
      <w:r>
        <w:rPr>
          <w:rFonts w:ascii="Roboto;sans-serif" w:hAnsi="Roboto;sans-serif"/>
          <w:b w:val="false"/>
          <w:sz w:val="24"/>
        </w:rPr>
        <w:t xml:space="preserve">human TREX1 enzyme—TREX1 inhibitor X-ray co-crystal structures, </w:t>
      </w:r>
      <w:r>
        <w:rPr>
          <w:rFonts w:ascii="Arial;sans-serif" w:hAnsi="Arial;sans-serif"/>
          <w:b w:val="false"/>
          <w:sz w:val="24"/>
        </w:rPr>
        <w:t>at the 2023 AACR Annual Meeting.</w:t>
      </w:r>
    </w:p>
    <w:p>
      <w:pPr>
        <w:pStyle w:val="TextBody"/>
        <w:spacing w:before="0" w:after="120"/>
        <w:jc w:val="both"/>
        <w:rPr>
          <w:rFonts w:ascii="Times New Roman" w:hAnsi="Times New Roman"/>
          <w:sz w:val="20"/>
        </w:rPr>
      </w:pPr>
      <w:r>
        <w:rPr>
          <w:rFonts w:ascii="Arial;sans-serif" w:hAnsi="Arial;sans-serif"/>
          <w:b/>
          <w:sz w:val="24"/>
        </w:rPr>
        <w:t>Potential Upcoming Milestones</w:t>
      </w:r>
      <w:r>
        <w:rPr>
          <w:rFonts w:ascii="Times New Roman" w:hAnsi="Times New Roman"/>
          <w:sz w:val="20"/>
        </w:rPr>
        <w:t xml:space="preserve"> </w:t>
      </w:r>
    </w:p>
    <w:p>
      <w:pPr>
        <w:pStyle w:val="TextBody"/>
        <w:spacing w:before="0" w:after="120"/>
        <w:jc w:val="both"/>
        <w:rPr/>
      </w:pPr>
      <w:r>
        <w:rPr/>
        <w:t>•</w:t>
      </w:r>
    </w:p>
    <w:p>
      <w:pPr>
        <w:pStyle w:val="TextBody"/>
        <w:spacing w:before="0" w:after="120"/>
        <w:jc w:val="both"/>
        <w:rPr/>
      </w:pPr>
      <w:r>
        <w:rPr>
          <w:rFonts w:ascii="Arial;sans-serif" w:hAnsi="Arial;sans-serif"/>
          <w:b/>
          <w:sz w:val="24"/>
        </w:rPr>
        <w:t xml:space="preserve">TPST-1120 </w:t>
      </w:r>
      <w:r>
        <w:rPr>
          <w:rFonts w:ascii="Arial;sans-serif" w:hAnsi="Arial;sans-serif"/>
          <w:b w:val="false"/>
          <w:sz w:val="24"/>
        </w:rPr>
        <w:t xml:space="preserve">(clinical PPARα antagonist): we expect to receive updated data from the ongoing global randomized first-line Phase 1b/2 study in patients with HCC from Roche. </w:t>
      </w:r>
    </w:p>
    <w:p>
      <w:pPr>
        <w:pStyle w:val="TextBody"/>
        <w:spacing w:before="0" w:after="120"/>
        <w:jc w:val="both"/>
        <w:rPr/>
      </w:pPr>
      <w:r>
        <w:rPr/>
        <w:t>•</w:t>
      </w:r>
    </w:p>
    <w:p>
      <w:pPr>
        <w:pStyle w:val="TextBody"/>
        <w:spacing w:before="0" w:after="120"/>
        <w:jc w:val="both"/>
        <w:rPr/>
      </w:pPr>
      <w:r>
        <w:rPr>
          <w:rFonts w:ascii="Arial;sans-serif" w:hAnsi="Arial;sans-serif"/>
          <w:b/>
          <w:sz w:val="24"/>
        </w:rPr>
        <w:t>TPST-1495</w:t>
      </w:r>
      <w:r>
        <w:rPr/>
        <w:t xml:space="preserve"> </w:t>
      </w:r>
      <w:r>
        <w:rPr>
          <w:rFonts w:ascii="Arial;sans-serif" w:hAnsi="Arial;sans-serif"/>
          <w:b w:val="false"/>
          <w:sz w:val="24"/>
        </w:rPr>
        <w:t>(clinical dual EP2/4 prostaglandin receptor antagonist): we plan to report data from (i) the Phase 1 dose and schedule optimization trial studying monotherapy and combination therapy with an anti-PD1 therapy, pembrolizumab, at the 2023 American Society of Clinical Oncology (ASCO) Annual Meeting, and (ii) a separate combination arm at the two highest TPST-1495 doses in patients with advanced endometrial cancer in 2024.</w:t>
      </w:r>
    </w:p>
    <w:p>
      <w:pPr>
        <w:pStyle w:val="TextBody"/>
        <w:spacing w:before="0" w:after="120"/>
        <w:jc w:val="both"/>
        <w:rPr/>
      </w:pPr>
      <w:r>
        <w:rPr/>
        <w:t>•</w:t>
      </w:r>
    </w:p>
    <w:p>
      <w:pPr>
        <w:pStyle w:val="TextBody"/>
        <w:spacing w:before="0" w:after="120"/>
        <w:jc w:val="both"/>
        <w:rPr/>
      </w:pPr>
      <w:r>
        <w:rPr>
          <w:rFonts w:ascii="Arial;sans-serif" w:hAnsi="Arial;sans-serif"/>
          <w:b/>
          <w:sz w:val="24"/>
        </w:rPr>
        <w:t>TREX1 Inhibitor</w:t>
      </w:r>
      <w:r>
        <w:rPr/>
        <w:t xml:space="preserve"> </w:t>
      </w:r>
      <w:r>
        <w:rPr>
          <w:rFonts w:ascii="Arial;sans-serif" w:hAnsi="Arial;sans-serif"/>
          <w:b w:val="false"/>
          <w:sz w:val="24"/>
        </w:rPr>
        <w:t>(preclinical tumor-selective STING pathway activator): we expect to advance new proprietary small molecule series TREX1 inhibitors generated through insights resulting from human TREX1-inhibitor co-crystal structures.</w:t>
      </w:r>
      <w:r>
        <w:rPr/>
        <w:t xml:space="preserve"> </w:t>
      </w:r>
    </w:p>
    <w:p>
      <w:pPr>
        <w:pStyle w:val="TextBody"/>
        <w:spacing w:before="0" w:after="120"/>
        <w:jc w:val="left"/>
        <w:rPr>
          <w:rFonts w:ascii="Arial;sans-serif" w:hAnsi="Arial;sans-serif"/>
          <w:b/>
          <w:sz w:val="24"/>
        </w:rPr>
      </w:pPr>
      <w:r>
        <w:rPr>
          <w:rFonts w:ascii="Arial;sans-serif" w:hAnsi="Arial;sans-serif"/>
          <w:b/>
          <w:sz w:val="24"/>
        </w:rPr>
        <w:t>Financial Results</w:t>
      </w:r>
    </w:p>
    <w:p>
      <w:pPr>
        <w:pStyle w:val="TextBody"/>
        <w:spacing w:before="0" w:after="120"/>
        <w:jc w:val="both"/>
        <w:rPr>
          <w:rFonts w:ascii="Arial;sans-serif" w:hAnsi="Arial;sans-serif"/>
          <w:b w:val="false"/>
          <w:sz w:val="24"/>
          <w:u w:val="single"/>
        </w:rPr>
      </w:pPr>
      <w:r>
        <w:rPr>
          <w:rFonts w:ascii="Arial;sans-serif" w:hAnsi="Arial;sans-serif"/>
          <w:b w:val="false"/>
          <w:sz w:val="24"/>
          <w:u w:val="single"/>
        </w:rPr>
        <w:t>First Quarter 2023</w:t>
      </w:r>
    </w:p>
    <w:p>
      <w:pPr>
        <w:pStyle w:val="TextBody"/>
        <w:spacing w:before="0" w:after="0"/>
        <w:jc w:val="both"/>
        <w:rPr/>
      </w:pPr>
      <w:r>
        <w:rPr/>
        <w:t>•</w:t>
      </w:r>
    </w:p>
    <w:p>
      <w:pPr>
        <w:pStyle w:val="TextBody"/>
        <w:jc w:val="both"/>
        <w:rPr>
          <w:rFonts w:ascii="Arial;sans-serif" w:hAnsi="Arial;sans-serif"/>
          <w:b w:val="false"/>
          <w:sz w:val="24"/>
        </w:rPr>
      </w:pPr>
      <w:r>
        <w:rPr>
          <w:rFonts w:ascii="Arial;sans-serif" w:hAnsi="Arial;sans-serif"/>
          <w:b w:val="false"/>
          <w:sz w:val="24"/>
        </w:rPr>
        <w:t xml:space="preserve">Tempest ended the first quarter with $22.9 million in cash and cash equivalents, compared to $31.2 million on December 31, 2022. </w:t>
      </w:r>
    </w:p>
    <w:p>
      <w:pPr>
        <w:pStyle w:val="TextBody"/>
        <w:spacing w:before="0" w:after="0"/>
        <w:jc w:val="left"/>
        <w:rPr/>
      </w:pPr>
      <w:r>
        <w:rPr/>
        <w:t> </w:t>
      </w:r>
    </w:p>
    <w:p>
      <w:pPr>
        <w:pStyle w:val="TextBody"/>
        <w:spacing w:before="0" w:after="0"/>
        <w:jc w:val="left"/>
        <w:rPr>
          <w:rFonts w:ascii="Arial;sans-serif" w:hAnsi="Arial;sans-serif"/>
          <w:b w:val="false"/>
          <w:sz w:val="14"/>
        </w:rPr>
      </w:pPr>
      <w:r>
        <w:rPr>
          <w:rFonts w:ascii="Arial;sans-serif" w:hAnsi="Arial;sans-serif"/>
          <w:b w:val="false"/>
          <w:sz w:val="14"/>
        </w:rPr>
        <w:t>285820715 v1</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0"/>
        <w:jc w:val="both"/>
        <w:rPr/>
      </w:pPr>
      <w:r>
        <w:rPr/>
        <w:t>•</w:t>
      </w:r>
    </w:p>
    <w:p>
      <w:pPr>
        <w:pStyle w:val="TextBody"/>
        <w:spacing w:before="0" w:after="0"/>
        <w:jc w:val="both"/>
        <w:rPr>
          <w:rFonts w:ascii="Arial;sans-serif" w:hAnsi="Arial;sans-serif"/>
          <w:b w:val="false"/>
          <w:sz w:val="24"/>
        </w:rPr>
      </w:pPr>
      <w:r>
        <w:rPr>
          <w:rFonts w:ascii="Arial;sans-serif" w:hAnsi="Arial;sans-serif"/>
          <w:b w:val="false"/>
          <w:sz w:val="24"/>
        </w:rPr>
        <w:t>Net loss and net loss per share for the quarter ended March 31, 2023 were $7.6 million and $0.55, respectively, compared to $8.5 million and $1.18, respectively, for the same period in 2022.</w:t>
      </w:r>
    </w:p>
    <w:p>
      <w:pPr>
        <w:pStyle w:val="TextBody"/>
        <w:spacing w:before="0" w:after="0"/>
        <w:jc w:val="both"/>
        <w:rPr/>
      </w:pPr>
      <w:r>
        <w:rPr/>
        <w:t>•</w:t>
      </w:r>
    </w:p>
    <w:p>
      <w:pPr>
        <w:pStyle w:val="TextBody"/>
        <w:spacing w:before="0" w:after="0"/>
        <w:jc w:val="both"/>
        <w:rPr>
          <w:rFonts w:ascii="Arial;sans-serif" w:hAnsi="Arial;sans-serif"/>
          <w:b w:val="false"/>
          <w:sz w:val="24"/>
        </w:rPr>
      </w:pPr>
      <w:r>
        <w:rPr>
          <w:rFonts w:ascii="Arial;sans-serif" w:hAnsi="Arial;sans-serif"/>
          <w:b w:val="false"/>
          <w:sz w:val="24"/>
        </w:rPr>
        <w:t>Research and development expenses for the quarter ended March 31, 2023 were $4.7 million compared to $5.1 million for the same period in 2022. The decrease was primarily due to a decrease in research and development costs incurred from contract research organizations and third-party vendors, offset by an increase in personnel costs, as well as facilities expenses.</w:t>
      </w:r>
    </w:p>
    <w:p>
      <w:pPr>
        <w:pStyle w:val="TextBody"/>
        <w:spacing w:before="0" w:after="0"/>
        <w:jc w:val="both"/>
        <w:rPr/>
      </w:pPr>
      <w:r>
        <w:rPr/>
        <w:t>•</w:t>
      </w:r>
    </w:p>
    <w:p>
      <w:pPr>
        <w:pStyle w:val="TextBody"/>
        <w:spacing w:before="0" w:after="0"/>
        <w:jc w:val="both"/>
        <w:rPr/>
      </w:pPr>
      <w:r>
        <w:rPr>
          <w:rFonts w:ascii="Arial;sans-serif" w:hAnsi="Arial;sans-serif"/>
          <w:b w:val="false"/>
          <w:sz w:val="24"/>
        </w:rPr>
        <w:t>General and administrative expenses for the quarter ended March 31, 2023 were $2.9 million compared to $3.1 million for the same period in 2022.</w:t>
      </w:r>
      <w:r>
        <w:rPr/>
        <w:t xml:space="preserve"> </w:t>
      </w:r>
      <w:r>
        <w:rPr>
          <w:rFonts w:ascii="Arial;sans-serif" w:hAnsi="Arial;sans-serif"/>
          <w:b w:val="false"/>
          <w:sz w:val="24"/>
        </w:rPr>
        <w:t>The decrease was primarily due to a decrease in consulting and professional services.</w:t>
      </w:r>
    </w:p>
    <w:p>
      <w:pPr>
        <w:pStyle w:val="TextBody"/>
        <w:spacing w:before="0" w:after="120"/>
        <w:jc w:val="both"/>
        <w:rPr/>
      </w:pPr>
      <w:r>
        <w:rPr/>
        <w:t>•</w:t>
      </w:r>
    </w:p>
    <w:p>
      <w:pPr>
        <w:pStyle w:val="TextBody"/>
        <w:spacing w:before="0" w:after="120"/>
        <w:jc w:val="both"/>
        <w:rPr>
          <w:rFonts w:ascii="Arial;sans-serif" w:hAnsi="Arial;sans-serif"/>
          <w:b w:val="false"/>
          <w:sz w:val="24"/>
        </w:rPr>
      </w:pPr>
      <w:r>
        <w:rPr>
          <w:rFonts w:ascii="Arial;sans-serif" w:hAnsi="Arial;sans-serif"/>
          <w:b w:val="false"/>
          <w:sz w:val="24"/>
        </w:rPr>
        <w:t>Based on the current cash position and operating plan, Tempest expects to have sufficient resources to fund operations through the second quarter of 2024.</w:t>
      </w:r>
    </w:p>
    <w:p>
      <w:pPr>
        <w:pStyle w:val="TextBody"/>
        <w:spacing w:before="0" w:after="120"/>
        <w:jc w:val="left"/>
        <w:rPr>
          <w:rFonts w:ascii="Arial;sans-serif" w:hAnsi="Arial;sans-serif"/>
          <w:b/>
          <w:sz w:val="24"/>
        </w:rPr>
      </w:pPr>
      <w:r>
        <w:rPr>
          <w:rFonts w:ascii="Arial;sans-serif" w:hAnsi="Arial;sans-serif"/>
          <w:b/>
          <w:sz w:val="24"/>
        </w:rPr>
        <w:t>About Tempest Therapeutics</w:t>
      </w:r>
    </w:p>
    <w:p>
      <w:pPr>
        <w:pStyle w:val="TextBody"/>
        <w:spacing w:before="0" w:after="0"/>
        <w:jc w:val="both"/>
        <w:rPr>
          <w:rFonts w:ascii="Times New Roman" w:hAnsi="Times New Roman"/>
          <w:sz w:val="20"/>
        </w:rPr>
      </w:pPr>
      <w:r>
        <w:rPr>
          <w:rFonts w:ascii="Arial;sans-serif" w:hAnsi="Arial;sans-serif"/>
          <w:b w:val="false"/>
          <w:sz w:val="24"/>
        </w:rPr>
        <w:t>Tempest Therapeutics is a clinical-stage oncology company advancing small molecules that combine both tumor-targeted and immune-mediated mechanisms with the potential to treat a wide range of tumors. The company has a diverse portfolio of novel programs ranging from early research to investigation in a randomized global study in first-line cancer patients. The company’s two clinical programs, TPST-1120 and TPST-1495, target PPARα and EP2/EP4, respectively, and are advancing through trials designed to study the agents as monotherapies and in combination with approved agents. Tempest is also developing an orally available inhibitor of TREX1, a target that controls activation of the cGAS/STING pathway. Tempest is headquartered in Brisbane, California. More information about Tempest can be found on the company’s website at www.tempesttx.com.</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sz w:val="24"/>
        </w:rPr>
        <w:t>Forward-Looking Statements</w:t>
      </w:r>
      <w:r>
        <w:rPr>
          <w:rFonts w:ascii="Times New Roman" w:hAnsi="Times New Roman"/>
          <w:sz w:val="20"/>
        </w:rPr>
        <w:t xml:space="preserve"> </w:t>
      </w:r>
    </w:p>
    <w:p>
      <w:pPr>
        <w:pStyle w:val="TextBody"/>
        <w:spacing w:before="0" w:after="0"/>
        <w:jc w:val="both"/>
        <w:rPr/>
      </w:pPr>
      <w:r>
        <w:rPr/>
        <w:t> </w:t>
      </w:r>
    </w:p>
    <w:p>
      <w:pPr>
        <w:pStyle w:val="TextBody"/>
        <w:spacing w:before="0" w:after="160"/>
        <w:jc w:val="both"/>
        <w:rPr>
          <w:rFonts w:ascii="Times New Roman" w:hAnsi="Times New Roman"/>
          <w:sz w:val="20"/>
        </w:rPr>
      </w:pPr>
      <w:r>
        <w:rPr>
          <w:rFonts w:ascii="Arial;sans-serif" w:hAnsi="Arial;sans-serif"/>
          <w:b w:val="false"/>
          <w:sz w:val="24"/>
        </w:rPr>
        <w:t>This press release contains forward-looking statements (including within the meaning of Section 21E of the Securities Exchange Act of 1934, as amended, and Section 27A of the Securities Act of 1933, as amended (the “Securities Act”))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sans-serif" w:hAnsi="Arial;sans-serif"/>
          <w:b w:val="false"/>
          <w:sz w:val="14"/>
        </w:rPr>
      </w:pPr>
      <w:r>
        <w:rPr>
          <w:rFonts w:ascii="Arial;sans-serif" w:hAnsi="Arial;sans-serif"/>
          <w:b w:val="false"/>
          <w:sz w:val="14"/>
        </w:rPr>
        <w:t>285820715 v1</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160"/>
        <w:jc w:val="both"/>
        <w:rPr>
          <w:rFonts w:ascii="Times New Roman" w:hAnsi="Times New Roman"/>
          <w:sz w:val="20"/>
        </w:rPr>
      </w:pPr>
      <w:r>
        <w:rPr>
          <w:rFonts w:ascii="Arial;sans-serif" w:hAnsi="Arial;sans-serif"/>
          <w:b w:val="false"/>
          <w:sz w:val="24"/>
        </w:rPr>
        <w:t>statements regarding: the design, initiation, progress, timing, scope and results of clinical trials; anticipated therapeutic benefit and regulatory development of Tempest Therapeutic’s product candidates; the Company’s</w:t>
      </w:r>
      <w:r>
        <w:rPr>
          <w:rFonts w:ascii="Times New Roman" w:hAnsi="Times New Roman"/>
          <w:sz w:val="20"/>
        </w:rPr>
        <w:t xml:space="preserve"> </w:t>
      </w:r>
      <w:r>
        <w:rPr>
          <w:rFonts w:ascii="Arial;sans-serif" w:hAnsi="Arial;sans-serif"/>
          <w:b w:val="false"/>
          <w:sz w:val="24"/>
        </w:rPr>
        <w:t>ability to deliver on potential value-creating milestones; the Company’s guidance regarding cash runway, as well as our operational plans. Forward-looking statements are based on information available to Tempest Therapeutics as of the date hereof and are not guarantees of future performance. Any factors may cause differences between current expectations and actual results, including: unexpected safety or efficacy data observed during preclinical or clinical trials; clinical trial site activation or enrollment rates that are lower than expected; changes in expected or existing competition; changes in the regulatory environment; and unexpected litigation or other disputes. Other factors that may cause actual results to differ from those expressed or implied are discussed in greater detail in the “Risk Factors” section of the Company’s Quarterly Report on Form 10-Q for the quarter ended March 31, 2023 and other documents filed by the Company from time to time with the Securities and Exchange Commission.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sans-serif" w:hAnsi="Arial;sans-serif"/>
          <w:b w:val="false"/>
          <w:sz w:val="14"/>
        </w:rPr>
      </w:pPr>
      <w:r>
        <w:rPr>
          <w:rFonts w:ascii="Arial;sans-serif" w:hAnsi="Arial;sans-serif"/>
          <w:b w:val="false"/>
          <w:sz w:val="14"/>
        </w:rPr>
        <w:t>285820715 v1</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160"/>
        <w:jc w:val="left"/>
        <w:rPr/>
      </w:pPr>
      <w:r>
        <w:rPr/>
        <w:t> </w:t>
      </w:r>
    </w:p>
    <w:tbl>
      <w:tblPr>
        <w:tblW w:w="9604" w:type="dxa"/>
        <w:jc w:val="left"/>
        <w:tblInd w:w="0" w:type="dxa"/>
        <w:tblCellMar>
          <w:top w:w="28" w:type="dxa"/>
          <w:left w:w="28" w:type="dxa"/>
          <w:bottom w:w="28" w:type="dxa"/>
          <w:right w:w="28" w:type="dxa"/>
        </w:tblCellMar>
      </w:tblPr>
      <w:tblGrid>
        <w:gridCol w:w="4666"/>
        <w:gridCol w:w="307"/>
        <w:gridCol w:w="1343"/>
        <w:gridCol w:w="181"/>
        <w:gridCol w:w="146"/>
        <w:gridCol w:w="386"/>
        <w:gridCol w:w="1684"/>
        <w:gridCol w:w="891"/>
      </w:tblGrid>
      <w:tr>
        <w:trPr/>
        <w:tc>
          <w:tcPr>
            <w:tcW w:w="466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684"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r>
      <w:tr>
        <w:trPr/>
        <w:tc>
          <w:tcPr>
            <w:tcW w:w="8713" w:type="dxa"/>
            <w:gridSpan w:val="7"/>
            <w:tcBorders/>
            <w:shd w:fill="auto" w:val="clear"/>
            <w:vAlign w:val="center"/>
          </w:tcPr>
          <w:p>
            <w:pPr>
              <w:pStyle w:val="TableContents"/>
              <w:spacing w:before="0" w:after="0"/>
              <w:ind w:left="0" w:right="0" w:hanging="0"/>
              <w:jc w:val="center"/>
              <w:rPr>
                <w:rFonts w:ascii="Arial;sans-serif" w:hAnsi="Arial;sans-serif"/>
                <w:b/>
                <w:sz w:val="28"/>
              </w:rPr>
            </w:pPr>
            <w:r>
              <w:rPr>
                <w:rFonts w:ascii="Arial;sans-serif" w:hAnsi="Arial;sans-serif"/>
                <w:b/>
                <w:sz w:val="28"/>
              </w:rPr>
              <w:t>TEMPEST THERAPEUTICS, INC.</w:t>
            </w:r>
          </w:p>
        </w:tc>
        <w:tc>
          <w:tcPr>
            <w:tcW w:w="891" w:type="dxa"/>
            <w:tcBorders/>
            <w:shd w:fill="auto" w:val="clear"/>
            <w:vAlign w:val="center"/>
          </w:tcPr>
          <w:p>
            <w:pPr>
              <w:pStyle w:val="TableContents"/>
              <w:spacing w:before="0" w:after="0"/>
              <w:ind w:left="0" w:right="0" w:hanging="0"/>
              <w:jc w:val="center"/>
              <w:rPr/>
            </w:pPr>
            <w:r>
              <w:rPr/>
              <w:t> </w:t>
            </w:r>
          </w:p>
        </w:tc>
      </w:tr>
      <w:tr>
        <w:trPr/>
        <w:tc>
          <w:tcPr>
            <w:tcW w:w="8713" w:type="dxa"/>
            <w:gridSpan w:val="7"/>
            <w:tcBorders/>
            <w:shd w:fill="auto" w:val="clear"/>
            <w:vAlign w:val="center"/>
          </w:tcPr>
          <w:p>
            <w:pPr>
              <w:pStyle w:val="TableContents"/>
              <w:spacing w:before="0" w:after="0"/>
              <w:ind w:left="0" w:right="0" w:hanging="0"/>
              <w:jc w:val="center"/>
              <w:rPr>
                <w:rFonts w:ascii="Arial;sans-serif" w:hAnsi="Arial;sans-serif"/>
                <w:b/>
                <w:sz w:val="28"/>
              </w:rPr>
            </w:pPr>
            <w:r>
              <w:rPr>
                <w:rFonts w:ascii="Arial;sans-serif" w:hAnsi="Arial;sans-serif"/>
                <w:b/>
                <w:sz w:val="28"/>
              </w:rPr>
              <w:t>Consolidated Balance Sheets</w:t>
            </w:r>
          </w:p>
        </w:tc>
        <w:tc>
          <w:tcPr>
            <w:tcW w:w="891" w:type="dxa"/>
            <w:tcBorders/>
            <w:shd w:fill="auto" w:val="clear"/>
            <w:vAlign w:val="center"/>
          </w:tcPr>
          <w:p>
            <w:pPr>
              <w:pStyle w:val="TableContents"/>
              <w:spacing w:before="0" w:after="0"/>
              <w:ind w:left="0" w:right="0" w:hanging="0"/>
              <w:jc w:val="center"/>
              <w:rPr/>
            </w:pPr>
            <w:r>
              <w:rPr/>
              <w:t> </w:t>
            </w:r>
          </w:p>
        </w:tc>
      </w:tr>
      <w:tr>
        <w:trPr/>
        <w:tc>
          <w:tcPr>
            <w:tcW w:w="8713" w:type="dxa"/>
            <w:gridSpan w:val="7"/>
            <w:tcBorders/>
            <w:shd w:fill="auto" w:val="clear"/>
            <w:vAlign w:val="center"/>
          </w:tcPr>
          <w:p>
            <w:pPr>
              <w:pStyle w:val="TableContents"/>
              <w:spacing w:before="0" w:after="0"/>
              <w:ind w:left="0" w:right="0" w:hanging="0"/>
              <w:jc w:val="center"/>
              <w:rPr>
                <w:rFonts w:ascii="Arial;sans-serif" w:hAnsi="Arial;sans-serif"/>
                <w:b/>
                <w:sz w:val="28"/>
              </w:rPr>
            </w:pPr>
            <w:r>
              <w:rPr>
                <w:rFonts w:ascii="Arial;sans-serif" w:hAnsi="Arial;sans-serif"/>
                <w:b/>
                <w:sz w:val="28"/>
              </w:rPr>
              <w:t>(in thousands)</w:t>
            </w:r>
          </w:p>
        </w:tc>
        <w:tc>
          <w:tcPr>
            <w:tcW w:w="891" w:type="dxa"/>
            <w:tcBorders/>
            <w:shd w:fill="auto" w:val="clear"/>
            <w:vAlign w:val="center"/>
          </w:tcPr>
          <w:p>
            <w:pPr>
              <w:pStyle w:val="TableContents"/>
              <w:spacing w:before="0" w:after="0"/>
              <w:ind w:left="0" w:right="0" w:hanging="0"/>
              <w:jc w:val="center"/>
              <w:rPr/>
            </w:pPr>
            <w:r>
              <w:rPr/>
              <w:t> </w:t>
            </w:r>
          </w:p>
        </w:tc>
      </w:tr>
      <w:tr>
        <w:trPr/>
        <w:tc>
          <w:tcPr>
            <w:tcW w:w="4666" w:type="dxa"/>
            <w:tcBorders/>
            <w:shd w:fill="auto" w:val="clear"/>
            <w:vAlign w:val="center"/>
          </w:tcPr>
          <w:p>
            <w:pPr>
              <w:pStyle w:val="TableContents"/>
              <w:spacing w:before="0" w:after="0"/>
              <w:ind w:left="0" w:right="0" w:hanging="0"/>
              <w:jc w:val="center"/>
              <w:rPr/>
            </w:pPr>
            <w:r>
              <w:rPr/>
              <w:t> </w:t>
            </w:r>
          </w:p>
        </w:tc>
        <w:tc>
          <w:tcPr>
            <w:tcW w:w="1650" w:type="dxa"/>
            <w:gridSpan w:val="2"/>
            <w:tcBorders/>
            <w:shd w:fill="auto" w:val="clear"/>
            <w:vAlign w:val="center"/>
          </w:tcPr>
          <w:p>
            <w:pPr>
              <w:pStyle w:val="TableContents"/>
              <w:spacing w:before="0" w:after="0"/>
              <w:ind w:left="0" w:right="0" w:hanging="0"/>
              <w:jc w:val="center"/>
              <w:rPr/>
            </w:pPr>
            <w:r>
              <w:rPr/>
              <w:t> </w:t>
            </w:r>
          </w:p>
        </w:tc>
        <w:tc>
          <w:tcPr>
            <w:tcW w:w="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70" w:type="dxa"/>
            <w:gridSpan w:val="2"/>
            <w:tcBorders/>
            <w:shd w:fill="auto" w:val="clear"/>
            <w:vAlign w:val="center"/>
          </w:tcPr>
          <w:p>
            <w:pPr>
              <w:pStyle w:val="TableContents"/>
              <w:spacing w:before="0" w:after="0"/>
              <w:ind w:left="0" w:right="0" w:hanging="0"/>
              <w:jc w:val="center"/>
              <w:rPr/>
            </w:pPr>
            <w:r>
              <w:rPr/>
              <w:t> </w:t>
            </w:r>
          </w:p>
        </w:tc>
        <w:tc>
          <w:tcPr>
            <w:tcW w:w="891" w:type="dxa"/>
            <w:tcBorders/>
            <w:shd w:fill="auto" w:val="clear"/>
            <w:vAlign w:val="center"/>
          </w:tcPr>
          <w:p>
            <w:pPr>
              <w:pStyle w:val="TableContents"/>
              <w:spacing w:before="0" w:after="0"/>
              <w:ind w:left="0" w:right="0" w:hanging="0"/>
              <w:jc w:val="center"/>
              <w:rPr/>
            </w:pPr>
            <w:r>
              <w:rPr/>
              <w:t> </w:t>
            </w:r>
          </w:p>
        </w:tc>
      </w:tr>
      <w:tr>
        <w:trPr/>
        <w:tc>
          <w:tcPr>
            <w:tcW w:w="4666" w:type="dxa"/>
            <w:tcBorders/>
            <w:shd w:fill="auto" w:val="clear"/>
            <w:vAlign w:val="center"/>
          </w:tcPr>
          <w:p>
            <w:pPr>
              <w:pStyle w:val="TableContents"/>
              <w:spacing w:before="0" w:after="0"/>
              <w:ind w:left="0" w:right="0" w:hanging="0"/>
              <w:jc w:val="left"/>
              <w:rPr/>
            </w:pPr>
            <w:r>
              <w:rPr/>
              <w:t> </w:t>
            </w:r>
          </w:p>
        </w:tc>
        <w:tc>
          <w:tcPr>
            <w:tcW w:w="16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2"/>
              </w:rPr>
            </w:pPr>
            <w:r>
              <w:rPr>
                <w:rFonts w:ascii="Arial;sans-serif" w:hAnsi="Arial;sans-serif"/>
                <w:b/>
                <w:sz w:val="22"/>
              </w:rPr>
              <w:t>March 31, 2023</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2"/>
              </w:rPr>
            </w:pPr>
            <w:r>
              <w:rPr>
                <w:rFonts w:ascii="Arial;sans-serif" w:hAnsi="Arial;sans-serif"/>
                <w:b/>
                <w:sz w:val="22"/>
              </w:rPr>
              <w:t>December 31, 2022</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66" w:type="dxa"/>
            <w:tcBorders/>
            <w:shd w:fill="auto" w:val="clear"/>
            <w:vAlign w:val="center"/>
          </w:tcPr>
          <w:p>
            <w:pPr>
              <w:pStyle w:val="TableContents"/>
              <w:spacing w:before="0" w:after="0"/>
              <w:ind w:left="0" w:right="0" w:hanging="0"/>
              <w:jc w:val="center"/>
              <w:rPr>
                <w:rFonts w:ascii="Arial;sans-serif" w:hAnsi="Arial;sans-serif"/>
                <w:b/>
                <w:sz w:val="24"/>
              </w:rPr>
            </w:pPr>
            <w:r>
              <w:rPr>
                <w:rFonts w:ascii="Arial;sans-serif" w:hAnsi="Arial;sans-serif"/>
                <w:b/>
                <w:sz w:val="24"/>
              </w:rPr>
              <w:t>Assets</w:t>
            </w:r>
          </w:p>
        </w:tc>
        <w:tc>
          <w:tcPr>
            <w:tcW w:w="1650"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0" w:type="dxa"/>
            <w:gridSpan w:val="2"/>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Current assets</w:t>
            </w:r>
          </w:p>
        </w:tc>
        <w:tc>
          <w:tcPr>
            <w:tcW w:w="1650"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0" w:type="dxa"/>
            <w:gridSpan w:val="2"/>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140"/>
              <w:jc w:val="left"/>
              <w:rPr/>
            </w:pPr>
            <w:r>
              <w:rPr/>
              <w:t> </w:t>
            </w:r>
          </w:p>
        </w:tc>
      </w:tr>
      <w:tr>
        <w:trPr/>
        <w:tc>
          <w:tcPr>
            <w:tcW w:w="4666" w:type="dxa"/>
            <w:tcBorders/>
            <w:shd w:fill="auto" w:val="clear"/>
            <w:vAlign w:val="center"/>
          </w:tcPr>
          <w:p>
            <w:pPr>
              <w:pStyle w:val="TableContents"/>
              <w:spacing w:before="0" w:after="0"/>
              <w:ind w:left="140" w:right="0" w:hanging="0"/>
              <w:jc w:val="left"/>
              <w:rPr>
                <w:rFonts w:ascii="Arial;sans-serif" w:hAnsi="Arial;sans-serif"/>
                <w:b w:val="false"/>
                <w:sz w:val="24"/>
              </w:rPr>
            </w:pPr>
            <w:r>
              <w:rPr>
                <w:rFonts w:ascii="Arial;sans-serif" w:hAnsi="Arial;sans-serif"/>
                <w:b w:val="false"/>
                <w:sz w:val="24"/>
              </w:rPr>
              <w:t>Cash and cash equivalents</w:t>
            </w:r>
          </w:p>
        </w:tc>
        <w:tc>
          <w:tcPr>
            <w:tcW w:w="307" w:type="dxa"/>
            <w:tcBorders/>
            <w:shd w:fill="auto" w:val="cle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c>
          <w:tcPr>
            <w:tcW w:w="1343"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22,925</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c>
          <w:tcPr>
            <w:tcW w:w="1684"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31,230</w:t>
            </w:r>
          </w:p>
        </w:tc>
        <w:tc>
          <w:tcPr>
            <w:tcW w:w="891" w:type="dxa"/>
            <w:tcBorders/>
            <w:shd w:fill="auto" w:val="clear"/>
            <w:vAlign w:val="center"/>
          </w:tcPr>
          <w:p>
            <w:pPr>
              <w:pStyle w:val="TableContents"/>
              <w:spacing w:before="0" w:after="0"/>
              <w:ind w:left="0" w:right="0" w:firstLine="140"/>
              <w:jc w:val="left"/>
              <w:rPr/>
            </w:pPr>
            <w:r>
              <w:rPr/>
              <w:t> </w:t>
            </w:r>
          </w:p>
        </w:tc>
      </w:tr>
      <w:tr>
        <w:trPr/>
        <w:tc>
          <w:tcPr>
            <w:tcW w:w="4666" w:type="dxa"/>
            <w:tcBorders/>
            <w:shd w:fill="auto" w:val="clear"/>
            <w:vAlign w:val="center"/>
          </w:tcPr>
          <w:p>
            <w:pPr>
              <w:pStyle w:val="TableContents"/>
              <w:spacing w:before="0" w:after="0"/>
              <w:ind w:left="140" w:right="0" w:hanging="0"/>
              <w:jc w:val="left"/>
              <w:rPr>
                <w:rFonts w:ascii="Arial;sans-serif" w:hAnsi="Arial;sans-serif"/>
                <w:b w:val="false"/>
                <w:sz w:val="24"/>
              </w:rPr>
            </w:pPr>
            <w:r>
              <w:rPr>
                <w:rFonts w:ascii="Arial;sans-serif" w:hAnsi="Arial;sans-serif"/>
                <w:b w:val="false"/>
                <w:sz w:val="24"/>
              </w:rPr>
              <w:t>Insurance recovery of legal settlement</w:t>
            </w:r>
          </w:p>
        </w:tc>
        <w:tc>
          <w:tcPr>
            <w:tcW w:w="307" w:type="dxa"/>
            <w:tcBorders/>
            <w:shd w:fill="auto" w:val="clear"/>
            <w:vAlign w:val="center"/>
          </w:tcPr>
          <w:p>
            <w:pPr>
              <w:pStyle w:val="TableContents"/>
              <w:spacing w:before="0" w:after="0"/>
              <w:ind w:left="0" w:right="0" w:hanging="0"/>
              <w:jc w:val="left"/>
              <w:rPr/>
            </w:pPr>
            <w:r>
              <w:rPr/>
              <w:t> </w:t>
            </w:r>
          </w:p>
        </w:tc>
        <w:tc>
          <w:tcPr>
            <w:tcW w:w="1343"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450</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left"/>
              <w:rPr/>
            </w:pPr>
            <w:r>
              <w:rPr/>
              <w:t> </w:t>
            </w:r>
          </w:p>
        </w:tc>
        <w:tc>
          <w:tcPr>
            <w:tcW w:w="1684"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450</w:t>
            </w:r>
          </w:p>
        </w:tc>
        <w:tc>
          <w:tcPr>
            <w:tcW w:w="891" w:type="dxa"/>
            <w:tcBorders/>
            <w:shd w:fill="auto" w:val="clear"/>
            <w:vAlign w:val="center"/>
          </w:tcPr>
          <w:p>
            <w:pPr>
              <w:pStyle w:val="TableContents"/>
              <w:spacing w:before="0" w:after="0"/>
              <w:ind w:left="0" w:right="0" w:firstLine="140"/>
              <w:jc w:val="left"/>
              <w:rPr/>
            </w:pPr>
            <w:r>
              <w:rPr/>
              <w:t> </w:t>
            </w:r>
          </w:p>
        </w:tc>
      </w:tr>
      <w:tr>
        <w:trPr/>
        <w:tc>
          <w:tcPr>
            <w:tcW w:w="4666" w:type="dxa"/>
            <w:tcBorders/>
            <w:shd w:fill="auto" w:val="clear"/>
            <w:vAlign w:val="center"/>
          </w:tcPr>
          <w:p>
            <w:pPr>
              <w:pStyle w:val="TableContents"/>
              <w:spacing w:before="0" w:after="0"/>
              <w:ind w:left="140" w:right="0" w:hanging="0"/>
              <w:jc w:val="left"/>
              <w:rPr>
                <w:rFonts w:ascii="Arial;sans-serif" w:hAnsi="Arial;sans-serif"/>
                <w:b w:val="false"/>
                <w:sz w:val="24"/>
              </w:rPr>
            </w:pPr>
            <w:r>
              <w:rPr>
                <w:rFonts w:ascii="Arial;sans-serif" w:hAnsi="Arial;sans-serif"/>
                <w:b w:val="false"/>
                <w:sz w:val="24"/>
              </w:rPr>
              <w:t>Prepaid expenses and other current assets</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1,298</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1,270</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20"/>
              <w:jc w:val="left"/>
              <w:rPr/>
            </w:pPr>
            <w:r>
              <w:rPr/>
              <w:t> </w:t>
            </w:r>
          </w:p>
        </w:tc>
      </w:tr>
      <w:tr>
        <w:trPr/>
        <w:tc>
          <w:tcPr>
            <w:tcW w:w="4666" w:type="dxa"/>
            <w:tcBorders/>
            <w:shd w:fill="auto" w:val="clear"/>
            <w:vAlign w:val="center"/>
          </w:tcPr>
          <w:p>
            <w:pPr>
              <w:pStyle w:val="TableContents"/>
              <w:spacing w:before="0" w:after="0"/>
              <w:ind w:left="420" w:right="0" w:hanging="0"/>
              <w:jc w:val="left"/>
              <w:rPr>
                <w:rFonts w:ascii="Arial;sans-serif" w:hAnsi="Arial;sans-serif"/>
                <w:b w:val="false"/>
                <w:sz w:val="24"/>
              </w:rPr>
            </w:pPr>
            <w:r>
              <w:rPr>
                <w:rFonts w:ascii="Arial;sans-serif" w:hAnsi="Arial;sans-serif"/>
                <w:b w:val="false"/>
                <w:sz w:val="24"/>
              </w:rPr>
              <w:t>Total current assets</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24,673</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32,950</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700"/>
              <w:jc w:val="left"/>
              <w:rPr/>
            </w:pPr>
            <w:r>
              <w:rPr/>
              <w:t> </w:t>
            </w:r>
          </w:p>
        </w:tc>
      </w:tr>
      <w:tr>
        <w:trPr/>
        <w:tc>
          <w:tcPr>
            <w:tcW w:w="4666" w:type="dxa"/>
            <w:tcBorders/>
            <w:shd w:fill="auto" w:val="clear"/>
            <w:vAlign w:val="center"/>
          </w:tcPr>
          <w:p>
            <w:pPr>
              <w:pStyle w:val="TableContents"/>
              <w:spacing w:before="0" w:after="0"/>
              <w:ind w:left="700" w:right="0" w:hanging="0"/>
              <w:jc w:val="left"/>
              <w:rPr/>
            </w:pPr>
            <w:r>
              <w:rPr/>
              <w:t> </w:t>
            </w:r>
          </w:p>
        </w:tc>
        <w:tc>
          <w:tcPr>
            <w:tcW w:w="1650"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0" w:type="dxa"/>
            <w:gridSpan w:val="2"/>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Property and equipment, net</w:t>
            </w:r>
          </w:p>
        </w:tc>
        <w:tc>
          <w:tcPr>
            <w:tcW w:w="307" w:type="dxa"/>
            <w:tcBorders/>
            <w:shd w:fill="auto" w:val="clear"/>
            <w:vAlign w:val="center"/>
          </w:tcPr>
          <w:p>
            <w:pPr>
              <w:pStyle w:val="TableContents"/>
              <w:spacing w:before="0" w:after="0"/>
              <w:ind w:left="0" w:right="0" w:hanging="0"/>
              <w:jc w:val="left"/>
              <w:rPr/>
            </w:pPr>
            <w:r>
              <w:rPr/>
              <w:t> </w:t>
            </w:r>
          </w:p>
        </w:tc>
        <w:tc>
          <w:tcPr>
            <w:tcW w:w="1343"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1,008</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left"/>
              <w:rPr/>
            </w:pPr>
            <w:r>
              <w:rPr/>
              <w:t> </w:t>
            </w:r>
          </w:p>
        </w:tc>
        <w:tc>
          <w:tcPr>
            <w:tcW w:w="1684"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1,060</w:t>
            </w:r>
          </w:p>
        </w:tc>
        <w:tc>
          <w:tcPr>
            <w:tcW w:w="891" w:type="dxa"/>
            <w:tcBorders/>
            <w:shd w:fill="auto" w:val="cle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Operating lease right-of-use assets</w:t>
            </w:r>
          </w:p>
        </w:tc>
        <w:tc>
          <w:tcPr>
            <w:tcW w:w="307" w:type="dxa"/>
            <w:tcBorders/>
            <w:shd w:fill="auto" w:val="clear"/>
            <w:vAlign w:val="center"/>
          </w:tcPr>
          <w:p>
            <w:pPr>
              <w:pStyle w:val="TableContents"/>
              <w:spacing w:before="0" w:after="0"/>
              <w:ind w:left="0" w:right="0" w:hanging="0"/>
              <w:jc w:val="left"/>
              <w:rPr/>
            </w:pPr>
            <w:r>
              <w:rPr/>
              <w:t> </w:t>
            </w:r>
          </w:p>
        </w:tc>
        <w:tc>
          <w:tcPr>
            <w:tcW w:w="1343"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11,219</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left"/>
              <w:rPr/>
            </w:pPr>
            <w:r>
              <w:rPr/>
              <w:t> </w:t>
            </w:r>
          </w:p>
        </w:tc>
        <w:tc>
          <w:tcPr>
            <w:tcW w:w="1684"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11,650</w:t>
            </w:r>
          </w:p>
        </w:tc>
        <w:tc>
          <w:tcPr>
            <w:tcW w:w="891" w:type="dxa"/>
            <w:tcBorders/>
            <w:shd w:fill="auto" w:val="cle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Other noncurrent assets</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429</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429</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pPr>
            <w:r>
              <w:rPr/>
              <w:t> </w:t>
            </w:r>
          </w:p>
        </w:tc>
        <w:tc>
          <w:tcPr>
            <w:tcW w:w="1650"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0" w:type="dxa"/>
            <w:gridSpan w:val="2"/>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420"/>
              <w:jc w:val="left"/>
              <w:rPr/>
            </w:pPr>
            <w:r>
              <w:rPr/>
              <w:t> </w:t>
            </w:r>
          </w:p>
        </w:tc>
      </w:tr>
      <w:tr>
        <w:trPr/>
        <w:tc>
          <w:tcPr>
            <w:tcW w:w="4666" w:type="dxa"/>
            <w:tcBorders/>
            <w:shd w:fill="auto" w:val="clear"/>
            <w:vAlign w:val="center"/>
          </w:tcPr>
          <w:p>
            <w:pPr>
              <w:pStyle w:val="TableContents"/>
              <w:spacing w:before="0" w:after="0"/>
              <w:ind w:left="420" w:right="0" w:hanging="0"/>
              <w:jc w:val="left"/>
              <w:rPr>
                <w:rFonts w:ascii="Arial;sans-serif" w:hAnsi="Arial;sans-serif"/>
                <w:b w:val="false"/>
                <w:sz w:val="24"/>
              </w:rPr>
            </w:pPr>
            <w:r>
              <w:rPr>
                <w:rFonts w:ascii="Arial;sans-serif" w:hAnsi="Arial;sans-serif"/>
                <w:b w:val="false"/>
                <w:sz w:val="24"/>
              </w:rPr>
              <w:t>Total assets</w:t>
            </w:r>
          </w:p>
        </w:tc>
        <w:tc>
          <w:tcPr>
            <w:tcW w:w="3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c>
          <w:tcPr>
            <w:tcW w:w="13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37,329</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c>
          <w:tcPr>
            <w:tcW w:w="16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46,089</w:t>
            </w:r>
          </w:p>
        </w:tc>
        <w:tc>
          <w:tcPr>
            <w:tcW w:w="8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pPr>
            <w:r>
              <w:rPr/>
              <w:t> </w:t>
            </w:r>
          </w:p>
        </w:tc>
        <w:tc>
          <w:tcPr>
            <w:tcW w:w="1650"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0" w:type="dxa"/>
            <w:gridSpan w:val="2"/>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center"/>
              <w:rPr>
                <w:rFonts w:ascii="Arial;sans-serif" w:hAnsi="Arial;sans-serif"/>
                <w:b/>
                <w:sz w:val="24"/>
              </w:rPr>
            </w:pPr>
            <w:r>
              <w:rPr>
                <w:rFonts w:ascii="Arial;sans-serif" w:hAnsi="Arial;sans-serif"/>
                <w:b/>
                <w:sz w:val="24"/>
              </w:rPr>
              <w:t>Liabilities and Stockholders' Equity</w:t>
            </w:r>
          </w:p>
        </w:tc>
        <w:tc>
          <w:tcPr>
            <w:tcW w:w="1650"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0" w:type="dxa"/>
            <w:gridSpan w:val="2"/>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Current liabilities</w:t>
            </w:r>
          </w:p>
        </w:tc>
        <w:tc>
          <w:tcPr>
            <w:tcW w:w="1650"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0" w:type="dxa"/>
            <w:gridSpan w:val="2"/>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140"/>
              <w:jc w:val="left"/>
              <w:rPr/>
            </w:pPr>
            <w:r>
              <w:rPr/>
              <w:t> </w:t>
            </w:r>
          </w:p>
        </w:tc>
      </w:tr>
      <w:tr>
        <w:trPr/>
        <w:tc>
          <w:tcPr>
            <w:tcW w:w="4666" w:type="dxa"/>
            <w:tcBorders/>
            <w:shd w:fill="auto" w:val="clear"/>
            <w:vAlign w:val="center"/>
          </w:tcPr>
          <w:p>
            <w:pPr>
              <w:pStyle w:val="TableContents"/>
              <w:spacing w:before="0" w:after="0"/>
              <w:ind w:left="140" w:right="0" w:hanging="0"/>
              <w:jc w:val="left"/>
              <w:rPr>
                <w:rFonts w:ascii="Arial;sans-serif" w:hAnsi="Arial;sans-serif"/>
                <w:b w:val="false"/>
                <w:sz w:val="24"/>
              </w:rPr>
            </w:pPr>
            <w:r>
              <w:rPr>
                <w:rFonts w:ascii="Arial;sans-serif" w:hAnsi="Arial;sans-serif"/>
                <w:b w:val="false"/>
                <w:sz w:val="24"/>
              </w:rPr>
              <w:t>Accounts payable</w:t>
            </w:r>
          </w:p>
        </w:tc>
        <w:tc>
          <w:tcPr>
            <w:tcW w:w="307" w:type="dxa"/>
            <w:tcBorders/>
            <w:shd w:fill="auto" w:val="cle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c>
          <w:tcPr>
            <w:tcW w:w="1343"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1,157</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c>
          <w:tcPr>
            <w:tcW w:w="1684"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1,108</w:t>
            </w:r>
          </w:p>
        </w:tc>
        <w:tc>
          <w:tcPr>
            <w:tcW w:w="891" w:type="dxa"/>
            <w:tcBorders/>
            <w:shd w:fill="auto" w:val="clear"/>
            <w:vAlign w:val="center"/>
          </w:tcPr>
          <w:p>
            <w:pPr>
              <w:pStyle w:val="TableContents"/>
              <w:spacing w:before="0" w:after="0"/>
              <w:ind w:left="0" w:right="0" w:firstLine="140"/>
              <w:jc w:val="left"/>
              <w:rPr/>
            </w:pPr>
            <w:r>
              <w:rPr/>
              <w:t> </w:t>
            </w:r>
          </w:p>
        </w:tc>
      </w:tr>
      <w:tr>
        <w:trPr/>
        <w:tc>
          <w:tcPr>
            <w:tcW w:w="4666" w:type="dxa"/>
            <w:tcBorders/>
            <w:shd w:fill="auto" w:val="clear"/>
            <w:vAlign w:val="center"/>
          </w:tcPr>
          <w:p>
            <w:pPr>
              <w:pStyle w:val="TableContents"/>
              <w:spacing w:before="0" w:after="0"/>
              <w:ind w:left="140" w:right="0" w:hanging="0"/>
              <w:jc w:val="left"/>
              <w:rPr>
                <w:rFonts w:ascii="Arial;sans-serif" w:hAnsi="Arial;sans-serif"/>
                <w:b w:val="false"/>
                <w:sz w:val="24"/>
              </w:rPr>
            </w:pPr>
            <w:r>
              <w:rPr>
                <w:rFonts w:ascii="Arial;sans-serif" w:hAnsi="Arial;sans-serif"/>
                <w:b w:val="false"/>
                <w:sz w:val="24"/>
              </w:rPr>
              <w:t>Accrued legal settlement</w:t>
            </w:r>
          </w:p>
        </w:tc>
        <w:tc>
          <w:tcPr>
            <w:tcW w:w="307" w:type="dxa"/>
            <w:tcBorders/>
            <w:shd w:fill="auto" w:val="clear"/>
            <w:vAlign w:val="center"/>
          </w:tcPr>
          <w:p>
            <w:pPr>
              <w:pStyle w:val="TableContents"/>
              <w:spacing w:before="0" w:after="0"/>
              <w:ind w:left="0" w:right="0" w:hanging="0"/>
              <w:jc w:val="left"/>
              <w:rPr/>
            </w:pPr>
            <w:r>
              <w:rPr/>
              <w:t> </w:t>
            </w:r>
          </w:p>
        </w:tc>
        <w:tc>
          <w:tcPr>
            <w:tcW w:w="1343"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450</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left"/>
              <w:rPr/>
            </w:pPr>
            <w:r>
              <w:rPr/>
              <w:t> </w:t>
            </w:r>
          </w:p>
        </w:tc>
        <w:tc>
          <w:tcPr>
            <w:tcW w:w="1684"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450</w:t>
            </w:r>
          </w:p>
        </w:tc>
        <w:tc>
          <w:tcPr>
            <w:tcW w:w="891" w:type="dxa"/>
            <w:tcBorders/>
            <w:shd w:fill="auto" w:val="clear"/>
            <w:vAlign w:val="center"/>
          </w:tcPr>
          <w:p>
            <w:pPr>
              <w:pStyle w:val="TableContents"/>
              <w:spacing w:before="0" w:after="0"/>
              <w:ind w:left="0" w:right="0" w:firstLine="140"/>
              <w:jc w:val="left"/>
              <w:rPr/>
            </w:pPr>
            <w:r>
              <w:rPr/>
              <w:t> </w:t>
            </w:r>
          </w:p>
        </w:tc>
      </w:tr>
      <w:tr>
        <w:trPr/>
        <w:tc>
          <w:tcPr>
            <w:tcW w:w="4666" w:type="dxa"/>
            <w:tcBorders/>
            <w:shd w:fill="auto" w:val="clear"/>
            <w:vAlign w:val="center"/>
          </w:tcPr>
          <w:p>
            <w:pPr>
              <w:pStyle w:val="TableContents"/>
              <w:spacing w:before="0" w:after="0"/>
              <w:ind w:left="140" w:right="0" w:hanging="0"/>
              <w:jc w:val="left"/>
              <w:rPr>
                <w:rFonts w:ascii="Arial;sans-serif" w:hAnsi="Arial;sans-serif"/>
                <w:b w:val="false"/>
                <w:sz w:val="24"/>
              </w:rPr>
            </w:pPr>
            <w:r>
              <w:rPr>
                <w:rFonts w:ascii="Arial;sans-serif" w:hAnsi="Arial;sans-serif"/>
                <w:b w:val="false"/>
                <w:sz w:val="24"/>
              </w:rPr>
              <w:t>Accrued expenses and other</w:t>
            </w:r>
          </w:p>
        </w:tc>
        <w:tc>
          <w:tcPr>
            <w:tcW w:w="307" w:type="dxa"/>
            <w:tcBorders/>
            <w:shd w:fill="auto" w:val="clear"/>
            <w:vAlign w:val="center"/>
          </w:tcPr>
          <w:p>
            <w:pPr>
              <w:pStyle w:val="TableContents"/>
              <w:spacing w:before="0" w:after="0"/>
              <w:ind w:left="0" w:right="0" w:hanging="0"/>
              <w:jc w:val="left"/>
              <w:rPr/>
            </w:pPr>
            <w:r>
              <w:rPr/>
              <w:t> </w:t>
            </w:r>
          </w:p>
        </w:tc>
        <w:tc>
          <w:tcPr>
            <w:tcW w:w="1343"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2,538</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left"/>
              <w:rPr/>
            </w:pPr>
            <w:r>
              <w:rPr/>
              <w:t> </w:t>
            </w:r>
          </w:p>
        </w:tc>
        <w:tc>
          <w:tcPr>
            <w:tcW w:w="1684"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2,961</w:t>
            </w:r>
          </w:p>
        </w:tc>
        <w:tc>
          <w:tcPr>
            <w:tcW w:w="891" w:type="dxa"/>
            <w:tcBorders/>
            <w:shd w:fill="auto" w:val="clear"/>
            <w:vAlign w:val="center"/>
          </w:tcPr>
          <w:p>
            <w:pPr>
              <w:pStyle w:val="TableContents"/>
              <w:spacing w:before="0" w:after="0"/>
              <w:ind w:left="0" w:right="0" w:firstLine="140"/>
              <w:jc w:val="left"/>
              <w:rPr/>
            </w:pPr>
            <w:r>
              <w:rPr/>
              <w:t> </w:t>
            </w:r>
          </w:p>
        </w:tc>
      </w:tr>
      <w:tr>
        <w:trPr/>
        <w:tc>
          <w:tcPr>
            <w:tcW w:w="4666" w:type="dxa"/>
            <w:tcBorders/>
            <w:shd w:fill="auto" w:val="clear"/>
            <w:vAlign w:val="center"/>
          </w:tcPr>
          <w:p>
            <w:pPr>
              <w:pStyle w:val="TableContents"/>
              <w:spacing w:before="0" w:after="0"/>
              <w:ind w:left="140" w:right="0" w:hanging="0"/>
              <w:jc w:val="left"/>
              <w:rPr>
                <w:rFonts w:ascii="Arial;sans-serif" w:hAnsi="Arial;sans-serif"/>
                <w:b w:val="false"/>
                <w:sz w:val="24"/>
              </w:rPr>
            </w:pPr>
            <w:r>
              <w:rPr>
                <w:rFonts w:ascii="Arial;sans-serif" w:hAnsi="Arial;sans-serif"/>
                <w:b w:val="false"/>
                <w:sz w:val="24"/>
              </w:rPr>
              <w:t>Current loan payable, net</w:t>
            </w:r>
          </w:p>
        </w:tc>
        <w:tc>
          <w:tcPr>
            <w:tcW w:w="307" w:type="dxa"/>
            <w:tcBorders/>
            <w:shd w:fill="auto" w:val="clear"/>
            <w:vAlign w:val="center"/>
          </w:tcPr>
          <w:p>
            <w:pPr>
              <w:pStyle w:val="TableContents"/>
              <w:spacing w:before="0" w:after="0"/>
              <w:ind w:left="0" w:right="0" w:hanging="0"/>
              <w:jc w:val="left"/>
              <w:rPr/>
            </w:pPr>
            <w:r>
              <w:rPr/>
              <w:t> </w:t>
            </w:r>
          </w:p>
        </w:tc>
        <w:tc>
          <w:tcPr>
            <w:tcW w:w="1343"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1,481</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left"/>
              <w:rPr/>
            </w:pPr>
            <w:r>
              <w:rPr/>
              <w:t> </w:t>
            </w:r>
          </w:p>
        </w:tc>
        <w:tc>
          <w:tcPr>
            <w:tcW w:w="1684"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w:t>
            </w:r>
          </w:p>
        </w:tc>
        <w:tc>
          <w:tcPr>
            <w:tcW w:w="891" w:type="dxa"/>
            <w:tcBorders/>
            <w:shd w:fill="auto" w:val="clear"/>
            <w:vAlign w:val="center"/>
          </w:tcPr>
          <w:p>
            <w:pPr>
              <w:pStyle w:val="TableContents"/>
              <w:spacing w:before="0" w:after="0"/>
              <w:ind w:left="0" w:right="0" w:firstLine="140"/>
              <w:jc w:val="left"/>
              <w:rPr/>
            </w:pPr>
            <w:r>
              <w:rPr/>
              <w:t> </w:t>
            </w:r>
          </w:p>
        </w:tc>
      </w:tr>
      <w:tr>
        <w:trPr/>
        <w:tc>
          <w:tcPr>
            <w:tcW w:w="4666" w:type="dxa"/>
            <w:tcBorders/>
            <w:shd w:fill="auto" w:val="clear"/>
            <w:vAlign w:val="center"/>
          </w:tcPr>
          <w:p>
            <w:pPr>
              <w:pStyle w:val="TableContents"/>
              <w:spacing w:before="0" w:after="0"/>
              <w:ind w:left="140" w:right="0" w:hanging="0"/>
              <w:jc w:val="left"/>
              <w:rPr>
                <w:rFonts w:ascii="Arial;sans-serif" w:hAnsi="Arial;sans-serif"/>
                <w:b w:val="false"/>
                <w:sz w:val="24"/>
              </w:rPr>
            </w:pPr>
            <w:r>
              <w:rPr>
                <w:rFonts w:ascii="Arial;sans-serif" w:hAnsi="Arial;sans-serif"/>
                <w:b w:val="false"/>
                <w:sz w:val="24"/>
              </w:rPr>
              <w:t>Current operating lease liabilities</w:t>
            </w:r>
          </w:p>
        </w:tc>
        <w:tc>
          <w:tcPr>
            <w:tcW w:w="307" w:type="dxa"/>
            <w:tcBorders/>
            <w:shd w:fill="auto" w:val="clear"/>
            <w:vAlign w:val="center"/>
          </w:tcPr>
          <w:p>
            <w:pPr>
              <w:pStyle w:val="TableContents"/>
              <w:spacing w:before="0" w:after="0"/>
              <w:ind w:left="0" w:right="0" w:hanging="0"/>
              <w:jc w:val="left"/>
              <w:rPr/>
            </w:pPr>
            <w:r>
              <w:rPr/>
              <w:t> </w:t>
            </w:r>
          </w:p>
        </w:tc>
        <w:tc>
          <w:tcPr>
            <w:tcW w:w="1343"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1,325</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left"/>
              <w:rPr/>
            </w:pPr>
            <w:r>
              <w:rPr/>
              <w:t> </w:t>
            </w:r>
          </w:p>
        </w:tc>
        <w:tc>
          <w:tcPr>
            <w:tcW w:w="1684"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1,413</w:t>
            </w:r>
          </w:p>
        </w:tc>
        <w:tc>
          <w:tcPr>
            <w:tcW w:w="891" w:type="dxa"/>
            <w:tcBorders/>
            <w:shd w:fill="auto" w:val="clear"/>
            <w:vAlign w:val="center"/>
          </w:tcPr>
          <w:p>
            <w:pPr>
              <w:pStyle w:val="TableContents"/>
              <w:spacing w:before="0" w:after="0"/>
              <w:ind w:left="0" w:right="0" w:firstLine="140"/>
              <w:jc w:val="left"/>
              <w:rPr/>
            </w:pPr>
            <w:r>
              <w:rPr/>
              <w:t> </w:t>
            </w:r>
          </w:p>
        </w:tc>
      </w:tr>
      <w:tr>
        <w:trPr/>
        <w:tc>
          <w:tcPr>
            <w:tcW w:w="4666" w:type="dxa"/>
            <w:tcBorders/>
            <w:shd w:fill="auto" w:val="clear"/>
            <w:vAlign w:val="center"/>
          </w:tcPr>
          <w:p>
            <w:pPr>
              <w:pStyle w:val="TableContents"/>
              <w:spacing w:before="0" w:after="0"/>
              <w:ind w:left="140" w:right="0" w:hanging="0"/>
              <w:jc w:val="left"/>
              <w:rPr>
                <w:rFonts w:ascii="Arial;sans-serif" w:hAnsi="Arial;sans-serif"/>
                <w:b w:val="false"/>
                <w:sz w:val="24"/>
              </w:rPr>
            </w:pPr>
            <w:r>
              <w:rPr>
                <w:rFonts w:ascii="Arial;sans-serif" w:hAnsi="Arial;sans-serif"/>
                <w:b w:val="false"/>
                <w:sz w:val="24"/>
              </w:rPr>
              <w:t>Accrued compensation</w:t>
            </w:r>
          </w:p>
        </w:tc>
        <w:tc>
          <w:tcPr>
            <w:tcW w:w="307" w:type="dxa"/>
            <w:tcBorders/>
            <w:shd w:fill="auto" w:val="clear"/>
            <w:vAlign w:val="center"/>
          </w:tcPr>
          <w:p>
            <w:pPr>
              <w:pStyle w:val="TableContents"/>
              <w:spacing w:before="0" w:after="0"/>
              <w:ind w:left="0" w:right="0" w:hanging="0"/>
              <w:jc w:val="left"/>
              <w:rPr/>
            </w:pPr>
            <w:r>
              <w:rPr/>
              <w:t> </w:t>
            </w:r>
          </w:p>
        </w:tc>
        <w:tc>
          <w:tcPr>
            <w:tcW w:w="1343"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456</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left"/>
              <w:rPr/>
            </w:pPr>
            <w:r>
              <w:rPr/>
              <w:t> </w:t>
            </w:r>
          </w:p>
        </w:tc>
        <w:tc>
          <w:tcPr>
            <w:tcW w:w="1684"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1,248</w:t>
            </w:r>
          </w:p>
        </w:tc>
        <w:tc>
          <w:tcPr>
            <w:tcW w:w="891" w:type="dxa"/>
            <w:tcBorders/>
            <w:shd w:fill="auto" w:val="clear"/>
            <w:vAlign w:val="center"/>
          </w:tcPr>
          <w:p>
            <w:pPr>
              <w:pStyle w:val="TableContents"/>
              <w:spacing w:before="0" w:after="0"/>
              <w:ind w:left="0" w:right="0" w:firstLine="140"/>
              <w:jc w:val="left"/>
              <w:rPr/>
            </w:pPr>
            <w:r>
              <w:rPr/>
              <w:t> </w:t>
            </w:r>
          </w:p>
        </w:tc>
      </w:tr>
      <w:tr>
        <w:trPr/>
        <w:tc>
          <w:tcPr>
            <w:tcW w:w="4666" w:type="dxa"/>
            <w:tcBorders/>
            <w:shd w:fill="auto" w:val="clear"/>
            <w:vAlign w:val="center"/>
          </w:tcPr>
          <w:p>
            <w:pPr>
              <w:pStyle w:val="TableContents"/>
              <w:spacing w:before="0" w:after="0"/>
              <w:ind w:left="140" w:right="0" w:hanging="0"/>
              <w:jc w:val="left"/>
              <w:rPr>
                <w:rFonts w:ascii="Arial;sans-serif" w:hAnsi="Arial;sans-serif"/>
                <w:b w:val="false"/>
                <w:sz w:val="24"/>
              </w:rPr>
            </w:pPr>
            <w:r>
              <w:rPr>
                <w:rFonts w:ascii="Arial;sans-serif" w:hAnsi="Arial;sans-serif"/>
                <w:b w:val="false"/>
                <w:sz w:val="24"/>
              </w:rPr>
              <w:t>Interest payable</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104</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97</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20"/>
              <w:jc w:val="left"/>
              <w:rPr/>
            </w:pPr>
            <w:r>
              <w:rPr/>
              <w:t> </w:t>
            </w:r>
          </w:p>
        </w:tc>
      </w:tr>
      <w:tr>
        <w:trPr/>
        <w:tc>
          <w:tcPr>
            <w:tcW w:w="4666" w:type="dxa"/>
            <w:tcBorders/>
            <w:shd w:fill="auto" w:val="clear"/>
            <w:vAlign w:val="center"/>
          </w:tcPr>
          <w:p>
            <w:pPr>
              <w:pStyle w:val="TableContents"/>
              <w:spacing w:before="0" w:after="0"/>
              <w:ind w:left="420" w:right="0" w:hanging="0"/>
              <w:jc w:val="left"/>
              <w:rPr>
                <w:rFonts w:ascii="Arial;sans-serif" w:hAnsi="Arial;sans-serif"/>
                <w:b w:val="false"/>
                <w:sz w:val="24"/>
              </w:rPr>
            </w:pPr>
            <w:r>
              <w:rPr>
                <w:rFonts w:ascii="Arial;sans-serif" w:hAnsi="Arial;sans-serif"/>
                <w:b w:val="false"/>
                <w:sz w:val="24"/>
              </w:rPr>
              <w:t>Total current liabilities</w:t>
            </w:r>
          </w:p>
        </w:tc>
        <w:tc>
          <w:tcPr>
            <w:tcW w:w="307" w:type="dxa"/>
            <w:tcBorders/>
            <w:shd w:fill="auto" w:val="clear"/>
            <w:vAlign w:val="center"/>
          </w:tcPr>
          <w:p>
            <w:pPr>
              <w:pStyle w:val="TableContents"/>
              <w:spacing w:before="0" w:after="0"/>
              <w:ind w:left="0" w:right="0" w:hanging="0"/>
              <w:jc w:val="left"/>
              <w:rPr/>
            </w:pPr>
            <w:r>
              <w:rPr/>
              <w:t> </w:t>
            </w:r>
          </w:p>
        </w:tc>
        <w:tc>
          <w:tcPr>
            <w:tcW w:w="1343"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7,511</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left"/>
              <w:rPr/>
            </w:pPr>
            <w:r>
              <w:rPr/>
              <w:t> </w:t>
            </w:r>
          </w:p>
        </w:tc>
        <w:tc>
          <w:tcPr>
            <w:tcW w:w="1684"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7,277</w:t>
            </w:r>
          </w:p>
        </w:tc>
        <w:tc>
          <w:tcPr>
            <w:tcW w:w="891" w:type="dxa"/>
            <w:tcBorders/>
            <w:shd w:fill="auto" w:val="cle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pPr>
            <w:r>
              <w:rPr/>
              <w:t> </w:t>
            </w:r>
          </w:p>
        </w:tc>
        <w:tc>
          <w:tcPr>
            <w:tcW w:w="1650"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0" w:type="dxa"/>
            <w:gridSpan w:val="2"/>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Loan payable, net</w:t>
            </w:r>
          </w:p>
        </w:tc>
        <w:tc>
          <w:tcPr>
            <w:tcW w:w="307" w:type="dxa"/>
            <w:tcBorders/>
            <w:shd w:fill="auto" w:val="clear"/>
            <w:vAlign w:val="center"/>
          </w:tcPr>
          <w:p>
            <w:pPr>
              <w:pStyle w:val="TableContents"/>
              <w:spacing w:before="0" w:after="0"/>
              <w:ind w:left="0" w:right="0" w:hanging="0"/>
              <w:jc w:val="left"/>
              <w:rPr/>
            </w:pPr>
            <w:r>
              <w:rPr/>
              <w:t> </w:t>
            </w:r>
          </w:p>
        </w:tc>
        <w:tc>
          <w:tcPr>
            <w:tcW w:w="1343"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8,935</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left"/>
              <w:rPr/>
            </w:pPr>
            <w:r>
              <w:rPr/>
              <w:t> </w:t>
            </w:r>
          </w:p>
        </w:tc>
        <w:tc>
          <w:tcPr>
            <w:tcW w:w="1684"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10,371</w:t>
            </w:r>
          </w:p>
        </w:tc>
        <w:tc>
          <w:tcPr>
            <w:tcW w:w="891" w:type="dxa"/>
            <w:tcBorders/>
            <w:shd w:fill="auto" w:val="cle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Operating lease liabilities</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9,918</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10,330</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20"/>
              <w:jc w:val="left"/>
              <w:rPr/>
            </w:pPr>
            <w:r>
              <w:rPr/>
              <w:t> </w:t>
            </w:r>
          </w:p>
        </w:tc>
      </w:tr>
      <w:tr>
        <w:trPr/>
        <w:tc>
          <w:tcPr>
            <w:tcW w:w="4666" w:type="dxa"/>
            <w:tcBorders/>
            <w:shd w:fill="auto" w:val="clear"/>
            <w:vAlign w:val="center"/>
          </w:tcPr>
          <w:p>
            <w:pPr>
              <w:pStyle w:val="TableContents"/>
              <w:spacing w:before="0" w:after="0"/>
              <w:ind w:left="420" w:right="0" w:hanging="0"/>
              <w:jc w:val="left"/>
              <w:rPr>
                <w:rFonts w:ascii="Arial;sans-serif" w:hAnsi="Arial;sans-serif"/>
                <w:b w:val="false"/>
                <w:sz w:val="24"/>
              </w:rPr>
            </w:pPr>
            <w:r>
              <w:rPr>
                <w:rFonts w:ascii="Arial;sans-serif" w:hAnsi="Arial;sans-serif"/>
                <w:b w:val="false"/>
                <w:sz w:val="24"/>
              </w:rPr>
              <w:t>Total liabilities</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26,364</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27,978</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pPr>
            <w:r>
              <w:rPr/>
              <w:t> </w:t>
            </w:r>
          </w:p>
        </w:tc>
        <w:tc>
          <w:tcPr>
            <w:tcW w:w="1650"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0" w:type="dxa"/>
            <w:gridSpan w:val="2"/>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Stockholders' equity</w:t>
            </w:r>
          </w:p>
        </w:tc>
        <w:tc>
          <w:tcPr>
            <w:tcW w:w="1650" w:type="dxa"/>
            <w:gridSpan w:val="2"/>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0" w:type="dxa"/>
            <w:gridSpan w:val="2"/>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140"/>
              <w:jc w:val="left"/>
              <w:rPr/>
            </w:pPr>
            <w:r>
              <w:rPr/>
              <w:t> </w:t>
            </w:r>
          </w:p>
        </w:tc>
      </w:tr>
      <w:tr>
        <w:trPr/>
        <w:tc>
          <w:tcPr>
            <w:tcW w:w="4666" w:type="dxa"/>
            <w:tcBorders/>
            <w:shd w:fill="auto" w:val="clear"/>
            <w:vAlign w:val="center"/>
          </w:tcPr>
          <w:p>
            <w:pPr>
              <w:pStyle w:val="TableContents"/>
              <w:spacing w:before="0" w:after="0"/>
              <w:ind w:left="140" w:right="0" w:hanging="0"/>
              <w:jc w:val="left"/>
              <w:rPr>
                <w:rFonts w:ascii="Arial;sans-serif" w:hAnsi="Arial;sans-serif"/>
                <w:b w:val="false"/>
                <w:sz w:val="24"/>
              </w:rPr>
            </w:pPr>
            <w:r>
              <w:rPr>
                <w:rFonts w:ascii="Arial;sans-serif" w:hAnsi="Arial;sans-serif"/>
                <w:b w:val="false"/>
                <w:sz w:val="24"/>
              </w:rPr>
              <w:t>Common stock</w:t>
            </w:r>
          </w:p>
        </w:tc>
        <w:tc>
          <w:tcPr>
            <w:tcW w:w="307" w:type="dxa"/>
            <w:tcBorders/>
            <w:shd w:fill="auto" w:val="clear"/>
            <w:vAlign w:val="center"/>
          </w:tcPr>
          <w:p>
            <w:pPr>
              <w:pStyle w:val="TableContents"/>
              <w:spacing w:before="0" w:after="0"/>
              <w:ind w:left="0" w:right="0" w:hanging="0"/>
              <w:jc w:val="left"/>
              <w:rPr/>
            </w:pPr>
            <w:r>
              <w:rPr/>
              <w:t> </w:t>
            </w:r>
          </w:p>
        </w:tc>
        <w:tc>
          <w:tcPr>
            <w:tcW w:w="1343"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11</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left"/>
              <w:rPr/>
            </w:pPr>
            <w:r>
              <w:rPr/>
              <w:t> </w:t>
            </w:r>
          </w:p>
        </w:tc>
        <w:tc>
          <w:tcPr>
            <w:tcW w:w="1684"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11</w:t>
            </w:r>
          </w:p>
        </w:tc>
        <w:tc>
          <w:tcPr>
            <w:tcW w:w="891" w:type="dxa"/>
            <w:tcBorders/>
            <w:shd w:fill="auto" w:val="clear"/>
            <w:vAlign w:val="center"/>
          </w:tcPr>
          <w:p>
            <w:pPr>
              <w:pStyle w:val="TableContents"/>
              <w:spacing w:before="0" w:after="0"/>
              <w:ind w:left="0" w:right="0" w:firstLine="140"/>
              <w:jc w:val="left"/>
              <w:rPr/>
            </w:pPr>
            <w:r>
              <w:rPr/>
              <w:t> </w:t>
            </w:r>
          </w:p>
        </w:tc>
      </w:tr>
      <w:tr>
        <w:trPr/>
        <w:tc>
          <w:tcPr>
            <w:tcW w:w="4666" w:type="dxa"/>
            <w:tcBorders/>
            <w:shd w:fill="auto" w:val="clear"/>
            <w:vAlign w:val="center"/>
          </w:tcPr>
          <w:p>
            <w:pPr>
              <w:pStyle w:val="TableContents"/>
              <w:spacing w:before="0" w:after="0"/>
              <w:ind w:left="140" w:right="0" w:hanging="0"/>
              <w:jc w:val="left"/>
              <w:rPr>
                <w:rFonts w:ascii="Arial;sans-serif" w:hAnsi="Arial;sans-serif"/>
                <w:b w:val="false"/>
                <w:sz w:val="24"/>
              </w:rPr>
            </w:pPr>
            <w:r>
              <w:rPr>
                <w:rFonts w:ascii="Arial;sans-serif" w:hAnsi="Arial;sans-serif"/>
                <w:b w:val="false"/>
                <w:sz w:val="24"/>
              </w:rPr>
              <w:t>Additional paid-in capital</w:t>
            </w:r>
          </w:p>
        </w:tc>
        <w:tc>
          <w:tcPr>
            <w:tcW w:w="307" w:type="dxa"/>
            <w:tcBorders/>
            <w:shd w:fill="auto" w:val="clear"/>
            <w:vAlign w:val="center"/>
          </w:tcPr>
          <w:p>
            <w:pPr>
              <w:pStyle w:val="TableContents"/>
              <w:spacing w:before="0" w:after="0"/>
              <w:ind w:left="0" w:right="0" w:hanging="0"/>
              <w:jc w:val="left"/>
              <w:rPr/>
            </w:pPr>
            <w:r>
              <w:rPr/>
              <w:t> </w:t>
            </w:r>
          </w:p>
        </w:tc>
        <w:tc>
          <w:tcPr>
            <w:tcW w:w="1343"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154,362</w:t>
            </w:r>
          </w:p>
        </w:tc>
        <w:tc>
          <w:tcPr>
            <w:tcW w:w="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left"/>
              <w:rPr/>
            </w:pPr>
            <w:r>
              <w:rPr/>
              <w:t> </w:t>
            </w:r>
          </w:p>
        </w:tc>
        <w:tc>
          <w:tcPr>
            <w:tcW w:w="1684"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153,872</w:t>
            </w:r>
          </w:p>
        </w:tc>
        <w:tc>
          <w:tcPr>
            <w:tcW w:w="891" w:type="dxa"/>
            <w:tcBorders/>
            <w:shd w:fill="auto" w:val="clear"/>
            <w:vAlign w:val="center"/>
          </w:tcPr>
          <w:p>
            <w:pPr>
              <w:pStyle w:val="TableContents"/>
              <w:spacing w:before="0" w:after="0"/>
              <w:ind w:left="0" w:right="0" w:firstLine="140"/>
              <w:jc w:val="left"/>
              <w:rPr/>
            </w:pPr>
            <w:r>
              <w:rPr/>
              <w:t> </w:t>
            </w:r>
          </w:p>
        </w:tc>
      </w:tr>
      <w:tr>
        <w:trPr/>
        <w:tc>
          <w:tcPr>
            <w:tcW w:w="4666" w:type="dxa"/>
            <w:tcBorders/>
            <w:shd w:fill="auto" w:val="clear"/>
            <w:vAlign w:val="center"/>
          </w:tcPr>
          <w:p>
            <w:pPr>
              <w:pStyle w:val="TableContents"/>
              <w:spacing w:before="0" w:after="0"/>
              <w:ind w:left="140" w:right="0" w:hanging="0"/>
              <w:jc w:val="left"/>
              <w:rPr>
                <w:rFonts w:ascii="Arial;sans-serif" w:hAnsi="Arial;sans-serif"/>
                <w:b w:val="false"/>
                <w:sz w:val="24"/>
              </w:rPr>
            </w:pPr>
            <w:r>
              <w:rPr>
                <w:rFonts w:ascii="Arial;sans-serif" w:hAnsi="Arial;sans-serif"/>
                <w:b w:val="false"/>
                <w:sz w:val="24"/>
              </w:rPr>
              <w:t>Accumulated deficit</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(143,408</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(135,772</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20"/>
              <w:jc w:val="left"/>
              <w:rPr>
                <w:rFonts w:ascii="Arial;sans-serif" w:hAnsi="Arial;sans-serif"/>
                <w:b w:val="false"/>
                <w:sz w:val="24"/>
              </w:rPr>
            </w:pPr>
            <w:r>
              <w:rPr>
                <w:rFonts w:ascii="Arial;sans-serif" w:hAnsi="Arial;sans-serif"/>
                <w:b w:val="false"/>
                <w:sz w:val="24"/>
              </w:rPr>
              <w:t>)</w:t>
            </w:r>
          </w:p>
        </w:tc>
      </w:tr>
      <w:tr>
        <w:trPr/>
        <w:tc>
          <w:tcPr>
            <w:tcW w:w="4666" w:type="dxa"/>
            <w:tcBorders/>
            <w:shd w:fill="auto" w:val="clear"/>
            <w:vAlign w:val="center"/>
          </w:tcPr>
          <w:p>
            <w:pPr>
              <w:pStyle w:val="TableContents"/>
              <w:spacing w:before="0" w:after="0"/>
              <w:ind w:left="420" w:right="0" w:hanging="0"/>
              <w:jc w:val="left"/>
              <w:rPr>
                <w:rFonts w:ascii="Arial;sans-serif" w:hAnsi="Arial;sans-serif"/>
                <w:b w:val="false"/>
                <w:sz w:val="24"/>
              </w:rPr>
            </w:pPr>
            <w:r>
              <w:rPr>
                <w:rFonts w:ascii="Arial;sans-serif" w:hAnsi="Arial;sans-serif"/>
                <w:b w:val="false"/>
                <w:sz w:val="24"/>
              </w:rPr>
              <w:t>Total stockholders' equity</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10,965</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18,111</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20"/>
              <w:jc w:val="left"/>
              <w:rPr/>
            </w:pPr>
            <w:r>
              <w:rPr/>
              <w:t> </w:t>
            </w:r>
          </w:p>
        </w:tc>
      </w:tr>
      <w:tr>
        <w:trPr/>
        <w:tc>
          <w:tcPr>
            <w:tcW w:w="4666" w:type="dxa"/>
            <w:tcBorders/>
            <w:shd w:fill="auto" w:val="clear"/>
            <w:vAlign w:val="center"/>
          </w:tcPr>
          <w:p>
            <w:pPr>
              <w:pStyle w:val="TableContents"/>
              <w:spacing w:before="0" w:after="0"/>
              <w:ind w:left="420" w:right="0" w:hanging="0"/>
              <w:jc w:val="left"/>
              <w:rPr>
                <w:rFonts w:ascii="Arial;sans-serif" w:hAnsi="Arial;sans-serif"/>
                <w:b w:val="false"/>
                <w:sz w:val="24"/>
              </w:rPr>
            </w:pPr>
            <w:r>
              <w:rPr>
                <w:rFonts w:ascii="Arial;sans-serif" w:hAnsi="Arial;sans-serif"/>
                <w:b w:val="false"/>
                <w:sz w:val="24"/>
              </w:rPr>
              <w:t>Total liabilities and stockholders' equity</w:t>
            </w:r>
          </w:p>
        </w:tc>
        <w:tc>
          <w:tcPr>
            <w:tcW w:w="3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c>
          <w:tcPr>
            <w:tcW w:w="13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37,329</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c>
          <w:tcPr>
            <w:tcW w:w="16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46,089</w:t>
            </w:r>
          </w:p>
        </w:tc>
        <w:tc>
          <w:tcPr>
            <w:tcW w:w="8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160"/>
        <w:jc w:val="left"/>
        <w:rPr/>
      </w:pPr>
      <w:r>
        <w:rPr/>
        <w:t> </w:t>
      </w:r>
    </w:p>
    <w:p>
      <w:pPr>
        <w:pStyle w:val="TextBody"/>
        <w:spacing w:before="0" w:after="160"/>
        <w:jc w:val="left"/>
        <w:rPr/>
      </w:pPr>
      <w:r>
        <w:rPr/>
        <w:t> </w:t>
      </w:r>
    </w:p>
    <w:p>
      <w:pPr>
        <w:pStyle w:val="TextBody"/>
        <w:spacing w:before="0" w:after="160"/>
        <w:jc w:val="left"/>
        <w:rPr/>
      </w:pPr>
      <w:r>
        <w:rPr/>
        <w:t> </w:t>
      </w:r>
    </w:p>
    <w:p>
      <w:pPr>
        <w:pStyle w:val="TextBody"/>
        <w:spacing w:before="0" w:after="0"/>
        <w:jc w:val="left"/>
        <w:rPr/>
      </w:pPr>
      <w:r>
        <w:rPr/>
        <w:t> </w:t>
      </w:r>
    </w:p>
    <w:p>
      <w:pPr>
        <w:pStyle w:val="TextBody"/>
        <w:spacing w:before="0" w:after="0"/>
        <w:jc w:val="left"/>
        <w:rPr>
          <w:rFonts w:ascii="Arial;sans-serif" w:hAnsi="Arial;sans-serif"/>
          <w:b w:val="false"/>
          <w:sz w:val="14"/>
        </w:rPr>
      </w:pPr>
      <w:r>
        <w:rPr>
          <w:rFonts w:ascii="Arial;sans-serif" w:hAnsi="Arial;sans-serif"/>
          <w:b w:val="false"/>
          <w:sz w:val="14"/>
        </w:rPr>
        <w:t>285820715 v1</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left"/>
        <w:rPr/>
      </w:pPr>
      <w:r>
        <w:rPr/>
        <w:t> </w:t>
      </w:r>
    </w:p>
    <w:p>
      <w:pPr>
        <w:pStyle w:val="TextBody"/>
        <w:spacing w:before="0" w:after="160"/>
        <w:jc w:val="left"/>
        <w:rPr/>
      </w:pPr>
      <w:r>
        <w:rPr/>
        <w:t> </w:t>
      </w:r>
    </w:p>
    <w:p>
      <w:pPr>
        <w:pStyle w:val="TextBody"/>
        <w:spacing w:before="0" w:after="160"/>
        <w:jc w:val="left"/>
        <w:rPr/>
      </w:pPr>
      <w:r>
        <w:rPr/>
        <w:t> </w:t>
      </w:r>
    </w:p>
    <w:p>
      <w:pPr>
        <w:pStyle w:val="TextBody"/>
        <w:spacing w:before="0" w:after="160"/>
        <w:jc w:val="left"/>
        <w:rPr/>
      </w:pPr>
      <w:r>
        <w:rPr/>
        <w:t> </w:t>
      </w:r>
    </w:p>
    <w:tbl>
      <w:tblPr>
        <w:tblW w:w="9625" w:type="dxa"/>
        <w:jc w:val="left"/>
        <w:tblInd w:w="0" w:type="dxa"/>
        <w:tblCellMar>
          <w:top w:w="28" w:type="dxa"/>
          <w:left w:w="28" w:type="dxa"/>
          <w:bottom w:w="28" w:type="dxa"/>
          <w:right w:w="28" w:type="dxa"/>
        </w:tblCellMar>
      </w:tblPr>
      <w:tblGrid>
        <w:gridCol w:w="3452"/>
        <w:gridCol w:w="583"/>
        <w:gridCol w:w="1892"/>
        <w:gridCol w:w="184"/>
        <w:gridCol w:w="148"/>
        <w:gridCol w:w="583"/>
        <w:gridCol w:w="1892"/>
        <w:gridCol w:w="891"/>
      </w:tblGrid>
      <w:tr>
        <w:trPr/>
        <w:tc>
          <w:tcPr>
            <w:tcW w:w="3452"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892"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892"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r>
      <w:tr>
        <w:trPr/>
        <w:tc>
          <w:tcPr>
            <w:tcW w:w="8734" w:type="dxa"/>
            <w:gridSpan w:val="7"/>
            <w:tcBorders/>
            <w:shd w:fill="auto" w:val="clear"/>
            <w:vAlign w:val="center"/>
          </w:tcPr>
          <w:p>
            <w:pPr>
              <w:pStyle w:val="TableContents"/>
              <w:spacing w:before="0" w:after="0"/>
              <w:ind w:left="0" w:right="0" w:hanging="0"/>
              <w:jc w:val="center"/>
              <w:rPr>
                <w:rFonts w:ascii="Arial;sans-serif" w:hAnsi="Arial;sans-serif"/>
                <w:b/>
                <w:sz w:val="28"/>
              </w:rPr>
            </w:pPr>
            <w:r>
              <w:rPr>
                <w:rFonts w:ascii="Arial;sans-serif" w:hAnsi="Arial;sans-serif"/>
                <w:b/>
                <w:sz w:val="28"/>
              </w:rPr>
              <w:t>TEMPEST THERAPEUTICS, INC.</w:t>
            </w:r>
          </w:p>
        </w:tc>
        <w:tc>
          <w:tcPr>
            <w:tcW w:w="891" w:type="dxa"/>
            <w:tcBorders/>
            <w:shd w:fill="auto" w:val="clear"/>
            <w:vAlign w:val="center"/>
          </w:tcPr>
          <w:p>
            <w:pPr>
              <w:pStyle w:val="TableContents"/>
              <w:spacing w:before="0" w:after="0"/>
              <w:ind w:left="0" w:right="0" w:hanging="0"/>
              <w:jc w:val="center"/>
              <w:rPr/>
            </w:pPr>
            <w:r>
              <w:rPr/>
              <w:t> </w:t>
            </w:r>
          </w:p>
        </w:tc>
      </w:tr>
      <w:tr>
        <w:trPr/>
        <w:tc>
          <w:tcPr>
            <w:tcW w:w="8734" w:type="dxa"/>
            <w:gridSpan w:val="7"/>
            <w:tcBorders/>
            <w:shd w:fill="auto" w:val="clear"/>
            <w:vAlign w:val="center"/>
          </w:tcPr>
          <w:p>
            <w:pPr>
              <w:pStyle w:val="TableContents"/>
              <w:spacing w:before="0" w:after="0"/>
              <w:ind w:left="0" w:right="0" w:hanging="0"/>
              <w:jc w:val="center"/>
              <w:rPr>
                <w:rFonts w:ascii="Arial;sans-serif" w:hAnsi="Arial;sans-serif"/>
                <w:b/>
                <w:sz w:val="28"/>
              </w:rPr>
            </w:pPr>
            <w:r>
              <w:rPr>
                <w:rFonts w:ascii="Arial;sans-serif" w:hAnsi="Arial;sans-serif"/>
                <w:b/>
                <w:sz w:val="28"/>
              </w:rPr>
              <w:t>Consolidated Statements of Operations</w:t>
            </w:r>
          </w:p>
        </w:tc>
        <w:tc>
          <w:tcPr>
            <w:tcW w:w="891" w:type="dxa"/>
            <w:tcBorders/>
            <w:shd w:fill="auto" w:val="clear"/>
            <w:vAlign w:val="center"/>
          </w:tcPr>
          <w:p>
            <w:pPr>
              <w:pStyle w:val="TableContents"/>
              <w:spacing w:before="0" w:after="0"/>
              <w:ind w:left="0" w:right="0" w:hanging="0"/>
              <w:jc w:val="center"/>
              <w:rPr/>
            </w:pPr>
            <w:r>
              <w:rPr/>
              <w:t> </w:t>
            </w:r>
          </w:p>
        </w:tc>
      </w:tr>
      <w:tr>
        <w:trPr/>
        <w:tc>
          <w:tcPr>
            <w:tcW w:w="8734" w:type="dxa"/>
            <w:gridSpan w:val="7"/>
            <w:tcBorders/>
            <w:shd w:fill="auto" w:val="clear"/>
            <w:vAlign w:val="center"/>
          </w:tcPr>
          <w:p>
            <w:pPr>
              <w:pStyle w:val="TableContents"/>
              <w:spacing w:before="0" w:after="0"/>
              <w:ind w:left="0" w:right="0" w:hanging="0"/>
              <w:jc w:val="center"/>
              <w:rPr>
                <w:rFonts w:ascii="Arial;sans-serif" w:hAnsi="Arial;sans-serif"/>
                <w:b/>
                <w:sz w:val="28"/>
              </w:rPr>
            </w:pPr>
            <w:r>
              <w:rPr>
                <w:rFonts w:ascii="Arial;sans-serif" w:hAnsi="Arial;sans-serif"/>
                <w:b/>
                <w:sz w:val="28"/>
              </w:rPr>
              <w:t>(in thousands, except per share amounts)</w:t>
            </w:r>
          </w:p>
        </w:tc>
        <w:tc>
          <w:tcPr>
            <w:tcW w:w="891" w:type="dxa"/>
            <w:tcBorders/>
            <w:shd w:fill="auto" w:val="clear"/>
            <w:vAlign w:val="center"/>
          </w:tcPr>
          <w:p>
            <w:pPr>
              <w:pStyle w:val="TableContents"/>
              <w:spacing w:before="0" w:after="0"/>
              <w:ind w:left="0" w:right="0" w:hanging="0"/>
              <w:jc w:val="center"/>
              <w:rPr/>
            </w:pPr>
            <w:r>
              <w:rPr/>
              <w:t> </w:t>
            </w:r>
          </w:p>
        </w:tc>
      </w:tr>
      <w:tr>
        <w:trPr/>
        <w:tc>
          <w:tcPr>
            <w:tcW w:w="3452" w:type="dxa"/>
            <w:tcBorders/>
            <w:shd w:fill="auto" w:val="clear"/>
            <w:vAlign w:val="center"/>
          </w:tcPr>
          <w:p>
            <w:pPr>
              <w:pStyle w:val="TableContents"/>
              <w:spacing w:before="0" w:after="0"/>
              <w:ind w:left="0" w:right="0" w:hanging="0"/>
              <w:jc w:val="center"/>
              <w:rPr/>
            </w:pPr>
            <w:r>
              <w:rPr/>
              <w:t> </w:t>
            </w:r>
          </w:p>
        </w:tc>
        <w:tc>
          <w:tcPr>
            <w:tcW w:w="2475" w:type="dxa"/>
            <w:gridSpan w:val="2"/>
            <w:tcBorders/>
            <w:shd w:fill="auto" w:val="clear"/>
            <w:vAlign w:val="center"/>
          </w:tcPr>
          <w:p>
            <w:pPr>
              <w:pStyle w:val="TableContents"/>
              <w:spacing w:before="0" w:after="0"/>
              <w:ind w:left="0" w:right="0" w:hanging="0"/>
              <w:jc w:val="center"/>
              <w:rPr/>
            </w:pPr>
            <w:r>
              <w:rPr/>
              <w:t> </w:t>
            </w:r>
          </w:p>
        </w:tc>
        <w:tc>
          <w:tcPr>
            <w:tcW w:w="184" w:type="dxa"/>
            <w:tcBorders/>
            <w:shd w:fill="auto" w:val="clear"/>
            <w:vAlign w:val="center"/>
          </w:tcPr>
          <w:p>
            <w:pPr>
              <w:pStyle w:val="TableContents"/>
              <w:spacing w:before="0" w:after="0"/>
              <w:ind w:left="0" w:right="0" w:hanging="0"/>
              <w:jc w:val="center"/>
              <w:rPr/>
            </w:pPr>
            <w:r>
              <w:rPr/>
              <w:t> </w:t>
            </w:r>
          </w:p>
        </w:tc>
        <w:tc>
          <w:tcPr>
            <w:tcW w:w="148" w:type="dxa"/>
            <w:tcBorders/>
            <w:shd w:fill="auto" w:val="clear"/>
            <w:vAlign w:val="center"/>
          </w:tcPr>
          <w:p>
            <w:pPr>
              <w:pStyle w:val="TableContents"/>
              <w:spacing w:before="0" w:after="0"/>
              <w:ind w:left="0" w:right="0" w:hanging="0"/>
              <w:jc w:val="center"/>
              <w:rPr/>
            </w:pPr>
            <w:r>
              <w:rPr/>
              <w:t> </w:t>
            </w:r>
          </w:p>
        </w:tc>
        <w:tc>
          <w:tcPr>
            <w:tcW w:w="2475" w:type="dxa"/>
            <w:gridSpan w:val="2"/>
            <w:tcBorders/>
            <w:shd w:fill="auto" w:val="clear"/>
            <w:vAlign w:val="center"/>
          </w:tcPr>
          <w:p>
            <w:pPr>
              <w:pStyle w:val="TableContents"/>
              <w:spacing w:before="0" w:after="0"/>
              <w:ind w:left="0" w:right="0" w:hanging="0"/>
              <w:jc w:val="center"/>
              <w:rPr/>
            </w:pPr>
            <w:r>
              <w:rPr/>
              <w:t> </w:t>
            </w:r>
          </w:p>
        </w:tc>
        <w:tc>
          <w:tcPr>
            <w:tcW w:w="891" w:type="dxa"/>
            <w:tcBorders/>
            <w:shd w:fill="auto" w:val="clear"/>
            <w:vAlign w:val="center"/>
          </w:tcPr>
          <w:p>
            <w:pPr>
              <w:pStyle w:val="TableContents"/>
              <w:spacing w:before="0" w:after="0"/>
              <w:ind w:left="0" w:right="0" w:hanging="0"/>
              <w:jc w:val="center"/>
              <w:rPr/>
            </w:pPr>
            <w:r>
              <w:rPr/>
              <w:t> </w:t>
            </w:r>
          </w:p>
        </w:tc>
      </w:tr>
      <w:tr>
        <w:trPr/>
        <w:tc>
          <w:tcPr>
            <w:tcW w:w="3452" w:type="dxa"/>
            <w:tcBorders/>
            <w:shd w:fill="auto" w:val="clear"/>
            <w:vAlign w:val="center"/>
          </w:tcPr>
          <w:p>
            <w:pPr>
              <w:pStyle w:val="TableContents"/>
              <w:spacing w:before="0" w:after="0"/>
              <w:ind w:left="0" w:right="0" w:hanging="0"/>
              <w:jc w:val="left"/>
              <w:rPr/>
            </w:pPr>
            <w:r>
              <w:rPr/>
              <w:t> </w:t>
            </w:r>
          </w:p>
        </w:tc>
        <w:tc>
          <w:tcPr>
            <w:tcW w:w="2475" w:type="dxa"/>
            <w:gridSpan w:val="2"/>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475" w:type="dxa"/>
            <w:gridSpan w:val="2"/>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hanging="0"/>
              <w:jc w:val="left"/>
              <w:rPr/>
            </w:pPr>
            <w:r>
              <w:rPr/>
              <w:t> </w:t>
            </w:r>
          </w:p>
        </w:tc>
      </w:tr>
      <w:tr>
        <w:trPr/>
        <w:tc>
          <w:tcPr>
            <w:tcW w:w="3452" w:type="dxa"/>
            <w:tcBorders/>
            <w:shd w:fill="auto" w:val="clear"/>
            <w:vAlign w:val="center"/>
          </w:tcPr>
          <w:p>
            <w:pPr>
              <w:pStyle w:val="TableContents"/>
              <w:spacing w:before="0" w:after="0"/>
              <w:ind w:left="0" w:right="0" w:hanging="0"/>
              <w:jc w:val="left"/>
              <w:rPr/>
            </w:pPr>
            <w:r>
              <w:rPr/>
              <w:t> </w:t>
            </w:r>
          </w:p>
        </w:tc>
        <w:tc>
          <w:tcPr>
            <w:tcW w:w="2475" w:type="dxa"/>
            <w:gridSpan w:val="2"/>
            <w:tcBorders/>
            <w:shd w:fill="auto" w:val="clear"/>
            <w:vAlign w:val="center"/>
          </w:tcPr>
          <w:p>
            <w:pPr>
              <w:pStyle w:val="TableContents"/>
              <w:spacing w:before="0" w:after="0"/>
              <w:ind w:left="0" w:right="0" w:hanging="0"/>
              <w:jc w:val="center"/>
              <w:rPr>
                <w:rFonts w:ascii="Arial;sans-serif" w:hAnsi="Arial;sans-serif"/>
                <w:b/>
                <w:sz w:val="24"/>
              </w:rPr>
            </w:pPr>
            <w:r>
              <w:rPr>
                <w:rFonts w:ascii="Arial;sans-serif" w:hAnsi="Arial;sans-serif"/>
                <w:b/>
                <w:sz w:val="24"/>
              </w:rPr>
              <w:t>Three months ended</w:t>
            </w:r>
          </w:p>
        </w:tc>
        <w:tc>
          <w:tcPr>
            <w:tcW w:w="184" w:type="dxa"/>
            <w:tcBorders/>
            <w:shd w:fill="auto" w:val="clear"/>
            <w:vAlign w:val="center"/>
          </w:tcPr>
          <w:p>
            <w:pPr>
              <w:pStyle w:val="TableContents"/>
              <w:spacing w:before="0" w:after="0"/>
              <w:ind w:left="0" w:right="0" w:hanging="0"/>
              <w:jc w:val="center"/>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475" w:type="dxa"/>
            <w:gridSpan w:val="2"/>
            <w:tcBorders/>
            <w:shd w:fill="auto" w:val="clear"/>
            <w:vAlign w:val="center"/>
          </w:tcPr>
          <w:p>
            <w:pPr>
              <w:pStyle w:val="TableContents"/>
              <w:spacing w:before="0" w:after="0"/>
              <w:ind w:left="0" w:right="0" w:hanging="0"/>
              <w:jc w:val="center"/>
              <w:rPr>
                <w:rFonts w:ascii="Arial;sans-serif" w:hAnsi="Arial;sans-serif"/>
                <w:b/>
                <w:sz w:val="24"/>
              </w:rPr>
            </w:pPr>
            <w:r>
              <w:rPr>
                <w:rFonts w:ascii="Arial;sans-serif" w:hAnsi="Arial;sans-serif"/>
                <w:b/>
                <w:sz w:val="24"/>
              </w:rPr>
              <w:t>Three months ended</w:t>
            </w:r>
          </w:p>
        </w:tc>
        <w:tc>
          <w:tcPr>
            <w:tcW w:w="891" w:type="dxa"/>
            <w:tcBorders/>
            <w:shd w:fill="auto" w:val="clear"/>
            <w:vAlign w:val="center"/>
          </w:tcPr>
          <w:p>
            <w:pPr>
              <w:pStyle w:val="TableContents"/>
              <w:spacing w:before="0" w:after="0"/>
              <w:ind w:left="0" w:right="0" w:hanging="0"/>
              <w:jc w:val="center"/>
              <w:rPr/>
            </w:pPr>
            <w:r>
              <w:rPr/>
              <w:t> </w:t>
            </w:r>
          </w:p>
        </w:tc>
      </w:tr>
      <w:tr>
        <w:trPr/>
        <w:tc>
          <w:tcPr>
            <w:tcW w:w="3452" w:type="dxa"/>
            <w:tcBorders/>
            <w:shd w:fill="auto" w:val="clear"/>
            <w:vAlign w:val="center"/>
          </w:tcPr>
          <w:p>
            <w:pPr>
              <w:pStyle w:val="TableContents"/>
              <w:spacing w:before="0" w:after="0"/>
              <w:ind w:left="0" w:right="0" w:hanging="0"/>
              <w:jc w:val="left"/>
              <w:rPr/>
            </w:pPr>
            <w:r>
              <w:rPr/>
              <w:t> </w:t>
            </w:r>
          </w:p>
        </w:tc>
        <w:tc>
          <w:tcPr>
            <w:tcW w:w="24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4"/>
              </w:rPr>
            </w:pPr>
            <w:r>
              <w:rPr>
                <w:rFonts w:ascii="Arial;sans-serif" w:hAnsi="Arial;sans-serif"/>
                <w:b/>
                <w:sz w:val="24"/>
              </w:rPr>
              <w:t>March 31, 2023</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4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4"/>
              </w:rPr>
            </w:pPr>
            <w:r>
              <w:rPr>
                <w:rFonts w:ascii="Arial;sans-serif" w:hAnsi="Arial;sans-serif"/>
                <w:b/>
                <w:sz w:val="24"/>
              </w:rPr>
              <w:t>March 31, 2022</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2" w:type="dxa"/>
            <w:tcBorders/>
            <w:shd w:fill="auto" w:val="clear"/>
            <w:vAlign w:val="center"/>
          </w:tcPr>
          <w:p>
            <w:pPr>
              <w:pStyle w:val="TableContents"/>
              <w:spacing w:before="0" w:after="0"/>
              <w:ind w:left="0" w:right="0" w:hanging="0"/>
              <w:jc w:val="left"/>
              <w:rPr>
                <w:rFonts w:ascii="Arial;sans-serif" w:hAnsi="Arial;sans-serif"/>
                <w:b/>
                <w:sz w:val="24"/>
              </w:rPr>
            </w:pPr>
            <w:r>
              <w:rPr>
                <w:rFonts w:ascii="Arial;sans-serif" w:hAnsi="Arial;sans-serif"/>
                <w:b/>
                <w:sz w:val="24"/>
              </w:rPr>
              <w:t>Expenses:</w:t>
            </w:r>
          </w:p>
        </w:tc>
        <w:tc>
          <w:tcPr>
            <w:tcW w:w="2475" w:type="dxa"/>
            <w:gridSpan w:val="2"/>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475" w:type="dxa"/>
            <w:gridSpan w:val="2"/>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140"/>
              <w:jc w:val="left"/>
              <w:rPr/>
            </w:pPr>
            <w:r>
              <w:rPr/>
              <w:t> </w:t>
            </w:r>
          </w:p>
        </w:tc>
      </w:tr>
      <w:tr>
        <w:trPr/>
        <w:tc>
          <w:tcPr>
            <w:tcW w:w="3452" w:type="dxa"/>
            <w:tcBorders/>
            <w:shd w:fill="auto" w:val="clear"/>
            <w:vAlign w:val="center"/>
          </w:tcPr>
          <w:p>
            <w:pPr>
              <w:pStyle w:val="TableContents"/>
              <w:spacing w:before="0" w:after="0"/>
              <w:ind w:left="140" w:right="0" w:hanging="0"/>
              <w:jc w:val="left"/>
              <w:rPr>
                <w:rFonts w:ascii="Arial;sans-serif" w:hAnsi="Arial;sans-serif"/>
                <w:b w:val="false"/>
                <w:sz w:val="24"/>
              </w:rPr>
            </w:pPr>
            <w:r>
              <w:rPr>
                <w:rFonts w:ascii="Arial;sans-serif" w:hAnsi="Arial;sans-serif"/>
                <w:b w:val="false"/>
                <w:sz w:val="24"/>
              </w:rPr>
              <w:t>Research and development</w:t>
            </w:r>
          </w:p>
        </w:tc>
        <w:tc>
          <w:tcPr>
            <w:tcW w:w="583" w:type="dxa"/>
            <w:tcBorders/>
            <w:shd w:fill="auto" w:val="cle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c>
          <w:tcPr>
            <w:tcW w:w="1892"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4,678</w:t>
            </w:r>
          </w:p>
        </w:tc>
        <w:tc>
          <w:tcPr>
            <w:tcW w:w="184"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c>
          <w:tcPr>
            <w:tcW w:w="1892"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5,109</w:t>
            </w:r>
          </w:p>
        </w:tc>
        <w:tc>
          <w:tcPr>
            <w:tcW w:w="891" w:type="dxa"/>
            <w:tcBorders/>
            <w:shd w:fill="auto" w:val="clear"/>
            <w:vAlign w:val="center"/>
          </w:tcPr>
          <w:p>
            <w:pPr>
              <w:pStyle w:val="TableContents"/>
              <w:spacing w:before="0" w:after="0"/>
              <w:ind w:left="0" w:right="0" w:firstLine="140"/>
              <w:jc w:val="left"/>
              <w:rPr/>
            </w:pPr>
            <w:r>
              <w:rPr/>
              <w:t> </w:t>
            </w:r>
          </w:p>
        </w:tc>
      </w:tr>
      <w:tr>
        <w:trPr/>
        <w:tc>
          <w:tcPr>
            <w:tcW w:w="3452" w:type="dxa"/>
            <w:tcBorders/>
            <w:shd w:fill="auto" w:val="clear"/>
            <w:vAlign w:val="center"/>
          </w:tcPr>
          <w:p>
            <w:pPr>
              <w:pStyle w:val="TableContents"/>
              <w:spacing w:before="0" w:after="0"/>
              <w:ind w:left="140" w:right="0" w:hanging="0"/>
              <w:jc w:val="left"/>
              <w:rPr>
                <w:rFonts w:ascii="Arial;sans-serif" w:hAnsi="Arial;sans-serif"/>
                <w:b w:val="false"/>
                <w:sz w:val="24"/>
              </w:rPr>
            </w:pPr>
            <w:r>
              <w:rPr>
                <w:rFonts w:ascii="Arial;sans-serif" w:hAnsi="Arial;sans-serif"/>
                <w:b w:val="false"/>
                <w:sz w:val="24"/>
              </w:rPr>
              <w:t>General and administrative</w:t>
            </w:r>
          </w:p>
        </w:tc>
        <w:tc>
          <w:tcPr>
            <w:tcW w:w="5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2,903</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3,052</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40"/>
              <w:jc w:val="left"/>
              <w:rPr/>
            </w:pPr>
            <w:r>
              <w:rPr/>
              <w:t> </w:t>
            </w:r>
          </w:p>
        </w:tc>
      </w:tr>
      <w:tr>
        <w:trPr/>
        <w:tc>
          <w:tcPr>
            <w:tcW w:w="3452" w:type="dxa"/>
            <w:tcBorders/>
            <w:shd w:fill="auto" w:val="clear"/>
            <w:vAlign w:val="center"/>
          </w:tcPr>
          <w:p>
            <w:pPr>
              <w:pStyle w:val="TableContents"/>
              <w:spacing w:before="0" w:after="0"/>
              <w:ind w:left="140" w:right="0" w:hanging="0"/>
              <w:jc w:val="left"/>
              <w:rPr/>
            </w:pPr>
            <w:r>
              <w:rPr/>
              <w:t> </w:t>
            </w:r>
          </w:p>
        </w:tc>
        <w:tc>
          <w:tcPr>
            <w:tcW w:w="2475" w:type="dxa"/>
            <w:gridSpan w:val="2"/>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475" w:type="dxa"/>
            <w:gridSpan w:val="2"/>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700"/>
              <w:jc w:val="left"/>
              <w:rPr/>
            </w:pPr>
            <w:r>
              <w:rPr/>
              <w:t> </w:t>
            </w:r>
          </w:p>
        </w:tc>
      </w:tr>
      <w:tr>
        <w:trPr/>
        <w:tc>
          <w:tcPr>
            <w:tcW w:w="3452" w:type="dxa"/>
            <w:tcBorders/>
            <w:shd w:fill="auto" w:val="clear"/>
            <w:vAlign w:val="center"/>
          </w:tcPr>
          <w:p>
            <w:pPr>
              <w:pStyle w:val="TableContents"/>
              <w:spacing w:before="0" w:after="0"/>
              <w:ind w:left="700" w:right="0" w:hanging="0"/>
              <w:jc w:val="left"/>
              <w:rPr>
                <w:rFonts w:ascii="Arial;sans-serif" w:hAnsi="Arial;sans-serif"/>
                <w:b w:val="false"/>
                <w:sz w:val="24"/>
              </w:rPr>
            </w:pPr>
            <w:r>
              <w:rPr>
                <w:rFonts w:ascii="Arial;sans-serif" w:hAnsi="Arial;sans-serif"/>
                <w:b w:val="false"/>
                <w:sz w:val="24"/>
              </w:rPr>
              <w:t>Total expenses</w:t>
            </w:r>
          </w:p>
        </w:tc>
        <w:tc>
          <w:tcPr>
            <w:tcW w:w="5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7,581</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8,161</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700"/>
              <w:jc w:val="left"/>
              <w:rPr/>
            </w:pPr>
            <w:r>
              <w:rPr/>
              <w:t> </w:t>
            </w:r>
          </w:p>
        </w:tc>
      </w:tr>
      <w:tr>
        <w:trPr/>
        <w:tc>
          <w:tcPr>
            <w:tcW w:w="3452" w:type="dxa"/>
            <w:tcBorders/>
            <w:shd w:fill="auto" w:val="clear"/>
            <w:vAlign w:val="center"/>
          </w:tcPr>
          <w:p>
            <w:pPr>
              <w:pStyle w:val="TableContents"/>
              <w:spacing w:before="0" w:after="0"/>
              <w:ind w:left="700" w:right="0" w:hanging="0"/>
              <w:jc w:val="left"/>
              <w:rPr/>
            </w:pPr>
            <w:r>
              <w:rPr/>
              <w:t> </w:t>
            </w:r>
          </w:p>
        </w:tc>
        <w:tc>
          <w:tcPr>
            <w:tcW w:w="2475" w:type="dxa"/>
            <w:gridSpan w:val="2"/>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475" w:type="dxa"/>
            <w:gridSpan w:val="2"/>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hanging="0"/>
              <w:jc w:val="left"/>
              <w:rPr/>
            </w:pPr>
            <w:r>
              <w:rPr/>
              <w:t> </w:t>
            </w:r>
          </w:p>
        </w:tc>
      </w:tr>
      <w:tr>
        <w:trPr/>
        <w:tc>
          <w:tcPr>
            <w:tcW w:w="3452" w:type="dxa"/>
            <w:tcBorders/>
            <w:shd w:fill="auto" w:val="clear"/>
            <w:vAlign w:val="center"/>
          </w:tcPr>
          <w:p>
            <w:pPr>
              <w:pStyle w:val="TableContents"/>
              <w:spacing w:before="0" w:after="0"/>
              <w:ind w:left="0" w:right="0" w:hanging="0"/>
              <w:jc w:val="left"/>
              <w:rPr>
                <w:rFonts w:ascii="Arial;sans-serif" w:hAnsi="Arial;sans-serif"/>
                <w:b/>
                <w:sz w:val="24"/>
              </w:rPr>
            </w:pPr>
            <w:r>
              <w:rPr>
                <w:rFonts w:ascii="Arial;sans-serif" w:hAnsi="Arial;sans-serif"/>
                <w:b/>
                <w:sz w:val="24"/>
              </w:rPr>
              <w:t>Operating loss</w:t>
            </w:r>
          </w:p>
        </w:tc>
        <w:tc>
          <w:tcPr>
            <w:tcW w:w="5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(7,581</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c>
          <w:tcPr>
            <w:tcW w:w="148" w:type="dxa"/>
            <w:tcBorders/>
            <w:shd w:fill="auto" w:val="clear"/>
            <w:vAlign w:val="center"/>
          </w:tcPr>
          <w:p>
            <w:pPr>
              <w:pStyle w:val="TableContents"/>
              <w:spacing w:before="0" w:after="0"/>
              <w:ind w:left="0" w:right="0" w:hanging="0"/>
              <w:jc w:val="left"/>
              <w:rPr/>
            </w:pPr>
            <w:r>
              <w:rPr/>
              <w:t> </w:t>
            </w:r>
          </w:p>
        </w:tc>
        <w:tc>
          <w:tcPr>
            <w:tcW w:w="5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(8,161</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40"/>
              <w:jc w:val="left"/>
              <w:rPr>
                <w:rFonts w:ascii="Arial;sans-serif" w:hAnsi="Arial;sans-serif"/>
                <w:b w:val="false"/>
                <w:sz w:val="24"/>
              </w:rPr>
            </w:pPr>
            <w:r>
              <w:rPr>
                <w:rFonts w:ascii="Arial;sans-serif" w:hAnsi="Arial;sans-serif"/>
                <w:b w:val="false"/>
                <w:sz w:val="24"/>
              </w:rPr>
              <w:t>)</w:t>
            </w:r>
          </w:p>
        </w:tc>
      </w:tr>
      <w:tr>
        <w:trPr/>
        <w:tc>
          <w:tcPr>
            <w:tcW w:w="3452" w:type="dxa"/>
            <w:tcBorders/>
            <w:shd w:fill="auto" w:val="clear"/>
            <w:vAlign w:val="center"/>
          </w:tcPr>
          <w:p>
            <w:pPr>
              <w:pStyle w:val="TableContents"/>
              <w:spacing w:before="0" w:after="0"/>
              <w:ind w:left="140" w:right="0" w:hanging="0"/>
              <w:jc w:val="left"/>
              <w:rPr/>
            </w:pPr>
            <w:r>
              <w:rPr/>
              <w:t> </w:t>
            </w:r>
          </w:p>
        </w:tc>
        <w:tc>
          <w:tcPr>
            <w:tcW w:w="2475" w:type="dxa"/>
            <w:gridSpan w:val="2"/>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475" w:type="dxa"/>
            <w:gridSpan w:val="2"/>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hanging="0"/>
              <w:jc w:val="left"/>
              <w:rPr/>
            </w:pPr>
            <w:r>
              <w:rPr/>
              <w:t> </w:t>
            </w:r>
          </w:p>
        </w:tc>
      </w:tr>
      <w:tr>
        <w:trPr/>
        <w:tc>
          <w:tcPr>
            <w:tcW w:w="3452" w:type="dxa"/>
            <w:tcBorders/>
            <w:shd w:fill="auto" w:val="clear"/>
            <w:vAlign w:val="center"/>
          </w:tcPr>
          <w:p>
            <w:pPr>
              <w:pStyle w:val="TableContents"/>
              <w:spacing w:before="0" w:after="0"/>
              <w:ind w:left="0" w:right="0" w:hanging="0"/>
              <w:jc w:val="left"/>
              <w:rPr>
                <w:rFonts w:ascii="Arial;sans-serif" w:hAnsi="Arial;sans-serif"/>
                <w:b/>
                <w:sz w:val="24"/>
              </w:rPr>
            </w:pPr>
            <w:r>
              <w:rPr>
                <w:rFonts w:ascii="Arial;sans-serif" w:hAnsi="Arial;sans-serif"/>
                <w:b/>
                <w:sz w:val="24"/>
              </w:rPr>
              <w:t>Other income (expense), net:</w:t>
            </w:r>
          </w:p>
        </w:tc>
        <w:tc>
          <w:tcPr>
            <w:tcW w:w="2475" w:type="dxa"/>
            <w:gridSpan w:val="2"/>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475" w:type="dxa"/>
            <w:gridSpan w:val="2"/>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140"/>
              <w:jc w:val="left"/>
              <w:rPr/>
            </w:pPr>
            <w:r>
              <w:rPr/>
              <w:t> </w:t>
            </w:r>
          </w:p>
        </w:tc>
      </w:tr>
      <w:tr>
        <w:trPr/>
        <w:tc>
          <w:tcPr>
            <w:tcW w:w="3452" w:type="dxa"/>
            <w:tcBorders/>
            <w:shd w:fill="auto" w:val="clear"/>
            <w:vAlign w:val="center"/>
          </w:tcPr>
          <w:p>
            <w:pPr>
              <w:pStyle w:val="TableContents"/>
              <w:spacing w:before="0" w:after="0"/>
              <w:ind w:left="140" w:right="0" w:hanging="0"/>
              <w:jc w:val="left"/>
              <w:rPr>
                <w:rFonts w:ascii="Arial;sans-serif" w:hAnsi="Arial;sans-serif"/>
                <w:b w:val="false"/>
                <w:sz w:val="24"/>
              </w:rPr>
            </w:pPr>
            <w:r>
              <w:rPr>
                <w:rFonts w:ascii="Arial;sans-serif" w:hAnsi="Arial;sans-serif"/>
                <w:b w:val="false"/>
                <w:sz w:val="24"/>
              </w:rPr>
              <w:t>Interest expense</w:t>
            </w:r>
          </w:p>
        </w:tc>
        <w:tc>
          <w:tcPr>
            <w:tcW w:w="583" w:type="dxa"/>
            <w:tcBorders/>
            <w:shd w:fill="auto" w:val="clear"/>
            <w:vAlign w:val="center"/>
          </w:tcPr>
          <w:p>
            <w:pPr>
              <w:pStyle w:val="TableContents"/>
              <w:spacing w:before="0" w:after="0"/>
              <w:ind w:left="0" w:right="0" w:hanging="0"/>
              <w:jc w:val="left"/>
              <w:rPr/>
            </w:pPr>
            <w:r>
              <w:rPr/>
              <w:t> </w:t>
            </w:r>
          </w:p>
        </w:tc>
        <w:tc>
          <w:tcPr>
            <w:tcW w:w="1892"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(344</w:t>
            </w:r>
          </w:p>
        </w:tc>
        <w:tc>
          <w:tcPr>
            <w:tcW w:w="184" w:type="dxa"/>
            <w:tcBorders/>
            <w:shd w:fill="auto" w:val="cle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c>
          <w:tcPr>
            <w:tcW w:w="148"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left"/>
              <w:rPr/>
            </w:pPr>
            <w:r>
              <w:rPr/>
              <w:t> </w:t>
            </w:r>
          </w:p>
        </w:tc>
        <w:tc>
          <w:tcPr>
            <w:tcW w:w="1892" w:type="dxa"/>
            <w:tcBorders/>
            <w:shd w:fill="auto" w:val="cle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(333</w:t>
            </w:r>
          </w:p>
        </w:tc>
        <w:tc>
          <w:tcPr>
            <w:tcW w:w="891" w:type="dxa"/>
            <w:tcBorders/>
            <w:shd w:fill="auto" w:val="clear"/>
            <w:vAlign w:val="center"/>
          </w:tcPr>
          <w:p>
            <w:pPr>
              <w:pStyle w:val="TableContents"/>
              <w:spacing w:before="0" w:after="0"/>
              <w:ind w:left="0" w:right="0" w:firstLine="140"/>
              <w:jc w:val="left"/>
              <w:rPr>
                <w:rFonts w:ascii="Arial;sans-serif" w:hAnsi="Arial;sans-serif"/>
                <w:b w:val="false"/>
                <w:sz w:val="24"/>
              </w:rPr>
            </w:pPr>
            <w:r>
              <w:rPr>
                <w:rFonts w:ascii="Arial;sans-serif" w:hAnsi="Arial;sans-serif"/>
                <w:b w:val="false"/>
                <w:sz w:val="24"/>
              </w:rPr>
              <w:t>)</w:t>
            </w:r>
          </w:p>
        </w:tc>
      </w:tr>
      <w:tr>
        <w:trPr/>
        <w:tc>
          <w:tcPr>
            <w:tcW w:w="3452" w:type="dxa"/>
            <w:tcBorders/>
            <w:shd w:fill="auto" w:val="clear"/>
            <w:vAlign w:val="center"/>
          </w:tcPr>
          <w:p>
            <w:pPr>
              <w:pStyle w:val="TableContents"/>
              <w:spacing w:before="0" w:after="0"/>
              <w:ind w:left="140" w:right="0" w:hanging="0"/>
              <w:jc w:val="left"/>
              <w:rPr>
                <w:rFonts w:ascii="Arial;sans-serif" w:hAnsi="Arial;sans-serif"/>
                <w:b w:val="false"/>
                <w:sz w:val="24"/>
              </w:rPr>
            </w:pPr>
            <w:r>
              <w:rPr>
                <w:rFonts w:ascii="Arial;sans-serif" w:hAnsi="Arial;sans-serif"/>
                <w:b w:val="false"/>
                <w:sz w:val="24"/>
              </w:rPr>
              <w:t>Interest and other income, net</w:t>
            </w:r>
          </w:p>
        </w:tc>
        <w:tc>
          <w:tcPr>
            <w:tcW w:w="5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289</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3</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52" w:type="dxa"/>
            <w:tcBorders/>
            <w:shd w:fill="auto" w:val="clear"/>
            <w:vAlign w:val="center"/>
          </w:tcPr>
          <w:p>
            <w:pPr>
              <w:pStyle w:val="TableContents"/>
              <w:spacing w:before="0" w:after="0"/>
              <w:ind w:left="0" w:right="0" w:hanging="0"/>
              <w:jc w:val="left"/>
              <w:rPr/>
            </w:pPr>
            <w:r>
              <w:rPr/>
              <w:t> </w:t>
            </w:r>
          </w:p>
        </w:tc>
        <w:tc>
          <w:tcPr>
            <w:tcW w:w="2475" w:type="dxa"/>
            <w:gridSpan w:val="2"/>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475" w:type="dxa"/>
            <w:gridSpan w:val="2"/>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hanging="0"/>
              <w:jc w:val="left"/>
              <w:rPr/>
            </w:pPr>
            <w:r>
              <w:rPr/>
              <w:t> </w:t>
            </w:r>
          </w:p>
        </w:tc>
      </w:tr>
      <w:tr>
        <w:trPr/>
        <w:tc>
          <w:tcPr>
            <w:tcW w:w="3452" w:type="dxa"/>
            <w:tcBorders/>
            <w:shd w:fill="auto" w:val="clear"/>
            <w:vAlign w:val="center"/>
          </w:tcPr>
          <w:p>
            <w:pPr>
              <w:pStyle w:val="TableContents"/>
              <w:spacing w:before="0" w:after="0"/>
              <w:ind w:left="0" w:right="0" w:hanging="0"/>
              <w:jc w:val="left"/>
              <w:rPr>
                <w:rFonts w:ascii="Arial;sans-serif" w:hAnsi="Arial;sans-serif"/>
                <w:b/>
                <w:sz w:val="24"/>
              </w:rPr>
            </w:pPr>
            <w:r>
              <w:rPr>
                <w:rFonts w:ascii="Arial;sans-serif" w:hAnsi="Arial;sans-serif"/>
                <w:b/>
                <w:sz w:val="24"/>
              </w:rPr>
              <w:t>Net loss</w:t>
            </w:r>
          </w:p>
        </w:tc>
        <w:tc>
          <w:tcPr>
            <w:tcW w:w="5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c>
          <w:tcPr>
            <w:tcW w:w="18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(7,636</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c>
          <w:tcPr>
            <w:tcW w:w="148" w:type="dxa"/>
            <w:tcBorders/>
            <w:shd w:fill="auto" w:val="clear"/>
            <w:vAlign w:val="center"/>
          </w:tcPr>
          <w:p>
            <w:pPr>
              <w:pStyle w:val="TableContents"/>
              <w:spacing w:before="0" w:after="0"/>
              <w:ind w:left="0" w:right="0" w:hanging="0"/>
              <w:jc w:val="left"/>
              <w:rPr/>
            </w:pPr>
            <w:r>
              <w:rPr/>
              <w:t> </w:t>
            </w:r>
          </w:p>
        </w:tc>
        <w:tc>
          <w:tcPr>
            <w:tcW w:w="5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c>
          <w:tcPr>
            <w:tcW w:w="18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(8,491</w:t>
            </w:r>
          </w:p>
        </w:tc>
        <w:tc>
          <w:tcPr>
            <w:tcW w:w="8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r>
      <w:tr>
        <w:trPr/>
        <w:tc>
          <w:tcPr>
            <w:tcW w:w="3452" w:type="dxa"/>
            <w:tcBorders/>
            <w:shd w:fill="auto" w:val="clear"/>
            <w:vAlign w:val="center"/>
          </w:tcPr>
          <w:p>
            <w:pPr>
              <w:pStyle w:val="TableContents"/>
              <w:spacing w:before="0" w:after="0"/>
              <w:ind w:left="0" w:right="0" w:hanging="0"/>
              <w:jc w:val="left"/>
              <w:rPr>
                <w:rFonts w:ascii="Arial;sans-serif" w:hAnsi="Arial;sans-serif"/>
                <w:b/>
                <w:sz w:val="24"/>
              </w:rPr>
            </w:pPr>
            <w:r>
              <w:rPr>
                <w:rFonts w:ascii="Arial;sans-serif" w:hAnsi="Arial;sans-serif"/>
                <w:b/>
                <w:sz w:val="24"/>
              </w:rPr>
              <w:t>Net loss per share</w:t>
            </w:r>
          </w:p>
        </w:tc>
        <w:tc>
          <w:tcPr>
            <w:tcW w:w="5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c>
          <w:tcPr>
            <w:tcW w:w="18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(0.55</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c>
          <w:tcPr>
            <w:tcW w:w="148" w:type="dxa"/>
            <w:tcBorders/>
            <w:shd w:fill="auto" w:val="clear"/>
            <w:vAlign w:val="center"/>
          </w:tcPr>
          <w:p>
            <w:pPr>
              <w:pStyle w:val="TableContents"/>
              <w:spacing w:before="0" w:after="0"/>
              <w:ind w:left="0" w:right="0" w:hanging="0"/>
              <w:jc w:val="left"/>
              <w:rPr/>
            </w:pPr>
            <w:r>
              <w:rPr/>
              <w:t> </w:t>
            </w:r>
          </w:p>
        </w:tc>
        <w:tc>
          <w:tcPr>
            <w:tcW w:w="5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c>
          <w:tcPr>
            <w:tcW w:w="18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4"/>
              </w:rPr>
            </w:pPr>
            <w:r>
              <w:rPr>
                <w:rFonts w:ascii="Arial;sans-serif" w:hAnsi="Arial;sans-serif"/>
                <w:b w:val="false"/>
                <w:sz w:val="24"/>
              </w:rPr>
              <w:t>(1.18</w:t>
            </w:r>
          </w:p>
        </w:tc>
        <w:tc>
          <w:tcPr>
            <w:tcW w:w="8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w:t>
            </w:r>
          </w:p>
        </w:tc>
      </w:tr>
    </w:tbl>
    <w:p>
      <w:pPr>
        <w:pStyle w:val="TextBody"/>
        <w:spacing w:before="0" w:after="160"/>
        <w:jc w:val="left"/>
        <w:rPr/>
      </w:pPr>
      <w:r>
        <w:rPr/>
        <w:t> </w:t>
      </w:r>
    </w:p>
    <w:p>
      <w:pPr>
        <w:pStyle w:val="TextBody"/>
        <w:spacing w:before="0" w:after="160"/>
        <w:jc w:val="left"/>
        <w:rPr/>
      </w:pPr>
      <w:r>
        <w:rPr/>
        <w:t> </w:t>
      </w:r>
    </w:p>
    <w:p>
      <w:pPr>
        <w:pStyle w:val="TextBody"/>
        <w:spacing w:before="0" w:after="160"/>
        <w:jc w:val="left"/>
        <w:rPr>
          <w:rFonts w:ascii="Arial;sans-serif" w:hAnsi="Arial;sans-serif"/>
          <w:b/>
          <w:sz w:val="24"/>
        </w:rPr>
      </w:pPr>
      <w:r>
        <w:rPr>
          <w:rFonts w:ascii="Arial;sans-serif" w:hAnsi="Arial;sans-serif"/>
          <w:b/>
          <w:sz w:val="24"/>
        </w:rPr>
        <w:t>Investor Contacts:</w:t>
      </w:r>
    </w:p>
    <w:p>
      <w:pPr>
        <w:pStyle w:val="TextBody"/>
        <w:spacing w:before="0" w:after="0"/>
        <w:jc w:val="left"/>
        <w:rPr>
          <w:rFonts w:ascii="Arial;sans-serif" w:hAnsi="Arial;sans-serif"/>
          <w:b w:val="false"/>
          <w:sz w:val="24"/>
        </w:rPr>
      </w:pPr>
      <w:r>
        <w:rPr>
          <w:rFonts w:ascii="Arial;sans-serif" w:hAnsi="Arial;sans-serif"/>
          <w:b w:val="false"/>
          <w:sz w:val="24"/>
        </w:rPr>
        <w:t>Sylvia Wheeler</w:t>
      </w:r>
    </w:p>
    <w:p>
      <w:pPr>
        <w:pStyle w:val="TextBody"/>
        <w:spacing w:before="0" w:after="0"/>
        <w:jc w:val="left"/>
        <w:rPr>
          <w:rFonts w:ascii="Arial;sans-serif" w:hAnsi="Arial;sans-serif"/>
          <w:b w:val="false"/>
          <w:sz w:val="24"/>
        </w:rPr>
      </w:pPr>
      <w:r>
        <w:rPr>
          <w:rFonts w:ascii="Arial;sans-serif" w:hAnsi="Arial;sans-serif"/>
          <w:b w:val="false"/>
          <w:sz w:val="24"/>
        </w:rPr>
        <w:t>Wheelhouse Life Science Advisors</w:t>
      </w:r>
    </w:p>
    <w:p>
      <w:pPr>
        <w:pStyle w:val="TextBody"/>
        <w:spacing w:before="0" w:after="0"/>
        <w:jc w:val="left"/>
        <w:rPr>
          <w:rFonts w:ascii="Arial;sans-serif" w:hAnsi="Arial;sans-serif"/>
          <w:b w:val="false"/>
          <w:sz w:val="24"/>
        </w:rPr>
      </w:pPr>
      <w:r>
        <w:rPr>
          <w:rFonts w:ascii="Arial;sans-serif" w:hAnsi="Arial;sans-serif"/>
          <w:b w:val="false"/>
          <w:sz w:val="24"/>
        </w:rPr>
        <w:t>swheeler@wheelhouselsa.com</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4"/>
        </w:rPr>
        <w:t>Aljanae Reynolds</w:t>
      </w:r>
      <w:r>
        <w:rPr>
          <w:rFonts w:ascii="Times New Roman" w:hAnsi="Times New Roman"/>
          <w:sz w:val="20"/>
        </w:rPr>
        <w:t xml:space="preserve"> </w:t>
      </w:r>
    </w:p>
    <w:p>
      <w:pPr>
        <w:pStyle w:val="TextBody"/>
        <w:spacing w:before="0" w:after="0"/>
        <w:jc w:val="left"/>
        <w:rPr>
          <w:rFonts w:ascii="Arial;sans-serif" w:hAnsi="Arial;sans-serif"/>
          <w:b w:val="false"/>
          <w:sz w:val="24"/>
        </w:rPr>
      </w:pPr>
      <w:r>
        <w:rPr>
          <w:rFonts w:ascii="Arial;sans-serif" w:hAnsi="Arial;sans-serif"/>
          <w:b w:val="false"/>
          <w:sz w:val="24"/>
        </w:rPr>
        <w:t>Wheelhouse Life Science Advisors</w:t>
      </w:r>
    </w:p>
    <w:p>
      <w:pPr>
        <w:pStyle w:val="TextBody"/>
        <w:spacing w:before="0" w:after="0"/>
        <w:jc w:val="left"/>
        <w:rPr>
          <w:rFonts w:ascii="Times New Roman" w:hAnsi="Times New Roman"/>
          <w:sz w:val="20"/>
        </w:rPr>
      </w:pPr>
      <w:r>
        <w:rPr>
          <w:rFonts w:ascii="Arial;sans-serif" w:hAnsi="Arial;sans-serif"/>
          <w:b w:val="false"/>
          <w:sz w:val="24"/>
        </w:rPr>
        <w:t>areynolds@wheelhouselsa.com</w:t>
      </w:r>
      <w:r>
        <w:rPr>
          <w:rFonts w:ascii="Times New Roman" w:hAnsi="Times New Roman"/>
          <w:sz w:val="20"/>
        </w:rPr>
        <w:t xml:space="preserve"> </w:t>
      </w:r>
    </w:p>
    <w:tbl>
      <w:tblPr>
        <w:tblW w:w="3436" w:type="dxa"/>
        <w:jc w:val="left"/>
        <w:tblInd w:w="0" w:type="dxa"/>
        <w:tblCellMar>
          <w:top w:w="28" w:type="dxa"/>
          <w:left w:w="28" w:type="dxa"/>
          <w:bottom w:w="28" w:type="dxa"/>
          <w:right w:w="28" w:type="dxa"/>
        </w:tblCellMar>
      </w:tblPr>
      <w:tblGrid>
        <w:gridCol w:w="3436"/>
      </w:tblGrid>
      <w:tr>
        <w:trPr/>
        <w:tc>
          <w:tcPr>
            <w:tcW w:w="3436" w:type="dxa"/>
            <w:tcBorders/>
            <w:shd w:fill="auto" w:val="clear"/>
            <w:vAlign w:val="center"/>
          </w:tcPr>
          <w:p>
            <w:pPr>
              <w:pStyle w:val="TableContents"/>
              <w:spacing w:before="0" w:after="283"/>
              <w:rPr>
                <w:sz w:val="4"/>
                <w:szCs w:val="4"/>
              </w:rPr>
            </w:pPr>
            <w:r>
              <w:rPr>
                <w:sz w:val="4"/>
                <w:szCs w:val="4"/>
              </w:rPr>
            </w:r>
          </w:p>
        </w:tc>
      </w:tr>
      <w:tr>
        <w:trPr/>
        <w:tc>
          <w:tcPr>
            <w:tcW w:w="3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Calibri;sans-serif" w:hAnsi="Calibri;sans-serif"/>
                <w:b w:val="false"/>
                <w:sz w:val="13"/>
              </w:rPr>
              <w:t>i</w:t>
            </w:r>
            <w:r>
              <w:rPr>
                <w:rFonts w:ascii="Times New Roman" w:hAnsi="Times New Roman"/>
                <w:sz w:val="20"/>
              </w:rPr>
              <w:t> </w:t>
            </w:r>
            <w:r>
              <w:rPr>
                <w:rFonts w:ascii="Calibri;sans-serif" w:hAnsi="Calibri;sans-serif"/>
                <w:b w:val="false"/>
                <w:sz w:val="20"/>
              </w:rPr>
              <w:t>If approved by the FDA</w:t>
            </w:r>
          </w:p>
        </w:tc>
      </w:tr>
      <w:tr>
        <w:trPr/>
        <w:tc>
          <w:tcPr>
            <w:tcW w:w="34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Calibri;sans-serif" w:hAnsi="Calibri;sans-serif"/>
                <w:b w:val="false"/>
                <w:sz w:val="13"/>
              </w:rPr>
              <w:t>ii</w:t>
            </w:r>
            <w:r>
              <w:rPr>
                <w:rFonts w:ascii="Times New Roman" w:hAnsi="Times New Roman"/>
                <w:sz w:val="20"/>
              </w:rPr>
              <w:t> </w:t>
            </w:r>
            <w:r>
              <w:rPr>
                <w:rFonts w:ascii="Calibri;sans-serif" w:hAnsi="Calibri;sans-serif"/>
                <w:b w:val="false"/>
                <w:sz w:val="20"/>
              </w:rPr>
              <w:t>As of data cutoff date, February 8, 2023</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sans-serif" w:hAnsi="Arial;sans-serif"/>
          <w:b w:val="false"/>
          <w:sz w:val="14"/>
        </w:rPr>
      </w:pPr>
      <w:r>
        <w:rPr>
          <w:rFonts w:ascii="Arial;sans-serif" w:hAnsi="Arial;sans-serif"/>
          <w:b w:val="false"/>
          <w:sz w:val="14"/>
        </w:rPr>
        <w:t>285820715 v1</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Arial">
    <w:altName w:val="sans-serif"/>
    <w:charset w:val="00"/>
    <w:family w:val="auto"/>
    <w:pitch w:val="default"/>
  </w:font>
  <w:font w:name="Roboto">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2116</Words>
  <CharactersWithSpaces>14540</CharactersWithSpaces>
  <Paragraphs>596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