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As filed with the Securities and Exchange Commission on July 16, 2021</w:t>
      </w:r>
    </w:p>
    <w:p>
      <w:pPr>
        <w:spacing w:after="0" w:line="26" w:lineRule="exact"/>
        <w:rPr>
          <w:sz w:val="24"/>
          <w:szCs w:val="24"/>
          <w:color w:val="auto"/>
        </w:rPr>
      </w:pPr>
    </w:p>
    <w:p>
      <w:pPr>
        <w:ind w:left="90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REGISTRATION STATEMENT</w:t>
      </w:r>
    </w:p>
    <w:p>
      <w:pPr>
        <w:jc w:val="center"/>
        <w:ind w:right="-13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TEMPEST THERAPEUTICS, INC.</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p>
      <w:pPr>
        <w:spacing w:after="0" w:line="394"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50" w:lineRule="exact"/>
        <w:rPr>
          <w:sz w:val="24"/>
          <w:szCs w:val="24"/>
          <w:color w:val="auto"/>
        </w:rPr>
      </w:pPr>
    </w:p>
    <w:p>
      <w:pPr>
        <w:sectPr>
          <w:pgSz w:w="11900" w:h="16838" w:orient="portrait"/>
          <w:cols w:equalWidth="0" w:num="2">
            <w:col w:w="7300" w:space="720"/>
            <w:col w:w="3080"/>
          </w:cols>
          <w:pgMar w:left="320" w:top="230" w:right="479" w:bottom="1440" w:gutter="0" w:footer="0" w:header="0"/>
          <w:type w:val="continuous"/>
        </w:sectPr>
      </w:pPr>
    </w:p>
    <w:p>
      <w:pPr>
        <w:ind w:left="104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93" w:lineRule="exact"/>
        <w:rPr>
          <w:sz w:val="24"/>
          <w:szCs w:val="24"/>
          <w:color w:val="auto"/>
        </w:rPr>
      </w:pPr>
    </w:p>
    <w:p>
      <w:pPr>
        <w:sectPr>
          <w:pgSz w:w="11900" w:h="16838" w:orient="portrait"/>
          <w:cols w:equalWidth="0" w:num="2">
            <w:col w:w="6480" w:space="720"/>
            <w:col w:w="3900"/>
          </w:cols>
          <w:pgMar w:left="320" w:top="230"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7000 Shoreline Court, Suite 275</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(415) 798-8589</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Stephen Brady</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7000 Shoreline Court; Suite 275</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South San Francisco, CA 94080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(415) 798-8589</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i w:val="1"/>
          <w:iCs w:val="1"/>
          <w:color w:val="auto"/>
        </w:rPr>
        <w:t>Copies to:</w:t>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Asher M. Rubin</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Frank F. Rahmani</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Istvan A. Hajdu</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Sidley Austin LLP</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California Street, Suite 2000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San Francisco, CA 94104</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 565-7000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From time to time after the effective date of this Registration Statement</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7" w:lineRule="exact"/>
        <w:rPr>
          <w:sz w:val="24"/>
          <w:szCs w:val="24"/>
          <w:color w:val="auto"/>
        </w:rPr>
      </w:pPr>
    </w:p>
    <w:p>
      <w:pPr>
        <w:ind w:left="120" w:right="6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58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56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100"/>
          </w:cols>
          <w:pgMar w:left="32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right="12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95" w:lineRule="exact"/>
        <w:rPr>
          <w:sz w:val="20"/>
          <w:szCs w:val="20"/>
          <w:color w:val="auto"/>
        </w:rPr>
      </w:pPr>
    </w:p>
    <w:p>
      <w:pPr>
        <w:ind w:left="120"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3" w:lineRule="exact"/>
        <w:rPr>
          <w:sz w:val="20"/>
          <w:szCs w:val="20"/>
          <w:color w:val="auto"/>
        </w:rPr>
      </w:pPr>
    </w:p>
    <w:p>
      <w:pPr>
        <w:ind w:left="120" w:right="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4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18"/>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86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par value $0.001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35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Rights to purchase common stock, preferred</w:t>
            </w: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 debt securities or units(5)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$250,000,000</w:t>
            </w:r>
          </w:p>
        </w:tc>
        <w:tc>
          <w:tcPr>
            <w:tcW w:w="18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$27,275(6)</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under the Securities Act of 1933, as amended, or the Securities Act.</w:t>
      </w:r>
    </w:p>
    <w:p>
      <w:pPr>
        <w:spacing w:after="0" w:line="22" w:lineRule="exact"/>
        <w:rPr>
          <w:rFonts w:ascii="Arial" w:cs="Arial" w:eastAsia="Arial" w:hAnsi="Arial"/>
          <w:sz w:val="16"/>
          <w:szCs w:val="16"/>
          <w:color w:val="auto"/>
        </w:rPr>
      </w:pPr>
    </w:p>
    <w:p>
      <w:pPr>
        <w:ind w:left="540" w:right="120" w:hanging="424"/>
        <w:spacing w:after="0" w:line="26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an indeterminate aggregate principal amount and number of securities of each identified class of securities up to a proposed aggregate offering price of $250,000,000, which may be offered by the registrant from time to time in unspecified numbers and at indeterminate prices, and as may be issued upon conversion, redemption, repurchase, exchange or exercise of any securities registered hereunder, including any applicable anti-dilution provisions. The securities registered also include such indeterminate number of shares of common stock, preferred stock and amount of debt securities as may be issued upon conversion of or exchange for debt securities that provide for conversion or exchange, or upon exercise of warrants pursuant to the antidilution provisions of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ind w:left="540" w:right="40" w:hanging="424"/>
        <w:spacing w:after="0" w:line="26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ind w:left="540" w:right="280" w:hanging="424"/>
        <w:spacing w:after="0" w:line="26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unit will represent an interest in two or more securities registered pursuant to this registration statement, which may or may not be separable. Because the units will provide a right only to purchase such securities offered hereunder, no additional registration fee is required.</w:t>
      </w:r>
    </w:p>
    <w:p>
      <w:pPr>
        <w:ind w:left="540" w:right="460" w:hanging="424"/>
        <w:spacing w:after="0" w:line="26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Rights will represent rights to purchase shares of common stock, shares of preferred stock , debt securities or units registered hereby. Because the rights will provide a right only to purchase such securities offered hereunder, no additional registration fee is required.</w:t>
      </w:r>
    </w:p>
    <w:p>
      <w:pPr>
        <w:ind w:left="540" w:right="80" w:hanging="424"/>
        <w:spacing w:after="0" w:line="295"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457(p) of the Securities Act, the registrant is offsetting its filing fee for this registration statement by $18,001, which represents a portion of the registration fee previously paid with respect to approximately $165 million of unsold securities from the registrant’s prior registration statement on Form S-3 (File No. 333-230749) filed on April 5, 2019 (which includes approximately $44.5 million of unsold securities under the equity distribution agreement prospectus filed with that registration statement on April 5, 2019), resulting in a net registration fee of $9,274 for this registration statement.</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JULY 16,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94615</wp:posOffset>
            </wp:positionV>
            <wp:extent cx="150876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$250,000,000</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Preferred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Debt Securities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Warrants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Units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Rights to Purchase Common Stock, Preferred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Debt Securities or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9" w:lineRule="exact"/>
        <w:rPr>
          <w:sz w:val="20"/>
          <w:szCs w:val="20"/>
          <w:color w:val="auto"/>
        </w:rPr>
      </w:pPr>
    </w:p>
    <w:p>
      <w:pPr>
        <w:ind w:left="120"/>
        <w:spacing w:after="0" w:line="278" w:lineRule="auto"/>
        <w:rPr>
          <w:sz w:val="20"/>
          <w:szCs w:val="20"/>
          <w:color w:val="auto"/>
        </w:rPr>
      </w:pPr>
      <w:r>
        <w:rPr>
          <w:rFonts w:ascii="Arial" w:cs="Arial" w:eastAsia="Arial" w:hAnsi="Arial"/>
          <w:sz w:val="16"/>
          <w:szCs w:val="16"/>
          <w:color w:val="auto"/>
        </w:rPr>
        <w:t>From time to time, we may offer up to $250,000,000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76"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12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common stock is traded on the Nasdaq Capital Market under the symbol “TPST.” On July 15, 2021, the last reported sale price of our common stock was $19.43 per share.</w:t>
      </w:r>
    </w:p>
    <w:p>
      <w:pPr>
        <w:spacing w:after="0" w:line="64" w:lineRule="exact"/>
        <w:rPr>
          <w:sz w:val="20"/>
          <w:szCs w:val="20"/>
          <w:color w:val="auto"/>
        </w:rPr>
      </w:pPr>
    </w:p>
    <w:p>
      <w:pPr>
        <w:ind w:left="120" w:right="260"/>
        <w:spacing w:after="0" w:line="278" w:lineRule="auto"/>
        <w:rPr>
          <w:sz w:val="20"/>
          <w:szCs w:val="20"/>
          <w:color w:val="auto"/>
        </w:rPr>
      </w:pPr>
      <w:r>
        <w:rPr>
          <w:rFonts w:ascii="Arial" w:cs="Arial" w:eastAsia="Arial" w:hAnsi="Arial"/>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0"/>
          <w:szCs w:val="20"/>
          <w:color w:val="auto"/>
        </w:rPr>
      </w:pPr>
    </w:p>
    <w:p>
      <w:pPr>
        <w:ind w:left="120" w:right="220"/>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You should review carefully the risks and uncertainties described under the heading “</w:t>
      </w:r>
      <w:hyperlink w:anchor="page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contained in the applicable prospectus supplement and any related free writing prospectus, and under similar headings in the other documents that are incorporated by reference into this prospectus as described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6"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8"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20"/>
          </w:cols>
          <w:pgMar w:left="320" w:top="459"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3"/>
        </w:trPr>
        <w:tc>
          <w:tcPr>
            <w:tcW w:w="120" w:type="dxa"/>
            <w:vAlign w:val="bottom"/>
          </w:tcPr>
          <w:p>
            <w:pPr>
              <w:spacing w:after="0"/>
              <w:rPr>
                <w:sz w:val="22"/>
                <w:szCs w:val="22"/>
                <w:color w:val="auto"/>
              </w:rPr>
            </w:pP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SUMMARY</w:t>
              </w:r>
            </w:hyperlink>
          </w:p>
        </w:tc>
        <w:tc>
          <w:tcPr>
            <w:tcW w:w="1300" w:type="dxa"/>
            <w:vAlign w:val="bottom"/>
            <w:tcBorders>
              <w:top w:val="single" w:sz="8" w:color="0000EE"/>
            </w:tcBorders>
            <w:gridSpan w:val="7"/>
          </w:tcPr>
          <w:p>
            <w:pPr>
              <w:spacing w:after="0"/>
              <w:rPr>
                <w:sz w:val="22"/>
                <w:szCs w:val="22"/>
                <w:color w:val="auto"/>
              </w:rPr>
            </w:pPr>
          </w:p>
        </w:tc>
        <w:tc>
          <w:tcPr>
            <w:tcW w:w="6400" w:type="dxa"/>
            <w:vAlign w:val="bottom"/>
            <w:gridSpan w:val="8"/>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120" w:type="dxa"/>
            <w:vAlign w:val="bottom"/>
          </w:tcPr>
          <w:p>
            <w:pPr>
              <w:spacing w:after="0"/>
              <w:rPr>
                <w:sz w:val="22"/>
                <w:szCs w:val="22"/>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1"/>
          </w:tcPr>
          <w:p>
            <w:pPr>
              <w:spacing w:after="0"/>
              <w:rPr>
                <w:sz w:val="22"/>
                <w:szCs w:val="22"/>
                <w:color w:val="auto"/>
              </w:rPr>
            </w:pPr>
          </w:p>
        </w:tc>
        <w:tc>
          <w:tcPr>
            <w:tcW w:w="33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DESCRIPTION OF DEBT SECURITIES</w:t>
              </w:r>
            </w:hyperlink>
          </w:p>
        </w:tc>
        <w:tc>
          <w:tcPr>
            <w:tcW w:w="5580" w:type="dxa"/>
            <w:vAlign w:val="bottom"/>
            <w:gridSpan w:val="4"/>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120" w:type="dxa"/>
            <w:vAlign w:val="bottom"/>
          </w:tcPr>
          <w:p>
            <w:pPr>
              <w:spacing w:after="0"/>
              <w:rPr>
                <w:sz w:val="22"/>
                <w:szCs w:val="22"/>
                <w:color w:val="auto"/>
              </w:rPr>
            </w:pPr>
          </w:p>
        </w:tc>
        <w:tc>
          <w:tcPr>
            <w:tcW w:w="24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DESCRIPTION OF WARRANTS</w:t>
              </w:r>
            </w:hyperlink>
          </w:p>
        </w:tc>
        <w:tc>
          <w:tcPr>
            <w:tcW w:w="6140" w:type="dxa"/>
            <w:vAlign w:val="bottom"/>
            <w:gridSpan w:val="7"/>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20" w:type="dxa"/>
            <w:vAlign w:val="bottom"/>
          </w:tcPr>
          <w:p>
            <w:pPr>
              <w:spacing w:after="0"/>
              <w:rPr>
                <w:sz w:val="22"/>
                <w:szCs w:val="22"/>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DESCRIPTION OF UNITS</w:t>
              </w:r>
            </w:hyperlink>
          </w:p>
        </w:tc>
        <w:tc>
          <w:tcPr>
            <w:tcW w:w="6600" w:type="dxa"/>
            <w:vAlign w:val="bottom"/>
            <w:gridSpan w:val="11"/>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120" w:type="dxa"/>
            <w:vAlign w:val="bottom"/>
          </w:tcPr>
          <w:p>
            <w:pPr>
              <w:spacing w:after="0"/>
              <w:rPr>
                <w:sz w:val="22"/>
                <w:szCs w:val="22"/>
                <w:color w:val="auto"/>
              </w:rPr>
            </w:pPr>
          </w:p>
        </w:tc>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DESCRIPTION OF RIGHTS</w:t>
              </w:r>
            </w:hyperlink>
          </w:p>
        </w:tc>
        <w:tc>
          <w:tcPr>
            <w:tcW w:w="6480" w:type="dxa"/>
            <w:vAlign w:val="bottom"/>
            <w:gridSpan w:val="9"/>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20" w:type="dxa"/>
            <w:vAlign w:val="bottom"/>
          </w:tcPr>
          <w:p>
            <w:pPr>
              <w:spacing w:after="0"/>
              <w:rPr>
                <w:sz w:val="22"/>
                <w:szCs w:val="22"/>
                <w:color w:val="auto"/>
              </w:rPr>
            </w:pPr>
          </w:p>
        </w:tc>
        <w:tc>
          <w:tcPr>
            <w:tcW w:w="30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LEGAL OWNERSHIP OF SECURITIES</w:t>
              </w:r>
            </w:hyperlink>
          </w:p>
        </w:tc>
        <w:tc>
          <w:tcPr>
            <w:tcW w:w="5600" w:type="dxa"/>
            <w:vAlign w:val="bottom"/>
            <w:gridSpan w:val="5"/>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120" w:type="dxa"/>
            <w:vAlign w:val="bottom"/>
          </w:tcPr>
          <w:p>
            <w:pPr>
              <w:spacing w:after="0"/>
              <w:rPr>
                <w:sz w:val="22"/>
                <w:szCs w:val="22"/>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2"/>
                <w:szCs w:val="22"/>
                <w:color w:val="auto"/>
              </w:rPr>
            </w:pPr>
          </w:p>
        </w:tc>
        <w:tc>
          <w:tcPr>
            <w:tcW w:w="6580" w:type="dxa"/>
            <w:vAlign w:val="bottom"/>
            <w:gridSpan w:val="10"/>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INCORPORATION OF CERTAIN INFORMATION BY REFERENCE</w:t>
              </w:r>
            </w:hyperlink>
          </w:p>
        </w:tc>
        <w:tc>
          <w:tcPr>
            <w:tcW w:w="3440" w:type="dxa"/>
            <w:vAlign w:val="bottom"/>
            <w:gridSpan w:val="2"/>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$250,000,000. This prospectus provides you with a general description of the securities we may offer.</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68" w:lineRule="exact"/>
        <w:rPr>
          <w:sz w:val="20"/>
          <w:szCs w:val="20"/>
          <w:color w:val="auto"/>
        </w:rPr>
      </w:pPr>
    </w:p>
    <w:p>
      <w:pPr>
        <w:ind w:left="120" w:right="74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7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80"/>
        <w:spacing w:after="0" w:line="273" w:lineRule="auto"/>
        <w:rPr>
          <w:sz w:val="20"/>
          <w:szCs w:val="20"/>
          <w:color w:val="auto"/>
        </w:rPr>
      </w:pPr>
      <w:r>
        <w:rPr>
          <w:rFonts w:ascii="Arial" w:cs="Arial" w:eastAsia="Arial" w:hAnsi="Arial"/>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78" w:lineRule="exact"/>
        <w:rPr>
          <w:sz w:val="20"/>
          <w:szCs w:val="20"/>
          <w:color w:val="auto"/>
        </w:rPr>
      </w:pPr>
    </w:p>
    <w:p>
      <w:pPr>
        <w:ind w:left="300" w:right="120"/>
        <w:spacing w:after="0" w:line="273" w:lineRule="auto"/>
        <w:rPr>
          <w:sz w:val="20"/>
          <w:szCs w:val="20"/>
          <w:color w:val="auto"/>
        </w:rPr>
      </w:pPr>
      <w:r>
        <w:rPr>
          <w:rFonts w:ascii="Arial" w:cs="Arial" w:eastAsia="Arial" w:hAnsi="Arial"/>
          <w:sz w:val="17"/>
          <w:szCs w:val="17"/>
          <w:color w:val="auto"/>
        </w:rPr>
        <w:t xml:space="preserve">Unless the context indicates otherwise, as used in this prospectus, unless the context otherwise requires, references to “we,” “us,” “our,” “the company” and “Tempest Therapeutics” refer to Tempest Therapeutics, Inc, formerly known as “Millendo Therapeutics,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but such references should not be construed as any indication that their respective owners will not assert, to the fullest extent under applicable law, their rights thereto.</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are advancing TPST-1495 and TPST-1120, two product candidates in clinical trials that we believe are the first clinical 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Our second program, TPST-1120, is a selective antagonist of peroxisome proliferator-activated receptor alpha, or PPARα, and is also in a Phase 1 trial in solid tumors. We expect to report initial data from both these programs in the first half of 2022. Additionally, we are advancing a third program targeting the three prime repair exonuclease, or TREX-1, for which we expect to select a development candidate in the first half of 2022. Beyond these three ongoing programs, we plan to leverage our drug development and company-building experience, along with academic relationships to identify promising new targets that may feed new programs into our pipeline.</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We are a “smaller reporting company” as defined in the Securities Exchange Act of 1934 (the “Exchange Act”). As a smaller reporting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We were incorporated under the laws of the State of Delaware in April 2011 under the name “Ovastem, Inc.” and changed our name to “OvaScience, Inc.” (“OvaScience”) in May 2011. On December 7, 2018, we completed a reverse merger with what was then known as “Millendo Therapeutics, Inc.” (“Private Millendo”), pursuant to which, among other matters, Orion Merger Sub, Inc., a Delaware corporation and a wholly owned subsidiary of OvaScience, merged with and into Private Millendo, with Private Millendo continuing as a wholly owned subsidiary of OvaScience and the surviving corporation of the merger (the “Millendo Merger”). Immediately following the Millendo Merger, we changed our name from “Ovascience, Inc” to “Millendo Therapeutics, Inc.”</w:t>
      </w:r>
    </w:p>
    <w:p>
      <w:pPr>
        <w:spacing w:after="0" w:line="192"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On June 25, 2021, we completed a merger with TempestTx, Inc. (formerly Tempest Therapeutics, Inc.) (“Private Tempest”) in accordance with the terms of the Agreement and Plan of Merger, dated as of March 29, 2021 (the “Merger Agreement”), by and among us, Private Tempest and Mars Merger Corp., a Delaware corporation and our wholly owned subsidiary (“Merger Sub”), pursuant to which, among other matters, Merger Sub merged with and into Private Tempest, with Private Tempest continuing as our wholly owned subsidiary and the surviving corporation of the merger (the “Merger”). On June 25, 2021, we effected a 1-for-15 reverse stock split of our common stock (the “Reverse Stock Split”), completed the Merger, and changed our name to “Tempest Therapeutics, Inc.” Following the completion of the Merger, the business conducted by us became primarily the business conducted by Private Tempest.</w:t>
      </w:r>
    </w:p>
    <w:p>
      <w:pPr>
        <w:spacing w:after="0" w:line="177" w:lineRule="exact"/>
        <w:rPr>
          <w:sz w:val="20"/>
          <w:szCs w:val="20"/>
          <w:color w:val="auto"/>
        </w:rPr>
      </w:pPr>
    </w:p>
    <w:p>
      <w:pPr>
        <w:jc w:val="both"/>
        <w:ind w:left="300" w:right="160"/>
        <w:spacing w:after="0" w:line="342" w:lineRule="auto"/>
        <w:rPr>
          <w:sz w:val="20"/>
          <w:szCs w:val="20"/>
          <w:color w:val="auto"/>
        </w:rPr>
      </w:pPr>
      <w:r>
        <w:rPr>
          <w:rFonts w:ascii="Arial" w:cs="Arial" w:eastAsia="Arial" w:hAnsi="Arial"/>
          <w:sz w:val="16"/>
          <w:szCs w:val="16"/>
          <w:color w:val="auto"/>
        </w:rPr>
        <w:t>Our shares of common stock are listed on The Nasdaq Capital Market, previously trading through the close of business on Friday, June 25, 2021 under the ticker symbol “MLND,” and trading on post-Reverse Stock Split adjusted basis, under the ticker symbol “TPST,” since June 28, 2021.</w:t>
      </w:r>
    </w:p>
    <w:p>
      <w:pPr>
        <w:spacing w:after="0" w:line="124"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Our principal executive offices are located at 7000 Shoreline Court; Suite 275 South San Francisco, CA 94080, and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9" w:right="7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as updated by any subsequently filed periodic reports and other documents that are incorporated by reference into this prospectus, including the Current Report on Form 8-K filed on July 16, 2021,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Exchange Act. The words “may,” “might,” “can,” “will,” “to be,” “could,” “would,” “should,” “expect,” “intend,” “plan,” “objective,” “anticipate,” “believe,” “estimate,” “predict,” “project,” “potential,” “likely,” “continue” and “ongoing,” or the negative of these terms, or other comparable terminology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“The Company,”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1" w:lineRule="exact"/>
        <w:rPr>
          <w:sz w:val="20"/>
          <w:szCs w:val="20"/>
          <w:color w:val="auto"/>
        </w:rPr>
      </w:pPr>
    </w:p>
    <w:p>
      <w:pPr>
        <w:ind w:left="120" w:right="540"/>
        <w:spacing w:after="0" w:line="259" w:lineRule="auto"/>
        <w:rPr>
          <w:sz w:val="20"/>
          <w:szCs w:val="20"/>
          <w:color w:val="auto"/>
        </w:rPr>
      </w:pPr>
      <w:r>
        <w:rPr>
          <w:rFonts w:ascii="Arial" w:cs="Arial" w:eastAsia="Arial" w:hAnsi="Arial"/>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This description also summarizes relevant provisions of the General Corporation Law of the State of Delaware, or “DGCL.” Therefore, please carefully consider the actual provisions of the amended and restated certificate of incorporation and amended and restated bylaws, which have been filed with the SEC as exhibits to the registration statement of which this prospectus forms a part, and the DGCL.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9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9" w:lineRule="exact"/>
        <w:rPr>
          <w:sz w:val="20"/>
          <w:szCs w:val="20"/>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/3% of the outstanding voting stock that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Special Meeting of Stockholders; Advance Notice Requirements for Stockholder Proposals and Director Nominations; Stockholder Action</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 Majority Voting</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Nasdaq</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“TPST.”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080" w:right="8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4" w:lineRule="exact"/>
        <w:rPr>
          <w:rFonts w:ascii="Arial" w:cs="Arial" w:eastAsia="Arial" w:hAnsi="Arial"/>
          <w:sz w:val="16"/>
          <w:szCs w:val="16"/>
          <w:color w:val="auto"/>
        </w:rPr>
      </w:pPr>
    </w:p>
    <w:p>
      <w:pPr>
        <w:ind w:left="1080" w:right="80" w:hanging="424"/>
        <w:spacing w:after="0" w:line="30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2"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If any event of default occurs and is continuing and if such event of default is known to an officer the trustee, the trustee shall mail to each holder, pursuant to Section 313(c) of the Trust Indenture Act, notice of the event of default within the earlier of 90 days after it occurs and 30 days after it is known to an officer of the trustee or written notice of it is received by the trustee, provided that such event of default has not been cured.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Additionally, except in the case of a default in the payment of the principal of (or premium, if any) or interest on any security, the trustee shall be protected in withholding such notice if and so long as the officers of the trustee in good faith determine that the withholding of such notice is in the interest of the holders</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occurrence, or the occurrence and the continuance, of a default in any such additional covenants, restrictions, conditions or provisions an event of default or to surrender any right or power conferred upon us in the indenture;</w:t>
      </w:r>
    </w:p>
    <w:p>
      <w:pPr>
        <w:spacing w:after="0" w:line="76" w:lineRule="exact"/>
        <w:rPr>
          <w:sz w:val="20"/>
          <w:szCs w:val="20"/>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jc w:val="both"/>
        <w:ind w:left="1080" w:right="14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6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being offered as exhibits to the registration statement of which this prospectus is a part. We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6" w:lineRule="exact"/>
        <w:rPr>
          <w:sz w:val="20"/>
          <w:szCs w:val="20"/>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rights to purchase debt securities, the principal amount of debt securities purchasable upon exercise of one right;</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jc w:val="both"/>
        <w:ind w:left="120" w:right="20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legal holder, if that is permitted in the future;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9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459"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26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4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Unless otherwise indicated in the applicable prospectus supplement, certain legal matters in connection with the offering and the validity of the securities offered by this prospectus, and any supplement thereto, will be passed upon by Sidley Austin LLP, San Francisco, California. Additional legal matters may be passed upon for us or any underwriters, dealers or agents, by counsel that we will name in the applicable prospectus supplement.</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the consolidated financial statements of Millendo Therapeutics, Inc. included in its Annual Report on Form 10-K for the year ended December 31, 2020, as set forth in their report, which is incorporated by reference in this prospectus and elsewhere in the registration statement. These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financial statements of Tempestx, Inc. (formerly Tempest Therapeutics, Inc.) as of and for the years end December 31, 2020 and December 31, 2019</w:t>
      </w:r>
    </w:p>
    <w:p>
      <w:pPr>
        <w:spacing w:after="0" w:line="46" w:lineRule="exact"/>
        <w:rPr>
          <w:sz w:val="20"/>
          <w:szCs w:val="20"/>
          <w:color w:val="auto"/>
        </w:rPr>
      </w:pPr>
    </w:p>
    <w:p>
      <w:pPr>
        <w:jc w:val="both"/>
        <w:ind w:left="120" w:right="120" w:hanging="4"/>
        <w:spacing w:after="0" w:line="253"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in this Prospectus from Tempest Therapeutics, Inc.’s Current Report on Form 8-K filed on July 16, 2021, have been audited by Deloitte &amp; Touche LLP, an independent registered public accounting firm, as stated in their report which is incorporated by reference (which report expresses an unqualified opinion on the financial statements and includes an explanatory paragraph referring to substantial doubt regarding Tempestx, Inc.’s ability to continue as a going concern). Such financial statements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7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1">
        <w:r>
          <w:rPr>
            <w:rFonts w:ascii="Arial" w:cs="Arial" w:eastAsia="Arial" w:hAnsi="Arial"/>
            <w:sz w:val="18"/>
            <w:szCs w:val="18"/>
            <w:u w:val="single" w:color="auto"/>
            <w:color w:val="0000EE"/>
          </w:rPr>
          <w:t>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w:t>
      </w:r>
    </w:p>
    <w:p>
      <w:pPr>
        <w:spacing w:after="0" w:line="130"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27"/>
        </w:numPr>
        <w:rPr>
          <w:rFonts w:ascii="Arial" w:cs="Arial" w:eastAsia="Arial" w:hAnsi="Arial"/>
          <w:sz w:val="18"/>
          <w:szCs w:val="18"/>
          <w:color w:val="0000EE"/>
        </w:rPr>
      </w:pPr>
      <w:hyperlink r:id="rId63">
        <w:r>
          <w:rPr>
            <w:rFonts w:ascii="Arial" w:cs="Arial" w:eastAsia="Arial" w:hAnsi="Arial"/>
            <w:sz w:val="18"/>
            <w:szCs w:val="18"/>
            <w:color w:val="auto"/>
          </w:rPr>
          <w:t xml:space="preserve">Our Current Reports on Form 8-K and Form 8-K/A filed with the SEC on </w:t>
        </w:r>
        <w:r>
          <w:rPr>
            <w:rFonts w:ascii="Arial" w:cs="Arial" w:eastAsia="Arial" w:hAnsi="Arial"/>
            <w:sz w:val="18"/>
            <w:szCs w:val="18"/>
            <w:u w:val="single" w:color="auto"/>
            <w:color w:val="0000EE"/>
          </w:rPr>
          <w:t>January 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11,</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28, 2021</w:t>
        </w:r>
        <w:r>
          <w:rPr>
            <w:rFonts w:ascii="Arial" w:cs="Arial" w:eastAsia="Arial" w:hAnsi="Arial"/>
            <w:sz w:val="18"/>
            <w:szCs w:val="18"/>
            <w:color w:val="0000EE"/>
          </w:rPr>
          <w:t xml:space="preserve"> </w:t>
        </w:r>
        <w:r>
          <w:rPr>
            <w:rFonts w:ascii="Arial" w:cs="Arial" w:eastAsia="Arial" w:hAnsi="Arial"/>
            <w:sz w:val="18"/>
            <w:szCs w:val="18"/>
            <w:color w:val="000000"/>
          </w:rPr>
          <w:t>(other than the information furnished pursuant to Item 7.01 and Exhibit 99.1),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1, 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7,</w:t>
        </w:r>
      </w:hyperlink>
      <w:r>
        <w:rPr>
          <w:rFonts w:ascii="Arial" w:cs="Arial" w:eastAsia="Arial" w:hAnsi="Arial"/>
          <w:sz w:val="18"/>
          <w:szCs w:val="18"/>
          <w:color w:val="0000EE"/>
        </w:rPr>
        <w:t xml:space="preserve"> </w:t>
      </w:r>
      <w:hyperlink r:id="rId64">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July 12, 2021 </w:t>
        </w:r>
      </w:hyperlink>
      <w:hyperlink r:id="rId6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July 16, 2021</w:t>
        </w:r>
      </w:hyperlink>
      <w:hyperlink r:id="rId64">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6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registering our common stock under Section 12 of the Exchange Act, which was filed with the SEC on April 25, 2013, including any amendments or reports filed for purposes of updating such description.</w:t>
      </w:r>
    </w:p>
    <w:p>
      <w:pPr>
        <w:spacing w:after="0" w:line="184" w:lineRule="exact"/>
        <w:rPr>
          <w:rFonts w:ascii="Arial" w:cs="Arial" w:eastAsia="Arial" w:hAnsi="Arial"/>
          <w:sz w:val="18"/>
          <w:szCs w:val="18"/>
          <w:color w:val="0000EE"/>
        </w:rPr>
      </w:pPr>
    </w:p>
    <w:p>
      <w:pPr>
        <w:ind w:left="120"/>
        <w:spacing w:after="0" w:line="275" w:lineRule="auto"/>
        <w:rPr>
          <w:sz w:val="20"/>
          <w:szCs w:val="20"/>
          <w:color w:val="auto"/>
        </w:rPr>
      </w:pPr>
      <w:r>
        <w:rPr>
          <w:rFonts w:ascii="Arial" w:cs="Arial" w:eastAsia="Arial" w:hAnsi="Arial"/>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6" w:lineRule="exact"/>
        <w:rPr>
          <w:rFonts w:ascii="Arial" w:cs="Arial" w:eastAsia="Arial" w:hAnsi="Arial"/>
          <w:sz w:val="18"/>
          <w:szCs w:val="18"/>
          <w:color w:val="0000EE"/>
        </w:rPr>
      </w:pPr>
    </w:p>
    <w:p>
      <w:pPr>
        <w:ind w:left="120" w:right="10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7000 Shoreline Court; Suite 275 South San Francisco, CA 94080.</w:t>
      </w:r>
    </w:p>
    <w:p>
      <w:pPr>
        <w:spacing w:after="0" w:line="187" w:lineRule="exact"/>
        <w:rPr>
          <w:rFonts w:ascii="Arial" w:cs="Arial" w:eastAsia="Arial" w:hAnsi="Arial"/>
          <w:sz w:val="18"/>
          <w:szCs w:val="18"/>
          <w:color w:val="0000EE"/>
        </w:rPr>
      </w:pPr>
    </w:p>
    <w:p>
      <w:pPr>
        <w:ind w:left="120" w:right="100"/>
        <w:spacing w:after="0" w:line="311" w:lineRule="auto"/>
        <w:rPr>
          <w:sz w:val="20"/>
          <w:szCs w:val="20"/>
          <w:color w:val="auto"/>
        </w:rPr>
      </w:pPr>
      <w:r>
        <w:rPr>
          <w:rFonts w:ascii="Arial" w:cs="Arial" w:eastAsia="Arial" w:hAnsi="Arial"/>
          <w:sz w:val="16"/>
          <w:szCs w:val="16"/>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Arial" w:cs="Arial" w:eastAsia="Arial" w:hAnsi="Arial"/>
          <w:sz w:val="18"/>
          <w:szCs w:val="18"/>
          <w:color w:val="0000EE"/>
        </w:rPr>
      </w:pPr>
    </w:p>
    <w:p>
      <w:pPr>
        <w:spacing w:after="0" w:line="246"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648970</wp:posOffset>
            </wp:positionV>
            <wp:extent cx="1508760" cy="36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42" w:lineRule="exact"/>
        <w:rPr>
          <w:sz w:val="20"/>
          <w:szCs w:val="20"/>
          <w:color w:val="auto"/>
        </w:rPr>
      </w:pPr>
    </w:p>
    <w:p>
      <w:pPr>
        <w:ind w:left="4780"/>
        <w:spacing w:after="0"/>
        <w:rPr>
          <w:sz w:val="20"/>
          <w:szCs w:val="20"/>
          <w:color w:val="auto"/>
        </w:rPr>
      </w:pPr>
      <w:r>
        <w:rPr>
          <w:rFonts w:ascii="Arial" w:cs="Arial" w:eastAsia="Arial" w:hAnsi="Arial"/>
          <w:sz w:val="25"/>
          <w:szCs w:val="25"/>
          <w:b w:val="1"/>
          <w:bCs w:val="1"/>
          <w:color w:val="auto"/>
        </w:rPr>
        <w:t>Preferred Stock</w:t>
      </w: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Debt Securities</w:t>
      </w:r>
    </w:p>
    <w:p>
      <w:pPr>
        <w:spacing w:after="0" w:line="200" w:lineRule="exact"/>
        <w:rPr>
          <w:sz w:val="20"/>
          <w:szCs w:val="20"/>
          <w:color w:val="auto"/>
        </w:rPr>
      </w:pPr>
    </w:p>
    <w:p>
      <w:pPr>
        <w:spacing w:after="0" w:line="242" w:lineRule="exact"/>
        <w:rPr>
          <w:sz w:val="20"/>
          <w:szCs w:val="20"/>
          <w:color w:val="auto"/>
        </w:rPr>
      </w:pPr>
    </w:p>
    <w:p>
      <w:pPr>
        <w:ind w:left="5100"/>
        <w:spacing w:after="0"/>
        <w:rPr>
          <w:sz w:val="20"/>
          <w:szCs w:val="20"/>
          <w:color w:val="auto"/>
        </w:rPr>
      </w:pPr>
      <w:r>
        <w:rPr>
          <w:rFonts w:ascii="Arial" w:cs="Arial" w:eastAsia="Arial" w:hAnsi="Arial"/>
          <w:sz w:val="25"/>
          <w:szCs w:val="25"/>
          <w:b w:val="1"/>
          <w:bCs w:val="1"/>
          <w:color w:val="auto"/>
        </w:rPr>
        <w:t>Warrants</w:t>
      </w:r>
    </w:p>
    <w:p>
      <w:pPr>
        <w:spacing w:after="0" w:line="200" w:lineRule="exact"/>
        <w:rPr>
          <w:sz w:val="20"/>
          <w:szCs w:val="20"/>
          <w:color w:val="auto"/>
        </w:rPr>
      </w:pPr>
    </w:p>
    <w:p>
      <w:pPr>
        <w:spacing w:after="0" w:line="242" w:lineRule="exact"/>
        <w:rPr>
          <w:sz w:val="20"/>
          <w:szCs w:val="20"/>
          <w:color w:val="auto"/>
        </w:rPr>
      </w:pPr>
    </w:p>
    <w:p>
      <w:pPr>
        <w:ind w:left="5340"/>
        <w:spacing w:after="0"/>
        <w:rPr>
          <w:sz w:val="20"/>
          <w:szCs w:val="20"/>
          <w:color w:val="auto"/>
        </w:rPr>
      </w:pPr>
      <w:r>
        <w:rPr>
          <w:rFonts w:ascii="Arial" w:cs="Arial" w:eastAsia="Arial" w:hAnsi="Arial"/>
          <w:sz w:val="25"/>
          <w:szCs w:val="25"/>
          <w:b w:val="1"/>
          <w:bCs w:val="1"/>
          <w:color w:val="auto"/>
        </w:rPr>
        <w:t>Units</w:t>
      </w:r>
    </w:p>
    <w:p>
      <w:pPr>
        <w:spacing w:after="0" w:line="200" w:lineRule="exact"/>
        <w:rPr>
          <w:sz w:val="20"/>
          <w:szCs w:val="20"/>
          <w:color w:val="auto"/>
        </w:rPr>
      </w:pPr>
    </w:p>
    <w:p>
      <w:pPr>
        <w:spacing w:after="0" w:line="242"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Rights to Purchase Common Stock, Preferred Stock,</w:t>
      </w:r>
    </w:p>
    <w:p>
      <w:pPr>
        <w:spacing w:after="0" w:line="200" w:lineRule="exact"/>
        <w:rPr>
          <w:sz w:val="20"/>
          <w:szCs w:val="20"/>
          <w:color w:val="auto"/>
        </w:rPr>
      </w:pPr>
    </w:p>
    <w:p>
      <w:pPr>
        <w:spacing w:after="0" w:line="276" w:lineRule="exact"/>
        <w:rPr>
          <w:sz w:val="20"/>
          <w:szCs w:val="20"/>
          <w:color w:val="auto"/>
        </w:rPr>
      </w:pPr>
    </w:p>
    <w:p>
      <w:pPr>
        <w:ind w:left="4340"/>
        <w:spacing w:after="0"/>
        <w:rPr>
          <w:sz w:val="20"/>
          <w:szCs w:val="20"/>
          <w:color w:val="auto"/>
        </w:rPr>
      </w:pPr>
      <w:r>
        <w:rPr>
          <w:rFonts w:ascii="Arial" w:cs="Arial" w:eastAsia="Arial" w:hAnsi="Arial"/>
          <w:sz w:val="25"/>
          <w:szCs w:val="25"/>
          <w:b w:val="1"/>
          <w:bCs w:val="1"/>
          <w:color w:val="auto"/>
        </w:rPr>
        <w:t>Debt Securities or Units</w:t>
      </w:r>
    </w:p>
    <w:p>
      <w:pPr>
        <w:spacing w:after="0" w:line="200" w:lineRule="exact"/>
        <w:rPr>
          <w:sz w:val="20"/>
          <w:szCs w:val="20"/>
          <w:color w:val="auto"/>
        </w:rPr>
      </w:pPr>
    </w:p>
    <w:p>
      <w:pPr>
        <w:spacing w:after="0" w:line="242"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688975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749300</wp:posOffset>
            </wp:positionV>
            <wp:extent cx="699516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 and the FINRA filing fee.</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27,275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FINRA filing fee (if applicable)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Printing and miscellaneous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Estimated expenses not presently known.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Officers and Directors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Tempest’s certificate of incorporation contains provisions that eliminate, to the maximum extent permitted by the DGCL, the personal liability of directors and executive officers for monetary damages for breach of their fiduciary duties as a director or officer. The certificate of incorporation and bylaws provide that Tempest shall indemnify its directors and officers and may indemnify its employees and other agents to the fullest extent permitted by the DGCL. The DGCL prohibits limiting the liability of directors for (i) any breach of a director’s duty of loyalty, (ii) acts or omissions not in good faith or that involve intentional misconduct or a knowing violation of law, (iii) unlawful payment of dividends or unlawful stock repurchases or redemptions, and (iv) any transaction from which a director derived an improper personal benefit.</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then the liability of the directors will be eliminated or limited to the fullest extent permitted by Delaware law, as so amended. Tempest’s certificate of incorporation does not eliminate a director’s duty of care and, in appropriate circumstances, equitable remedies, such as injunctive or other forms of nonmonetary relief, remain available under Delaware law. It also does not affect a director’s responsibilities under any other laws, such as the federal securities laws or other state or federal laws. Under the bylaws, Tempest will also be empowered to enter into indemnification agreements with its directors, officers, employees and other agents and to purchase insurance on behalf of any person whom Tempest is required or permitted to indemnify.</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Tempest entered into indemnification agreements with its directors and executive officers, in addition to the indemnification provided for in its certificate of incorporation and bylaws, and intends to enter into indemnification agreements with any new directors and executive officers in the future. These agreements provide for the indemnification of such persons for all reasonable expenses and liabilities incurred in connection with any action or proceeding brought against them by reason of the fact that they are or were serving in such capacity. Tempest believes that these certificate of incorporation and bylaws provisions and indemnification agreements are necessary to attract and retain qualified persons as directors, officers and employees.</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Tempest has purchased and intends to maintain insurance on behalf of any person who is or was a director or officer of Tempest against any loss arising from any claim asserted against him or her and incurred by him or her in any such capacity, subject to certain exclusions.</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limitation of liability and indemnification provisions in Tempest’s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Tempest and its stockholders. A stockholder’s investment may be harmed to the extent Tempest pays the costs of settlement and damage awards against directors and officers pursuant to these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indemnification provisions. Insofar as indemnification for liabilities arising under the Securities Act of 1933 may be permitted to Tempest’s directors, officers and controlling persons pursuant to the foregoing provisions, or otherwise, Tempest has been advised that, in the opinion of the SEC, such indemnification is against public policy as expressed in the Securities Act, and is, therefore, unenforceable.</w:t>
      </w:r>
    </w:p>
    <w:p>
      <w:pPr>
        <w:spacing w:after="0" w:line="16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Under the Merger Agreement, from the closing of the merger through the sixth anniversary of the closing, Tempest has agreed that all rights to indemnification, exculpation or advancement of expenses in favor of, and all limitations on the personal liability of, each present and former director or officer of Millendo Therapeutics, Inc. or TempestTx, Inc. provided for in the respective organizational documents of Millendo Therapeutics, Inc. and TempestTx, Inc. in effect as of the date of the Merger Agreement, shall continue to be honored and in full force and effect.</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the Merger Agreement, the certificate of incorporation and bylaws of Tempest will contain provisions no less favorable with respect to indemnification, advancement of expenses and exculpation of present and former directors and officers than were set forth in the certificate of incorporation and amended and restated bylaws prior to the merger, which provisions shall not be amended, modified or repealed for a period of six years’ time from the closing of the merger in a manner that would materially and adversely affect the rights thereunder of individuals who, at or prior to the closing, were officers or directors of Millendo Therapeutics, Inc.</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Merger Agreement also provides that Tempest shall purchase an insurance policy in effect for six years from the closing, providing at least the same coverage as the directors’ and officers’ liability insurance policies maintained prior to the merger and containing terms and conditions that are not materially less favorable to current and former officers and directors.</w:t>
      </w:r>
    </w:p>
    <w:p>
      <w:pPr>
        <w:spacing w:after="0" w:line="18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foregoing summaries are not intended to be exhaustive and are qualified in their entirety by reference to the complete text of the statute, Tempest’s restated certificate of incorporation, as amended and the agreements referred to above and are qualified in their entirety by reference thereto.</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gridSpan w:val="10"/>
            <w:vMerge w:val="restart"/>
          </w:tcPr>
          <w:p>
            <w:pPr>
              <w:ind w:left="5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4180" w:type="dxa"/>
            <w:vAlign w:val="bottom"/>
            <w:gridSpan w:val="9"/>
          </w:tcPr>
          <w:p>
            <w:pPr>
              <w:spacing w:after="0"/>
              <w:rPr>
                <w:sz w:val="20"/>
                <w:szCs w:val="20"/>
                <w:color w:val="auto"/>
              </w:rPr>
            </w:pPr>
            <w:r>
              <w:rPr>
                <w:rFonts w:ascii="Arial" w:cs="Arial" w:eastAsia="Arial" w:hAnsi="Arial"/>
                <w:sz w:val="18"/>
                <w:szCs w:val="18"/>
                <w:color w:val="auto"/>
              </w:rPr>
              <w:t>Form of Underwriting Agreement.</w:t>
            </w:r>
          </w:p>
        </w:tc>
        <w:tc>
          <w:tcPr>
            <w:tcW w:w="1540" w:type="dxa"/>
            <w:vAlign w:val="bottom"/>
            <w:tcBorders>
              <w:top w:val="single" w:sz="8" w:color="auto"/>
            </w:tcBorders>
            <w:gridSpan w:val="2"/>
          </w:tcPr>
          <w:p>
            <w:pPr>
              <w:spacing w:after="0"/>
              <w:rPr>
                <w:sz w:val="24"/>
                <w:szCs w:val="24"/>
                <w:color w:val="auto"/>
              </w:rPr>
            </w:pPr>
          </w:p>
        </w:tc>
        <w:tc>
          <w:tcPr>
            <w:tcW w:w="4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Restated Certificate of Incorporation of the Registrant (incorporated by reference to Exhibit 3.1 to the Registrant’s Quarterly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Form 10-Q (File No. 001-35890), filed with the SEC on May 15, 2019).</w:t>
              </w:r>
            </w:hyperlink>
          </w:p>
        </w:tc>
        <w:tc>
          <w:tcPr>
            <w:tcW w:w="4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Certificate of Amendment to the Restated Certificate of Incorporation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Registrant’s Current Report on Form 8-K (File No. 001-35890), filed with the SEC on June 28, 2021).</w:t>
              </w:r>
            </w:hyperlink>
          </w:p>
        </w:tc>
        <w:tc>
          <w:tcPr>
            <w:tcW w:w="23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Certificate of Amendment to the Restated Certificate of Incorporation of the Registrant (incorporated by reference to Exhibit 3.2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Registrant’s Current Report on Form 8-K (File No. 001-35890), filed with the SEC on June 28, 2021).</w:t>
              </w:r>
            </w:hyperlink>
          </w:p>
        </w:tc>
        <w:tc>
          <w:tcPr>
            <w:tcW w:w="23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Third Amended and Restated Bylaws, as Amended, of the Registrant (incorporated by reference to Exhibit 3.1 to the Registrant’s</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Current Report on Form 8-K (File No. 001-35890), filed with the SEC on August 9, 2018).</w:t>
              </w:r>
            </w:hyperlink>
          </w:p>
        </w:tc>
        <w:tc>
          <w:tcPr>
            <w:tcW w:w="3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9">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0">
              <w:r>
                <w:rPr>
                  <w:rFonts w:ascii="Arial" w:cs="Arial" w:eastAsia="Arial" w:hAnsi="Arial"/>
                  <w:sz w:val="18"/>
                  <w:szCs w:val="18"/>
                  <w:color w:val="0000EE"/>
                </w:rPr>
                <w:t>3.2</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 </w:t>
            </w:r>
            <w:hyperlink r:id="rId81">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color w:val="0000EE"/>
                </w:rPr>
                <w:t>3.4</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560" w:type="dxa"/>
            <w:vAlign w:val="bottom"/>
            <w:tcBorders>
              <w:bottom w:val="single" w:sz="8" w:color="0000EE"/>
            </w:tcBorders>
            <w:gridSpan w:val="1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Specimen Stock Certificate evidencing shares of Common Stock of the Registrant (incorporated by reference from Exhibit 4.1 to the</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Registration Statement on Form S-1 (File No. 333-183602) filed with the SEC on August 29, 2012).</w:t>
              </w:r>
            </w:hyperlink>
          </w:p>
        </w:tc>
        <w:tc>
          <w:tcPr>
            <w:tcW w:w="2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2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Form of Tempest Therapeutics, Inc. Warrant to Purchase Stock (incorporated by reference from Exhibit 4.2 to the Registration Statement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on Form S-4/A (File No. 333-255198) filed with the SEC on May 4, 2021).</w:t>
              </w:r>
            </w:hyperlink>
          </w:p>
        </w:tc>
        <w:tc>
          <w:tcPr>
            <w:tcW w:w="4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Form of Indenture, between the Registrant and one or more trustees to be named.</w:t>
              </w:r>
            </w:hyperlink>
          </w:p>
        </w:tc>
        <w:tc>
          <w:tcPr>
            <w:tcW w:w="0" w:type="dxa"/>
            <w:vAlign w:val="bottom"/>
          </w:tcPr>
          <w:p>
            <w:pPr>
              <w:spacing w:after="0"/>
              <w:rPr>
                <w:sz w:val="1"/>
                <w:szCs w:val="1"/>
                <w:color w:val="auto"/>
              </w:rPr>
            </w:pPr>
          </w:p>
        </w:tc>
      </w:tr>
      <w:tr>
        <w:trPr>
          <w:trHeight w:val="34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58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Form of Note.</w:t>
            </w:r>
          </w:p>
        </w:tc>
        <w:tc>
          <w:tcPr>
            <w:tcW w:w="4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Form of Common Stock Warrant Agreement and Warrant Certificate.</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Form of Preferred Stock Warrant Agreement and Warrant Certificate.</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Form of Debt Securities Warrant Agreement and Warrant Certificate.</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Form of Specimen Preferred Stock Certificate and Certificate of Designations of Preferred Stock.</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Opinion of Sidley Austin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23.1**</w:t>
            </w:r>
          </w:p>
        </w:tc>
        <w:tc>
          <w:tcPr>
            <w:tcW w:w="640" w:type="dxa"/>
            <w:vAlign w:val="bottom"/>
          </w:tcPr>
          <w:p>
            <w:pPr>
              <w:spacing w:after="0"/>
              <w:rPr>
                <w:sz w:val="24"/>
                <w:szCs w:val="24"/>
                <w:color w:val="auto"/>
              </w:rPr>
            </w:pPr>
          </w:p>
        </w:tc>
        <w:tc>
          <w:tcPr>
            <w:tcW w:w="80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Consent of Ernst &amp; Young LLP, Independent Registered Public Accounting Firm to Tempest Therapeutics, Inc.</w:t>
              </w:r>
            </w:hyperlink>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23.2**</w:t>
            </w:r>
          </w:p>
        </w:tc>
        <w:tc>
          <w:tcPr>
            <w:tcW w:w="6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Consent of Deloitte &amp; Touche LLP, Independent Registered Public Accounting Firm to Private Tempest.</w:t>
              </w:r>
            </w:hyperlink>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23.3**</w:t>
            </w:r>
          </w:p>
        </w:tc>
        <w:tc>
          <w:tcPr>
            <w:tcW w:w="640" w:type="dxa"/>
            <w:vAlign w:val="bottom"/>
          </w:tcPr>
          <w:p>
            <w:pPr>
              <w:spacing w:after="0"/>
              <w:rPr>
                <w:sz w:val="24"/>
                <w:szCs w:val="24"/>
                <w:color w:val="auto"/>
              </w:rPr>
            </w:pPr>
          </w:p>
        </w:tc>
        <w:tc>
          <w:tcPr>
            <w:tcW w:w="752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Consent of Sidley Austin LLP (included in Exhibit 5.1).</w:t>
              </w:r>
            </w:hyperlink>
          </w:p>
        </w:tc>
        <w:tc>
          <w:tcPr>
            <w:tcW w:w="2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7"/>
              </w:rPr>
              <w:t>24.1**</w:t>
            </w:r>
          </w:p>
        </w:tc>
        <w:tc>
          <w:tcPr>
            <w:tcW w:w="640" w:type="dxa"/>
            <w:vAlign w:val="bottom"/>
          </w:tcPr>
          <w:p>
            <w:pPr>
              <w:spacing w:after="0"/>
              <w:rPr>
                <w:sz w:val="24"/>
                <w:szCs w:val="24"/>
                <w:color w:val="auto"/>
              </w:rPr>
            </w:pPr>
          </w:p>
        </w:tc>
        <w:tc>
          <w:tcPr>
            <w:tcW w:w="4040" w:type="dxa"/>
            <w:vAlign w:val="bottom"/>
            <w:tcBorders>
              <w:top w:val="single" w:sz="8" w:color="0000EE"/>
            </w:tcBorders>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Power of Attorney (included on signature page).</w:t>
              </w:r>
            </w:hyperlink>
          </w:p>
        </w:tc>
        <w:tc>
          <w:tcPr>
            <w:tcW w:w="5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25.1*</w:t>
            </w:r>
          </w:p>
        </w:tc>
        <w:tc>
          <w:tcPr>
            <w:tcW w:w="6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Statement of Eligibility of Trustee under the Indenture.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1800" w:hanging="4"/>
        <w:spacing w:after="0" w:line="277" w:lineRule="auto"/>
        <w:tabs>
          <w:tab w:leader="none" w:pos="5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filed by amendment or by a report filed under the Exchange Act and incorporated herein by reference, if applicable. ** Filed herewith.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100" w:right="120" w:firstLine="7"/>
        <w:spacing w:after="0" w:line="272" w:lineRule="auto"/>
        <w:tabs>
          <w:tab w:leader="none" w:pos="1365"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280" w:firstLine="7"/>
        <w:spacing w:after="0" w:line="277" w:lineRule="auto"/>
        <w:tabs>
          <w:tab w:leader="none" w:pos="14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undertakings set forth in paragraphs (1)(i), (1)(ii) and (1)(iii) above do not apply if the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49" w:lineRule="exact"/>
        <w:rPr>
          <w:sz w:val="20"/>
          <w:szCs w:val="20"/>
          <w:color w:val="auto"/>
        </w:rPr>
      </w:pPr>
    </w:p>
    <w:p>
      <w:pPr>
        <w:ind w:left="560" w:right="40" w:hanging="4"/>
        <w:spacing w:after="0" w:line="263"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560" w:right="660" w:hanging="4"/>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100" w:right="100" w:firstLine="7"/>
        <w:spacing w:after="0" w:line="277" w:lineRule="auto"/>
        <w:tabs>
          <w:tab w:leader="none" w:pos="13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right="60" w:firstLine="7"/>
        <w:spacing w:after="0" w:line="269" w:lineRule="auto"/>
        <w:tabs>
          <w:tab w:leader="none" w:pos="1365"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hanging="4"/>
        <w:spacing w:after="0" w:line="270"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72" w:lineRule="exact"/>
        <w:rPr>
          <w:rFonts w:ascii="Arial" w:cs="Arial" w:eastAsia="Arial" w:hAnsi="Arial"/>
          <w:sz w:val="17"/>
          <w:szCs w:val="17"/>
          <w:color w:val="auto"/>
        </w:rPr>
      </w:pPr>
    </w:p>
    <w:p>
      <w:pPr>
        <w:ind w:left="560" w:right="200" w:hanging="4"/>
        <w:spacing w:after="0" w:line="301" w:lineRule="auto"/>
        <w:tabs>
          <w:tab w:leader="none" w:pos="8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hanging="4"/>
        <w:spacing w:after="0" w:line="342" w:lineRule="auto"/>
        <w:tabs>
          <w:tab w:leader="none" w:pos="8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2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16</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/s/  Stephen Brady</w:t>
            </w:r>
          </w:p>
        </w:tc>
      </w:tr>
      <w:tr>
        <w:trPr>
          <w:trHeight w:val="195"/>
        </w:trPr>
        <w:tc>
          <w:tcPr>
            <w:tcW w:w="300" w:type="dxa"/>
            <w:vAlign w:val="bottom"/>
          </w:tcPr>
          <w:p>
            <w:pPr>
              <w:spacing w:after="0"/>
              <w:rPr>
                <w:sz w:val="16"/>
                <w:szCs w:val="16"/>
                <w:color w:val="auto"/>
              </w:rPr>
            </w:pPr>
          </w:p>
        </w:tc>
        <w:tc>
          <w:tcPr>
            <w:tcW w:w="4100" w:type="dxa"/>
            <w:vAlign w:val="bottom"/>
          </w:tcPr>
          <w:p>
            <w:pPr>
              <w:jc w:val="right"/>
              <w:ind w:right="1410"/>
              <w:spacing w:after="0" w:line="195" w:lineRule="exact"/>
              <w:rPr>
                <w:sz w:val="20"/>
                <w:szCs w:val="20"/>
                <w:color w:val="auto"/>
              </w:rPr>
            </w:pPr>
            <w:r>
              <w:rPr>
                <w:rFonts w:ascii="Arial" w:cs="Arial" w:eastAsia="Arial" w:hAnsi="Arial"/>
                <w:sz w:val="18"/>
                <w:szCs w:val="18"/>
                <w:color w:val="auto"/>
              </w:rPr>
              <w:t>Stephen Brady</w:t>
            </w:r>
          </w:p>
        </w:tc>
      </w:tr>
      <w:tr>
        <w:trPr>
          <w:trHeight w:val="230"/>
        </w:trPr>
        <w:tc>
          <w:tcPr>
            <w:tcW w:w="300" w:type="dxa"/>
            <w:vAlign w:val="bottom"/>
          </w:tcPr>
          <w:p>
            <w:pPr>
              <w:spacing w:after="0"/>
              <w:rPr>
                <w:sz w:val="20"/>
                <w:szCs w:val="20"/>
                <w:color w:val="auto"/>
              </w:rPr>
            </w:pPr>
          </w:p>
        </w:tc>
        <w:tc>
          <w:tcPr>
            <w:tcW w:w="4100" w:type="dxa"/>
            <w:vAlign w:val="bottom"/>
          </w:tcPr>
          <w:p>
            <w:pPr>
              <w:jc w:val="right"/>
              <w:ind w:right="109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Stephen Brady, Nicholas Maestas and Pierre Lorenzo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8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below as of July 16,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1532"/>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r>
      <w:tr>
        <w:trPr>
          <w:trHeight w:val="210"/>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4"/>
              </w:rPr>
              <w:t>/s/</w:t>
            </w:r>
          </w:p>
        </w:tc>
        <w:tc>
          <w:tcPr>
            <w:tcW w:w="3000" w:type="dxa"/>
            <w:vAlign w:val="bottom"/>
            <w:tcBorders>
              <w:bottom w:val="single" w:sz="8" w:color="auto"/>
            </w:tcBorders>
          </w:tcPr>
          <w:p>
            <w:pPr>
              <w:jc w:val="center"/>
              <w:ind w:right="1532"/>
              <w:spacing w:after="0"/>
              <w:rPr>
                <w:sz w:val="20"/>
                <w:szCs w:val="20"/>
                <w:color w:val="auto"/>
              </w:rPr>
            </w:pPr>
            <w:r>
              <w:rPr>
                <w:rFonts w:ascii="Arial" w:cs="Arial" w:eastAsia="Arial" w:hAnsi="Arial"/>
                <w:sz w:val="18"/>
                <w:szCs w:val="18"/>
                <w:color w:val="auto"/>
                <w:w w:val="88"/>
              </w:rPr>
              <w:t>Stephen Brady</w:t>
            </w:r>
          </w:p>
        </w:tc>
        <w:tc>
          <w:tcPr>
            <w:tcW w:w="1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Executive Officer and Director (</w:t>
            </w:r>
            <w:r>
              <w:rPr>
                <w:rFonts w:ascii="Arial" w:cs="Arial" w:eastAsia="Arial" w:hAnsi="Arial"/>
                <w:sz w:val="18"/>
                <w:szCs w:val="18"/>
                <w:i w:val="1"/>
                <w:iCs w:val="1"/>
                <w:color w:val="auto"/>
              </w:rPr>
              <w:t>Principal</w:t>
            </w:r>
          </w:p>
        </w:tc>
      </w:tr>
      <w:tr>
        <w:trPr>
          <w:trHeight w:val="224"/>
        </w:trPr>
        <w:tc>
          <w:tcPr>
            <w:tcW w:w="1620" w:type="dxa"/>
            <w:vAlign w:val="bottom"/>
          </w:tcPr>
          <w:p>
            <w:pPr>
              <w:spacing w:after="0"/>
              <w:rPr>
                <w:sz w:val="19"/>
                <w:szCs w:val="19"/>
                <w:color w:val="auto"/>
              </w:rPr>
            </w:pPr>
          </w:p>
        </w:tc>
        <w:tc>
          <w:tcPr>
            <w:tcW w:w="3000" w:type="dxa"/>
            <w:vAlign w:val="bottom"/>
          </w:tcPr>
          <w:p>
            <w:pPr>
              <w:jc w:val="center"/>
              <w:ind w:right="1532"/>
              <w:spacing w:after="0"/>
              <w:rPr>
                <w:sz w:val="20"/>
                <w:szCs w:val="20"/>
                <w:color w:val="auto"/>
              </w:rPr>
            </w:pPr>
            <w:r>
              <w:rPr>
                <w:rFonts w:ascii="Arial" w:cs="Arial" w:eastAsia="Arial" w:hAnsi="Arial"/>
                <w:sz w:val="18"/>
                <w:szCs w:val="18"/>
                <w:color w:val="auto"/>
                <w:w w:val="88"/>
              </w:rPr>
              <w:t>Stephen Brady</w:t>
            </w:r>
          </w:p>
        </w:tc>
        <w:tc>
          <w:tcPr>
            <w:tcW w:w="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r>
      <w:tr>
        <w:trPr>
          <w:trHeight w:val="431"/>
        </w:trPr>
        <w:tc>
          <w:tcPr>
            <w:tcW w:w="16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tcPr>
          <w:p>
            <w:pPr>
              <w:jc w:val="center"/>
              <w:ind w:right="1552"/>
              <w:spacing w:after="0"/>
              <w:rPr>
                <w:sz w:val="20"/>
                <w:szCs w:val="20"/>
                <w:color w:val="auto"/>
              </w:rPr>
            </w:pPr>
            <w:r>
              <w:rPr>
                <w:rFonts w:ascii="Arial" w:cs="Arial" w:eastAsia="Arial" w:hAnsi="Arial"/>
                <w:sz w:val="18"/>
                <w:szCs w:val="18"/>
                <w:color w:val="auto"/>
                <w:w w:val="90"/>
              </w:rPr>
              <w:t>Nicholas Maestas</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2"/>
              </w:rPr>
              <w:t>Vice President, Strategy and Finance (</w:t>
            </w:r>
            <w:r>
              <w:rPr>
                <w:rFonts w:ascii="Arial" w:cs="Arial" w:eastAsia="Arial" w:hAnsi="Arial"/>
                <w:sz w:val="18"/>
                <w:szCs w:val="18"/>
                <w:i w:val="1"/>
                <w:iCs w:val="1"/>
                <w:color w:val="auto"/>
                <w:w w:val="92"/>
              </w:rPr>
              <w:t>Principal Financial</w:t>
            </w:r>
          </w:p>
        </w:tc>
      </w:tr>
      <w:tr>
        <w:trPr>
          <w:trHeight w:val="224"/>
        </w:trPr>
        <w:tc>
          <w:tcPr>
            <w:tcW w:w="1620" w:type="dxa"/>
            <w:vAlign w:val="bottom"/>
          </w:tcPr>
          <w:p>
            <w:pPr>
              <w:spacing w:after="0"/>
              <w:rPr>
                <w:sz w:val="19"/>
                <w:szCs w:val="19"/>
                <w:color w:val="auto"/>
              </w:rPr>
            </w:pPr>
          </w:p>
        </w:tc>
        <w:tc>
          <w:tcPr>
            <w:tcW w:w="3000" w:type="dxa"/>
            <w:vAlign w:val="bottom"/>
          </w:tcPr>
          <w:p>
            <w:pPr>
              <w:jc w:val="center"/>
              <w:ind w:right="1532"/>
              <w:spacing w:after="0"/>
              <w:rPr>
                <w:sz w:val="20"/>
                <w:szCs w:val="20"/>
                <w:color w:val="auto"/>
              </w:rPr>
            </w:pPr>
            <w:r>
              <w:rPr>
                <w:rFonts w:ascii="Arial" w:cs="Arial" w:eastAsia="Arial" w:hAnsi="Arial"/>
                <w:sz w:val="18"/>
                <w:szCs w:val="18"/>
                <w:color w:val="auto"/>
                <w:w w:val="88"/>
              </w:rPr>
              <w:t>Nicholas Maestas</w:t>
            </w:r>
          </w:p>
        </w:tc>
        <w:tc>
          <w:tcPr>
            <w:tcW w:w="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31"/>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4"/>
              </w:rPr>
              <w:t>/s/</w:t>
            </w:r>
          </w:p>
        </w:tc>
        <w:tc>
          <w:tcPr>
            <w:tcW w:w="3000" w:type="dxa"/>
            <w:vAlign w:val="bottom"/>
            <w:tcBorders>
              <w:bottom w:val="single" w:sz="8" w:color="auto"/>
            </w:tcBorders>
          </w:tcPr>
          <w:p>
            <w:pPr>
              <w:jc w:val="center"/>
              <w:ind w:right="1552"/>
              <w:spacing w:after="0"/>
              <w:rPr>
                <w:sz w:val="20"/>
                <w:szCs w:val="20"/>
                <w:color w:val="auto"/>
              </w:rPr>
            </w:pPr>
            <w:r>
              <w:rPr>
                <w:rFonts w:ascii="Arial" w:cs="Arial" w:eastAsia="Arial" w:hAnsi="Arial"/>
                <w:sz w:val="18"/>
                <w:szCs w:val="18"/>
                <w:color w:val="auto"/>
                <w:w w:val="91"/>
              </w:rPr>
              <w:t>Pierre Lorenzo</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3"/>
              </w:rPr>
              <w:t>Corporate Controller, Treasurer and Secretary (</w:t>
            </w:r>
            <w:r>
              <w:rPr>
                <w:rFonts w:ascii="Arial" w:cs="Arial" w:eastAsia="Arial" w:hAnsi="Arial"/>
                <w:sz w:val="18"/>
                <w:szCs w:val="18"/>
                <w:i w:val="1"/>
                <w:iCs w:val="1"/>
                <w:color w:val="auto"/>
                <w:w w:val="93"/>
              </w:rPr>
              <w:t>Principal</w:t>
            </w:r>
          </w:p>
        </w:tc>
      </w:tr>
      <w:tr>
        <w:trPr>
          <w:trHeight w:val="224"/>
        </w:trPr>
        <w:tc>
          <w:tcPr>
            <w:tcW w:w="1620" w:type="dxa"/>
            <w:vAlign w:val="bottom"/>
          </w:tcPr>
          <w:p>
            <w:pPr>
              <w:spacing w:after="0"/>
              <w:rPr>
                <w:sz w:val="19"/>
                <w:szCs w:val="19"/>
                <w:color w:val="auto"/>
              </w:rPr>
            </w:pPr>
          </w:p>
        </w:tc>
        <w:tc>
          <w:tcPr>
            <w:tcW w:w="3000" w:type="dxa"/>
            <w:vAlign w:val="bottom"/>
          </w:tcPr>
          <w:p>
            <w:pPr>
              <w:jc w:val="center"/>
              <w:ind w:right="1532"/>
              <w:spacing w:after="0"/>
              <w:rPr>
                <w:sz w:val="20"/>
                <w:szCs w:val="20"/>
                <w:color w:val="auto"/>
              </w:rPr>
            </w:pPr>
            <w:r>
              <w:rPr>
                <w:rFonts w:ascii="Arial" w:cs="Arial" w:eastAsia="Arial" w:hAnsi="Arial"/>
                <w:sz w:val="18"/>
                <w:szCs w:val="18"/>
                <w:color w:val="auto"/>
                <w:w w:val="89"/>
              </w:rPr>
              <w:t>Pierre Lorenzo</w:t>
            </w:r>
          </w:p>
        </w:tc>
        <w:tc>
          <w:tcPr>
            <w:tcW w:w="1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r>
      <w:tr>
        <w:trPr>
          <w:trHeight w:val="431"/>
        </w:trPr>
        <w:tc>
          <w:tcPr>
            <w:tcW w:w="462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/s/  Mike Raab</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24"/>
        </w:trPr>
        <w:tc>
          <w:tcPr>
            <w:tcW w:w="1620" w:type="dxa"/>
            <w:vAlign w:val="bottom"/>
          </w:tcPr>
          <w:p>
            <w:pPr>
              <w:spacing w:after="0"/>
              <w:rPr>
                <w:sz w:val="19"/>
                <w:szCs w:val="19"/>
                <w:color w:val="auto"/>
              </w:rPr>
            </w:pPr>
          </w:p>
        </w:tc>
        <w:tc>
          <w:tcPr>
            <w:tcW w:w="3000" w:type="dxa"/>
            <w:vAlign w:val="bottom"/>
          </w:tcPr>
          <w:p>
            <w:pPr>
              <w:jc w:val="center"/>
              <w:ind w:right="1532"/>
              <w:spacing w:after="0"/>
              <w:rPr>
                <w:sz w:val="20"/>
                <w:szCs w:val="20"/>
                <w:color w:val="auto"/>
              </w:rPr>
            </w:pPr>
            <w:r>
              <w:rPr>
                <w:rFonts w:ascii="Arial" w:cs="Arial" w:eastAsia="Arial" w:hAnsi="Arial"/>
                <w:sz w:val="18"/>
                <w:szCs w:val="18"/>
                <w:color w:val="auto"/>
                <w:w w:val="90"/>
              </w:rPr>
              <w:t>Mike Raab</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tcPr>
          <w:p>
            <w:pPr>
              <w:jc w:val="center"/>
              <w:ind w:right="1552"/>
              <w:spacing w:after="0"/>
              <w:rPr>
                <w:sz w:val="20"/>
                <w:szCs w:val="20"/>
                <w:color w:val="auto"/>
              </w:rPr>
            </w:pPr>
            <w:r>
              <w:rPr>
                <w:rFonts w:ascii="Arial" w:cs="Arial" w:eastAsia="Arial" w:hAnsi="Arial"/>
                <w:sz w:val="18"/>
                <w:szCs w:val="18"/>
                <w:color w:val="auto"/>
                <w:w w:val="90"/>
              </w:rPr>
              <w:t>Thomas Dubensky</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4"/>
        </w:trPr>
        <w:tc>
          <w:tcPr>
            <w:tcW w:w="4620" w:type="dxa"/>
            <w:vAlign w:val="bottom"/>
            <w:gridSpan w:val="2"/>
          </w:tcPr>
          <w:p>
            <w:pPr>
              <w:jc w:val="center"/>
              <w:spacing w:after="0"/>
              <w:rPr>
                <w:sz w:val="20"/>
                <w:szCs w:val="20"/>
                <w:color w:val="auto"/>
              </w:rPr>
            </w:pPr>
            <w:r>
              <w:rPr>
                <w:rFonts w:ascii="Arial" w:cs="Arial" w:eastAsia="Arial" w:hAnsi="Arial"/>
                <w:sz w:val="18"/>
                <w:szCs w:val="18"/>
                <w:color w:val="auto"/>
                <w:w w:val="89"/>
              </w:rPr>
              <w:t>Thomas Dubensky, Ph.D.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center"/>
              <w:ind w:right="1716"/>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r>
      <w:tr>
        <w:trPr>
          <w:trHeight w:val="412"/>
        </w:trPr>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2"/>
          </w:tcPr>
          <w:p>
            <w:pPr>
              <w:jc w:val="center"/>
              <w:ind w:right="1516"/>
              <w:spacing w:after="0"/>
              <w:rPr>
                <w:sz w:val="20"/>
                <w:szCs w:val="20"/>
                <w:color w:val="auto"/>
              </w:rPr>
            </w:pPr>
            <w:r>
              <w:rPr>
                <w:rFonts w:ascii="Arial" w:cs="Arial" w:eastAsia="Arial" w:hAnsi="Arial"/>
                <w:sz w:val="18"/>
                <w:szCs w:val="18"/>
                <w:color w:val="auto"/>
                <w:w w:val="93"/>
              </w:rPr>
              <w:t>Christine Pellizzari</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1600" w:type="dxa"/>
            <w:vAlign w:val="bottom"/>
          </w:tcPr>
          <w:p>
            <w:pPr>
              <w:spacing w:after="0"/>
              <w:rPr>
                <w:sz w:val="19"/>
                <w:szCs w:val="19"/>
                <w:color w:val="auto"/>
              </w:rPr>
            </w:pPr>
          </w:p>
        </w:tc>
        <w:tc>
          <w:tcPr>
            <w:tcW w:w="3020" w:type="dxa"/>
            <w:vAlign w:val="bottom"/>
            <w:gridSpan w:val="2"/>
          </w:tcPr>
          <w:p>
            <w:pPr>
              <w:jc w:val="center"/>
              <w:ind w:right="1516"/>
              <w:spacing w:after="0"/>
              <w:rPr>
                <w:sz w:val="20"/>
                <w:szCs w:val="20"/>
                <w:color w:val="auto"/>
              </w:rPr>
            </w:pPr>
            <w:r>
              <w:rPr>
                <w:rFonts w:ascii="Arial" w:cs="Arial" w:eastAsia="Arial" w:hAnsi="Arial"/>
                <w:sz w:val="18"/>
                <w:szCs w:val="18"/>
                <w:color w:val="auto"/>
                <w:w w:val="93"/>
              </w:rPr>
              <w:t>Christine Pellizzari</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180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tcPr>
          <w:p>
            <w:pPr>
              <w:jc w:val="center"/>
              <w:ind w:right="1716"/>
              <w:spacing w:after="0"/>
              <w:rPr>
                <w:sz w:val="20"/>
                <w:szCs w:val="20"/>
                <w:color w:val="auto"/>
              </w:rPr>
            </w:pPr>
            <w:r>
              <w:rPr>
                <w:rFonts w:ascii="Arial" w:cs="Arial" w:eastAsia="Arial" w:hAnsi="Arial"/>
                <w:sz w:val="18"/>
                <w:szCs w:val="18"/>
                <w:color w:val="auto"/>
                <w:w w:val="94"/>
              </w:rPr>
              <w:t>Geoff Nichol</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5"/>
              </w:rPr>
              <w:t>Geoff Nichol, M.B., Ch.B., M.B.A.</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16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83"/>
              </w:rPr>
              <w:t>/s/</w:t>
            </w:r>
          </w:p>
        </w:tc>
        <w:tc>
          <w:tcPr>
            <w:tcW w:w="3020" w:type="dxa"/>
            <w:vAlign w:val="bottom"/>
            <w:tcBorders>
              <w:bottom w:val="single" w:sz="8" w:color="auto"/>
            </w:tcBorders>
            <w:gridSpan w:val="2"/>
          </w:tcPr>
          <w:p>
            <w:pPr>
              <w:jc w:val="center"/>
              <w:ind w:right="1516"/>
              <w:spacing w:after="0"/>
              <w:rPr>
                <w:sz w:val="20"/>
                <w:szCs w:val="20"/>
                <w:color w:val="auto"/>
              </w:rPr>
            </w:pPr>
            <w:r>
              <w:rPr>
                <w:rFonts w:ascii="Arial" w:cs="Arial" w:eastAsia="Arial" w:hAnsi="Arial"/>
                <w:sz w:val="18"/>
                <w:szCs w:val="18"/>
                <w:color w:val="auto"/>
                <w:w w:val="92"/>
              </w:rPr>
              <w:t>Tom Woiwode</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1"/>
              </w:rPr>
              <w:t>Tom Woiwode, Ph.D.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1"/>
        </w:trPr>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tcPr>
          <w:p>
            <w:pPr>
              <w:jc w:val="center"/>
              <w:ind w:right="1736"/>
              <w:spacing w:after="0"/>
              <w:rPr>
                <w:sz w:val="20"/>
                <w:szCs w:val="20"/>
                <w:color w:val="auto"/>
              </w:rPr>
            </w:pPr>
            <w:r>
              <w:rPr>
                <w:rFonts w:ascii="Arial" w:cs="Arial" w:eastAsia="Arial" w:hAnsi="Arial"/>
                <w:sz w:val="18"/>
                <w:szCs w:val="18"/>
                <w:color w:val="auto"/>
                <w:w w:val="94"/>
              </w:rPr>
              <w:t>Stella Xu</w:t>
            </w:r>
          </w:p>
        </w:tc>
        <w:tc>
          <w:tcPr>
            <w:tcW w:w="1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1600" w:type="dxa"/>
            <w:vAlign w:val="bottom"/>
          </w:tcPr>
          <w:p>
            <w:pPr>
              <w:spacing w:after="0"/>
              <w:rPr>
                <w:sz w:val="19"/>
                <w:szCs w:val="19"/>
                <w:color w:val="auto"/>
              </w:rPr>
            </w:pPr>
          </w:p>
        </w:tc>
        <w:tc>
          <w:tcPr>
            <w:tcW w:w="3020" w:type="dxa"/>
            <w:vAlign w:val="bottom"/>
            <w:gridSpan w:val="2"/>
          </w:tcPr>
          <w:p>
            <w:pPr>
              <w:jc w:val="center"/>
              <w:ind w:right="1516"/>
              <w:spacing w:after="0"/>
              <w:rPr>
                <w:sz w:val="20"/>
                <w:szCs w:val="20"/>
                <w:color w:val="auto"/>
              </w:rPr>
            </w:pPr>
            <w:r>
              <w:rPr>
                <w:rFonts w:ascii="Arial" w:cs="Arial" w:eastAsia="Arial" w:hAnsi="Arial"/>
                <w:sz w:val="18"/>
                <w:szCs w:val="18"/>
                <w:color w:val="auto"/>
                <w:w w:val="92"/>
              </w:rPr>
              <w:t>Stella Xu, Ph.D.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r>
    </w:tbl>
    <w:p>
      <w:pPr>
        <w:spacing w:after="0" w:line="1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139"/>
          </w:cols>
          <w:pgMar w:left="320" w:top="459"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Issuer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864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r>
      <w:tr>
        <w:trPr>
          <w:trHeight w:val="459"/>
        </w:trPr>
        <w:tc>
          <w:tcPr>
            <w:tcW w:w="124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1</w:t>
            </w:r>
          </w:p>
        </w:tc>
        <w:tc>
          <w:tcPr>
            <w:tcW w:w="86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ind w:left="200"/>
              <w:spacing w:after="0"/>
              <w:rPr>
                <w:sz w:val="20"/>
                <w:szCs w:val="20"/>
                <w:color w:val="auto"/>
              </w:rPr>
            </w:pPr>
            <w:r>
              <w:rPr>
                <w:rFonts w:ascii="Arial" w:cs="Arial" w:eastAsia="Arial" w:hAnsi="Arial"/>
                <w:sz w:val="18"/>
                <w:szCs w:val="18"/>
                <w:color w:val="auto"/>
              </w:rPr>
              <w:t>Section 1.01</w:t>
            </w:r>
          </w:p>
        </w:tc>
        <w:tc>
          <w:tcPr>
            <w:tcW w:w="8640" w:type="dxa"/>
            <w:vAlign w:val="bottom"/>
          </w:tcPr>
          <w:p>
            <w:pPr>
              <w:ind w:left="380"/>
              <w:spacing w:after="0"/>
              <w:rPr>
                <w:sz w:val="20"/>
                <w:szCs w:val="20"/>
                <w:color w:val="auto"/>
              </w:rPr>
            </w:pPr>
            <w:r>
              <w:rPr>
                <w:rFonts w:ascii="Arial" w:cs="Arial" w:eastAsia="Arial" w:hAnsi="Arial"/>
                <w:sz w:val="18"/>
                <w:szCs w:val="18"/>
                <w:color w:val="auto"/>
              </w:rPr>
              <w:t>Definitions of Terms.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2</w:t>
            </w:r>
          </w:p>
        </w:tc>
        <w:tc>
          <w:tcPr>
            <w:tcW w:w="8640" w:type="dxa"/>
            <w:vAlign w:val="bottom"/>
          </w:tcPr>
          <w:p>
            <w:pPr>
              <w:ind w:left="16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2.01</w:t>
            </w:r>
          </w:p>
        </w:tc>
        <w:tc>
          <w:tcPr>
            <w:tcW w:w="8640" w:type="dxa"/>
            <w:vAlign w:val="bottom"/>
          </w:tcPr>
          <w:p>
            <w:pPr>
              <w:ind w:left="380"/>
              <w:spacing w:after="0"/>
              <w:rPr>
                <w:sz w:val="20"/>
                <w:szCs w:val="20"/>
                <w:color w:val="auto"/>
              </w:rPr>
            </w:pPr>
            <w:r>
              <w:rPr>
                <w:rFonts w:ascii="Arial" w:cs="Arial" w:eastAsia="Arial" w:hAnsi="Arial"/>
                <w:sz w:val="18"/>
                <w:szCs w:val="18"/>
                <w:color w:val="auto"/>
              </w:rPr>
              <w:t>Designation and Terms of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2.02</w:t>
            </w:r>
          </w:p>
        </w:tc>
        <w:tc>
          <w:tcPr>
            <w:tcW w:w="8640" w:type="dxa"/>
            <w:vAlign w:val="bottom"/>
          </w:tcPr>
          <w:p>
            <w:pPr>
              <w:ind w:left="380"/>
              <w:spacing w:after="0"/>
              <w:rPr>
                <w:sz w:val="20"/>
                <w:szCs w:val="20"/>
                <w:color w:val="auto"/>
              </w:rPr>
            </w:pPr>
            <w:r>
              <w:rPr>
                <w:rFonts w:ascii="Arial" w:cs="Arial" w:eastAsia="Arial" w:hAnsi="Arial"/>
                <w:sz w:val="18"/>
                <w:szCs w:val="18"/>
                <w:color w:val="auto"/>
              </w:rPr>
              <w:t>Form of Securities and Trustee’s Certificate.</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2.03</w:t>
            </w:r>
          </w:p>
        </w:tc>
        <w:tc>
          <w:tcPr>
            <w:tcW w:w="8640" w:type="dxa"/>
            <w:vAlign w:val="bottom"/>
          </w:tcPr>
          <w:p>
            <w:pPr>
              <w:ind w:left="380"/>
              <w:spacing w:after="0"/>
              <w:rPr>
                <w:sz w:val="20"/>
                <w:szCs w:val="20"/>
                <w:color w:val="auto"/>
              </w:rPr>
            </w:pPr>
            <w:r>
              <w:rPr>
                <w:rFonts w:ascii="Arial" w:cs="Arial" w:eastAsia="Arial" w:hAnsi="Arial"/>
                <w:sz w:val="18"/>
                <w:szCs w:val="18"/>
                <w:color w:val="auto"/>
              </w:rPr>
              <w:t>Denominations: Provisions for Payment.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2.04</w:t>
            </w:r>
          </w:p>
        </w:tc>
        <w:tc>
          <w:tcPr>
            <w:tcW w:w="8640" w:type="dxa"/>
            <w:vAlign w:val="bottom"/>
          </w:tcPr>
          <w:p>
            <w:pPr>
              <w:ind w:left="380"/>
              <w:spacing w:after="0"/>
              <w:rPr>
                <w:sz w:val="20"/>
                <w:szCs w:val="20"/>
                <w:color w:val="auto"/>
              </w:rPr>
            </w:pPr>
            <w:r>
              <w:rPr>
                <w:rFonts w:ascii="Arial" w:cs="Arial" w:eastAsia="Arial" w:hAnsi="Arial"/>
                <w:sz w:val="18"/>
                <w:szCs w:val="18"/>
                <w:color w:val="auto"/>
              </w:rPr>
              <w:t>Execution and Authentications.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2.05</w:t>
            </w:r>
          </w:p>
        </w:tc>
        <w:tc>
          <w:tcPr>
            <w:tcW w:w="8640" w:type="dxa"/>
            <w:vAlign w:val="bottom"/>
          </w:tcPr>
          <w:p>
            <w:pPr>
              <w:ind w:left="380"/>
              <w:spacing w:after="0"/>
              <w:rPr>
                <w:sz w:val="20"/>
                <w:szCs w:val="20"/>
                <w:color w:val="auto"/>
              </w:rPr>
            </w:pPr>
            <w:r>
              <w:rPr>
                <w:rFonts w:ascii="Arial" w:cs="Arial" w:eastAsia="Arial" w:hAnsi="Arial"/>
                <w:sz w:val="18"/>
                <w:szCs w:val="18"/>
                <w:color w:val="auto"/>
              </w:rPr>
              <w:t>Registration of Transfer and Exchange.</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2.06</w:t>
            </w:r>
          </w:p>
        </w:tc>
        <w:tc>
          <w:tcPr>
            <w:tcW w:w="8640" w:type="dxa"/>
            <w:vAlign w:val="bottom"/>
          </w:tcPr>
          <w:p>
            <w:pPr>
              <w:ind w:left="380"/>
              <w:spacing w:after="0"/>
              <w:rPr>
                <w:sz w:val="20"/>
                <w:szCs w:val="20"/>
                <w:color w:val="auto"/>
              </w:rPr>
            </w:pPr>
            <w:r>
              <w:rPr>
                <w:rFonts w:ascii="Arial" w:cs="Arial" w:eastAsia="Arial" w:hAnsi="Arial"/>
                <w:sz w:val="18"/>
                <w:szCs w:val="18"/>
                <w:color w:val="auto"/>
              </w:rPr>
              <w:t>Temporary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2.07</w:t>
            </w:r>
          </w:p>
        </w:tc>
        <w:tc>
          <w:tcPr>
            <w:tcW w:w="8640" w:type="dxa"/>
            <w:vAlign w:val="bottom"/>
          </w:tcPr>
          <w:p>
            <w:pPr>
              <w:ind w:left="380"/>
              <w:spacing w:after="0"/>
              <w:rPr>
                <w:sz w:val="20"/>
                <w:szCs w:val="20"/>
                <w:color w:val="auto"/>
              </w:rPr>
            </w:pPr>
            <w:r>
              <w:rPr>
                <w:rFonts w:ascii="Arial" w:cs="Arial" w:eastAsia="Arial" w:hAnsi="Arial"/>
                <w:sz w:val="18"/>
                <w:szCs w:val="18"/>
                <w:color w:val="auto"/>
              </w:rPr>
              <w:t>Mutilated, Destroyed, Lost or Stolen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2.08</w:t>
            </w:r>
          </w:p>
        </w:tc>
        <w:tc>
          <w:tcPr>
            <w:tcW w:w="8640" w:type="dxa"/>
            <w:vAlign w:val="bottom"/>
          </w:tcPr>
          <w:p>
            <w:pPr>
              <w:ind w:left="380"/>
              <w:spacing w:after="0"/>
              <w:rPr>
                <w:sz w:val="20"/>
                <w:szCs w:val="20"/>
                <w:color w:val="auto"/>
              </w:rPr>
            </w:pPr>
            <w:r>
              <w:rPr>
                <w:rFonts w:ascii="Arial" w:cs="Arial" w:eastAsia="Arial" w:hAnsi="Arial"/>
                <w:sz w:val="18"/>
                <w:szCs w:val="18"/>
                <w:color w:val="auto"/>
              </w:rPr>
              <w:t>Cancellation.</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2.09</w:t>
            </w:r>
          </w:p>
        </w:tc>
        <w:tc>
          <w:tcPr>
            <w:tcW w:w="8640" w:type="dxa"/>
            <w:vAlign w:val="bottom"/>
          </w:tcPr>
          <w:p>
            <w:pPr>
              <w:ind w:left="380"/>
              <w:spacing w:after="0"/>
              <w:rPr>
                <w:sz w:val="20"/>
                <w:szCs w:val="20"/>
                <w:color w:val="auto"/>
              </w:rPr>
            </w:pPr>
            <w:r>
              <w:rPr>
                <w:rFonts w:ascii="Arial" w:cs="Arial" w:eastAsia="Arial" w:hAnsi="Arial"/>
                <w:sz w:val="18"/>
                <w:szCs w:val="18"/>
                <w:color w:val="auto"/>
              </w:rPr>
              <w:t>Benefits of Indenture.</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2.10</w:t>
            </w:r>
          </w:p>
        </w:tc>
        <w:tc>
          <w:tcPr>
            <w:tcW w:w="8640" w:type="dxa"/>
            <w:vAlign w:val="bottom"/>
          </w:tcPr>
          <w:p>
            <w:pPr>
              <w:ind w:left="380"/>
              <w:spacing w:after="0"/>
              <w:rPr>
                <w:sz w:val="20"/>
                <w:szCs w:val="20"/>
                <w:color w:val="auto"/>
              </w:rPr>
            </w:pPr>
            <w:r>
              <w:rPr>
                <w:rFonts w:ascii="Arial" w:cs="Arial" w:eastAsia="Arial" w:hAnsi="Arial"/>
                <w:sz w:val="18"/>
                <w:szCs w:val="18"/>
                <w:color w:val="auto"/>
              </w:rPr>
              <w:t>Authenticating Agent.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2.11</w:t>
            </w:r>
          </w:p>
        </w:tc>
        <w:tc>
          <w:tcPr>
            <w:tcW w:w="8640" w:type="dxa"/>
            <w:vAlign w:val="bottom"/>
          </w:tcPr>
          <w:p>
            <w:pPr>
              <w:ind w:left="380"/>
              <w:spacing w:after="0"/>
              <w:rPr>
                <w:sz w:val="20"/>
                <w:szCs w:val="20"/>
                <w:color w:val="auto"/>
              </w:rPr>
            </w:pPr>
            <w:r>
              <w:rPr>
                <w:rFonts w:ascii="Arial" w:cs="Arial" w:eastAsia="Arial" w:hAnsi="Arial"/>
                <w:sz w:val="18"/>
                <w:szCs w:val="18"/>
                <w:color w:val="auto"/>
              </w:rPr>
              <w:t>Global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2.12</w:t>
            </w:r>
          </w:p>
        </w:tc>
        <w:tc>
          <w:tcPr>
            <w:tcW w:w="8640" w:type="dxa"/>
            <w:vAlign w:val="bottom"/>
          </w:tcPr>
          <w:p>
            <w:pPr>
              <w:ind w:left="380"/>
              <w:spacing w:after="0"/>
              <w:rPr>
                <w:sz w:val="20"/>
                <w:szCs w:val="20"/>
                <w:color w:val="auto"/>
              </w:rPr>
            </w:pPr>
            <w:r>
              <w:rPr>
                <w:rFonts w:ascii="Arial" w:cs="Arial" w:eastAsia="Arial" w:hAnsi="Arial"/>
                <w:sz w:val="18"/>
                <w:szCs w:val="18"/>
                <w:color w:val="auto"/>
              </w:rPr>
              <w:t>CUSIP Numbers.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3</w:t>
            </w:r>
          </w:p>
        </w:tc>
        <w:tc>
          <w:tcPr>
            <w:tcW w:w="8640" w:type="dxa"/>
            <w:vAlign w:val="bottom"/>
          </w:tcPr>
          <w:p>
            <w:pPr>
              <w:ind w:left="160"/>
              <w:spacing w:after="0"/>
              <w:rPr>
                <w:sz w:val="20"/>
                <w:szCs w:val="20"/>
                <w:color w:val="auto"/>
              </w:rPr>
            </w:pPr>
            <w:r>
              <w:rPr>
                <w:rFonts w:ascii="Arial" w:cs="Arial" w:eastAsia="Arial" w:hAnsi="Arial"/>
                <w:sz w:val="18"/>
                <w:szCs w:val="18"/>
                <w:color w:val="auto"/>
              </w:rPr>
              <w:t>REDEMPTION OF SECURITIES AND SINKING FUND PROVISIONS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3.01</w:t>
            </w:r>
          </w:p>
        </w:tc>
        <w:tc>
          <w:tcPr>
            <w:tcW w:w="8640" w:type="dxa"/>
            <w:vAlign w:val="bottom"/>
          </w:tcPr>
          <w:p>
            <w:pPr>
              <w:ind w:left="380"/>
              <w:spacing w:after="0"/>
              <w:rPr>
                <w:sz w:val="20"/>
                <w:szCs w:val="20"/>
                <w:color w:val="auto"/>
              </w:rPr>
            </w:pPr>
            <w:r>
              <w:rPr>
                <w:rFonts w:ascii="Arial" w:cs="Arial" w:eastAsia="Arial" w:hAnsi="Arial"/>
                <w:sz w:val="18"/>
                <w:szCs w:val="18"/>
                <w:color w:val="auto"/>
              </w:rPr>
              <w:t>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3.02</w:t>
            </w:r>
          </w:p>
        </w:tc>
        <w:tc>
          <w:tcPr>
            <w:tcW w:w="8640" w:type="dxa"/>
            <w:vAlign w:val="bottom"/>
          </w:tcPr>
          <w:p>
            <w:pPr>
              <w:ind w:left="380"/>
              <w:spacing w:after="0"/>
              <w:rPr>
                <w:sz w:val="20"/>
                <w:szCs w:val="20"/>
                <w:color w:val="auto"/>
              </w:rPr>
            </w:pPr>
            <w:r>
              <w:rPr>
                <w:rFonts w:ascii="Arial" w:cs="Arial" w:eastAsia="Arial" w:hAnsi="Arial"/>
                <w:sz w:val="18"/>
                <w:szCs w:val="18"/>
                <w:color w:val="auto"/>
              </w:rPr>
              <w:t>Notice of 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3.03</w:t>
            </w:r>
          </w:p>
        </w:tc>
        <w:tc>
          <w:tcPr>
            <w:tcW w:w="8640" w:type="dxa"/>
            <w:vAlign w:val="bottom"/>
          </w:tcPr>
          <w:p>
            <w:pPr>
              <w:ind w:left="380"/>
              <w:spacing w:after="0"/>
              <w:rPr>
                <w:sz w:val="20"/>
                <w:szCs w:val="20"/>
                <w:color w:val="auto"/>
              </w:rPr>
            </w:pPr>
            <w:r>
              <w:rPr>
                <w:rFonts w:ascii="Arial" w:cs="Arial" w:eastAsia="Arial" w:hAnsi="Arial"/>
                <w:sz w:val="18"/>
                <w:szCs w:val="18"/>
                <w:color w:val="auto"/>
              </w:rPr>
              <w:t>Payment Upon 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3.04</w:t>
            </w:r>
          </w:p>
        </w:tc>
        <w:tc>
          <w:tcPr>
            <w:tcW w:w="8640" w:type="dxa"/>
            <w:vAlign w:val="bottom"/>
          </w:tcPr>
          <w:p>
            <w:pPr>
              <w:ind w:left="380"/>
              <w:spacing w:after="0"/>
              <w:rPr>
                <w:sz w:val="20"/>
                <w:szCs w:val="20"/>
                <w:color w:val="auto"/>
              </w:rPr>
            </w:pPr>
            <w:r>
              <w:rPr>
                <w:rFonts w:ascii="Arial" w:cs="Arial" w:eastAsia="Arial" w:hAnsi="Arial"/>
                <w:sz w:val="18"/>
                <w:szCs w:val="18"/>
                <w:color w:val="auto"/>
              </w:rPr>
              <w:t>Sinking Fund.</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3.05</w:t>
            </w:r>
          </w:p>
        </w:tc>
        <w:tc>
          <w:tcPr>
            <w:tcW w:w="8640" w:type="dxa"/>
            <w:vAlign w:val="bottom"/>
          </w:tcPr>
          <w:p>
            <w:pPr>
              <w:ind w:left="380"/>
              <w:spacing w:after="0"/>
              <w:rPr>
                <w:sz w:val="20"/>
                <w:szCs w:val="20"/>
                <w:color w:val="auto"/>
              </w:rPr>
            </w:pPr>
            <w:r>
              <w:rPr>
                <w:rFonts w:ascii="Arial" w:cs="Arial" w:eastAsia="Arial" w:hAnsi="Arial"/>
                <w:sz w:val="18"/>
                <w:szCs w:val="18"/>
                <w:color w:val="auto"/>
              </w:rPr>
              <w:t>Satisfaction of Sinking Fund Payments with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3.06</w:t>
            </w:r>
          </w:p>
        </w:tc>
        <w:tc>
          <w:tcPr>
            <w:tcW w:w="8640" w:type="dxa"/>
            <w:vAlign w:val="bottom"/>
          </w:tcPr>
          <w:p>
            <w:pPr>
              <w:ind w:left="380"/>
              <w:spacing w:after="0"/>
              <w:rPr>
                <w:sz w:val="20"/>
                <w:szCs w:val="20"/>
                <w:color w:val="auto"/>
              </w:rPr>
            </w:pPr>
            <w:r>
              <w:rPr>
                <w:rFonts w:ascii="Arial" w:cs="Arial" w:eastAsia="Arial" w:hAnsi="Arial"/>
                <w:sz w:val="18"/>
                <w:szCs w:val="18"/>
                <w:color w:val="auto"/>
              </w:rPr>
              <w:t>Redemption of Securities for Sinking Fund.</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4</w:t>
            </w:r>
          </w:p>
        </w:tc>
        <w:tc>
          <w:tcPr>
            <w:tcW w:w="8640" w:type="dxa"/>
            <w:vAlign w:val="bottom"/>
          </w:tcPr>
          <w:p>
            <w:pPr>
              <w:ind w:left="160"/>
              <w:spacing w:after="0"/>
              <w:rPr>
                <w:sz w:val="20"/>
                <w:szCs w:val="20"/>
                <w:color w:val="auto"/>
              </w:rPr>
            </w:pPr>
            <w:r>
              <w:rPr>
                <w:rFonts w:ascii="Arial" w:cs="Arial" w:eastAsia="Arial" w:hAnsi="Arial"/>
                <w:sz w:val="18"/>
                <w:szCs w:val="18"/>
                <w:color w:val="auto"/>
              </w:rPr>
              <w:t>COVENANTS</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4.01</w:t>
            </w:r>
          </w:p>
        </w:tc>
        <w:tc>
          <w:tcPr>
            <w:tcW w:w="8640" w:type="dxa"/>
            <w:vAlign w:val="bottom"/>
          </w:tcPr>
          <w:p>
            <w:pPr>
              <w:ind w:left="380"/>
              <w:spacing w:after="0"/>
              <w:rPr>
                <w:sz w:val="20"/>
                <w:szCs w:val="20"/>
                <w:color w:val="auto"/>
              </w:rPr>
            </w:pPr>
            <w:r>
              <w:rPr>
                <w:rFonts w:ascii="Arial" w:cs="Arial" w:eastAsia="Arial" w:hAnsi="Arial"/>
                <w:sz w:val="18"/>
                <w:szCs w:val="18"/>
                <w:color w:val="auto"/>
              </w:rPr>
              <w:t>Payment of Principal, Premium and 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4.02</w:t>
            </w:r>
          </w:p>
        </w:tc>
        <w:tc>
          <w:tcPr>
            <w:tcW w:w="8640" w:type="dxa"/>
            <w:vAlign w:val="bottom"/>
          </w:tcPr>
          <w:p>
            <w:pPr>
              <w:ind w:left="380"/>
              <w:spacing w:after="0"/>
              <w:rPr>
                <w:sz w:val="20"/>
                <w:szCs w:val="20"/>
                <w:color w:val="auto"/>
              </w:rPr>
            </w:pPr>
            <w:r>
              <w:rPr>
                <w:rFonts w:ascii="Arial" w:cs="Arial" w:eastAsia="Arial" w:hAnsi="Arial"/>
                <w:sz w:val="18"/>
                <w:szCs w:val="18"/>
                <w:color w:val="auto"/>
              </w:rPr>
              <w:t>Maintenance of Office or Agency.</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4.03</w:t>
            </w:r>
          </w:p>
        </w:tc>
        <w:tc>
          <w:tcPr>
            <w:tcW w:w="8640" w:type="dxa"/>
            <w:vAlign w:val="bottom"/>
          </w:tcPr>
          <w:p>
            <w:pPr>
              <w:ind w:left="380"/>
              <w:spacing w:after="0"/>
              <w:rPr>
                <w:sz w:val="20"/>
                <w:szCs w:val="20"/>
                <w:color w:val="auto"/>
              </w:rPr>
            </w:pPr>
            <w:r>
              <w:rPr>
                <w:rFonts w:ascii="Arial" w:cs="Arial" w:eastAsia="Arial" w:hAnsi="Arial"/>
                <w:sz w:val="18"/>
                <w:szCs w:val="18"/>
                <w:color w:val="auto"/>
              </w:rPr>
              <w:t>Paying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4.04</w:t>
            </w:r>
          </w:p>
        </w:tc>
        <w:tc>
          <w:tcPr>
            <w:tcW w:w="8640" w:type="dxa"/>
            <w:vAlign w:val="bottom"/>
          </w:tcPr>
          <w:p>
            <w:pPr>
              <w:ind w:left="380"/>
              <w:spacing w:after="0"/>
              <w:rPr>
                <w:sz w:val="20"/>
                <w:szCs w:val="20"/>
                <w:color w:val="auto"/>
              </w:rPr>
            </w:pPr>
            <w:r>
              <w:rPr>
                <w:rFonts w:ascii="Arial" w:cs="Arial" w:eastAsia="Arial" w:hAnsi="Arial"/>
                <w:sz w:val="18"/>
                <w:szCs w:val="18"/>
                <w:color w:val="auto"/>
              </w:rPr>
              <w:t>Appointment to Fill Vacancy in Office of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5</w:t>
            </w:r>
          </w:p>
        </w:tc>
        <w:tc>
          <w:tcPr>
            <w:tcW w:w="8640" w:type="dxa"/>
            <w:vAlign w:val="bottom"/>
          </w:tcPr>
          <w:p>
            <w:pPr>
              <w:ind w:left="160"/>
              <w:spacing w:after="0"/>
              <w:rPr>
                <w:sz w:val="20"/>
                <w:szCs w:val="20"/>
                <w:color w:val="auto"/>
              </w:rPr>
            </w:pPr>
            <w:r>
              <w:rPr>
                <w:rFonts w:ascii="Arial" w:cs="Arial" w:eastAsia="Arial" w:hAnsi="Arial"/>
                <w:sz w:val="18"/>
                <w:szCs w:val="18"/>
                <w:color w:val="auto"/>
              </w:rPr>
              <w:t>SECURITYHOLDERS’ LISTS AND REPORTS BY THE COMPANY AND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5.01</w:t>
            </w:r>
          </w:p>
        </w:tc>
        <w:tc>
          <w:tcPr>
            <w:tcW w:w="8640" w:type="dxa"/>
            <w:vAlign w:val="bottom"/>
          </w:tcPr>
          <w:p>
            <w:pPr>
              <w:ind w:left="38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5.02</w:t>
            </w:r>
          </w:p>
        </w:tc>
        <w:tc>
          <w:tcPr>
            <w:tcW w:w="8640" w:type="dxa"/>
            <w:vAlign w:val="bottom"/>
          </w:tcPr>
          <w:p>
            <w:pPr>
              <w:ind w:left="380"/>
              <w:spacing w:after="0"/>
              <w:rPr>
                <w:sz w:val="20"/>
                <w:szCs w:val="20"/>
                <w:color w:val="auto"/>
              </w:rPr>
            </w:pPr>
            <w:r>
              <w:rPr>
                <w:rFonts w:ascii="Arial" w:cs="Arial" w:eastAsia="Arial" w:hAnsi="Arial"/>
                <w:sz w:val="18"/>
                <w:szCs w:val="18"/>
                <w:color w:val="auto"/>
              </w:rPr>
              <w:t>Preservation Of Information; Communications With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5.03</w:t>
            </w:r>
          </w:p>
        </w:tc>
        <w:tc>
          <w:tcPr>
            <w:tcW w:w="8640" w:type="dxa"/>
            <w:vAlign w:val="bottom"/>
          </w:tcPr>
          <w:p>
            <w:pPr>
              <w:ind w:left="380"/>
              <w:spacing w:after="0"/>
              <w:rPr>
                <w:sz w:val="20"/>
                <w:szCs w:val="20"/>
                <w:color w:val="auto"/>
              </w:rPr>
            </w:pPr>
            <w:r>
              <w:rPr>
                <w:rFonts w:ascii="Arial" w:cs="Arial" w:eastAsia="Arial" w:hAnsi="Arial"/>
                <w:sz w:val="18"/>
                <w:szCs w:val="18"/>
                <w:color w:val="auto"/>
              </w:rPr>
              <w:t>Reports by the Company.</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5.04</w:t>
            </w:r>
          </w:p>
        </w:tc>
        <w:tc>
          <w:tcPr>
            <w:tcW w:w="8640" w:type="dxa"/>
            <w:vAlign w:val="bottom"/>
          </w:tcPr>
          <w:p>
            <w:pPr>
              <w:ind w:left="380"/>
              <w:spacing w:after="0"/>
              <w:rPr>
                <w:sz w:val="20"/>
                <w:szCs w:val="20"/>
                <w:color w:val="auto"/>
              </w:rPr>
            </w:pPr>
            <w:r>
              <w:rPr>
                <w:rFonts w:ascii="Arial" w:cs="Arial" w:eastAsia="Arial" w:hAnsi="Arial"/>
                <w:sz w:val="18"/>
                <w:szCs w:val="18"/>
                <w:color w:val="auto"/>
              </w:rPr>
              <w:t>Reports by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6</w:t>
            </w:r>
          </w:p>
        </w:tc>
        <w:tc>
          <w:tcPr>
            <w:tcW w:w="8640" w:type="dxa"/>
            <w:vAlign w:val="bottom"/>
          </w:tcPr>
          <w:p>
            <w:pPr>
              <w:ind w:left="160"/>
              <w:spacing w:after="0"/>
              <w:rPr>
                <w:sz w:val="20"/>
                <w:szCs w:val="20"/>
                <w:color w:val="auto"/>
              </w:rPr>
            </w:pPr>
            <w:r>
              <w:rPr>
                <w:rFonts w:ascii="Arial" w:cs="Arial" w:eastAsia="Arial" w:hAnsi="Arial"/>
                <w:sz w:val="18"/>
                <w:szCs w:val="18"/>
                <w:color w:val="auto"/>
              </w:rPr>
              <w:t>REMEDIES OF THE TRUSTEE AND SECURITYHOLDERS ON EVENT OF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6.01</w:t>
            </w:r>
          </w:p>
        </w:tc>
        <w:tc>
          <w:tcPr>
            <w:tcW w:w="864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6.02</w:t>
            </w:r>
          </w:p>
        </w:tc>
        <w:tc>
          <w:tcPr>
            <w:tcW w:w="8640" w:type="dxa"/>
            <w:vAlign w:val="bottom"/>
          </w:tcPr>
          <w:p>
            <w:pPr>
              <w:ind w:left="3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6.03</w:t>
            </w:r>
          </w:p>
        </w:tc>
        <w:tc>
          <w:tcPr>
            <w:tcW w:w="8640" w:type="dxa"/>
            <w:vAlign w:val="bottom"/>
          </w:tcPr>
          <w:p>
            <w:pPr>
              <w:ind w:left="380"/>
              <w:spacing w:after="0"/>
              <w:rPr>
                <w:sz w:val="20"/>
                <w:szCs w:val="20"/>
                <w:color w:val="auto"/>
              </w:rPr>
            </w:pPr>
            <w:r>
              <w:rPr>
                <w:rFonts w:ascii="Arial" w:cs="Arial" w:eastAsia="Arial" w:hAnsi="Arial"/>
                <w:sz w:val="18"/>
                <w:szCs w:val="18"/>
                <w:color w:val="auto"/>
              </w:rPr>
              <w:t>Application of Moneys Collected.</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6.04</w:t>
            </w:r>
          </w:p>
        </w:tc>
        <w:tc>
          <w:tcPr>
            <w:tcW w:w="8640" w:type="dxa"/>
            <w:vAlign w:val="bottom"/>
          </w:tcPr>
          <w:p>
            <w:pPr>
              <w:ind w:left="380"/>
              <w:spacing w:after="0"/>
              <w:rPr>
                <w:sz w:val="20"/>
                <w:szCs w:val="20"/>
                <w:color w:val="auto"/>
              </w:rPr>
            </w:pPr>
            <w:r>
              <w:rPr>
                <w:rFonts w:ascii="Arial" w:cs="Arial" w:eastAsia="Arial" w:hAnsi="Arial"/>
                <w:sz w:val="18"/>
                <w:szCs w:val="18"/>
                <w:color w:val="auto"/>
              </w:rPr>
              <w:t>Limitation on Suits.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6.05</w:t>
            </w:r>
          </w:p>
        </w:tc>
        <w:tc>
          <w:tcPr>
            <w:tcW w:w="8640" w:type="dxa"/>
            <w:vAlign w:val="bottom"/>
          </w:tcPr>
          <w:p>
            <w:pPr>
              <w:ind w:left="380"/>
              <w:spacing w:after="0"/>
              <w:rPr>
                <w:sz w:val="20"/>
                <w:szCs w:val="20"/>
                <w:color w:val="auto"/>
              </w:rPr>
            </w:pPr>
            <w:r>
              <w:rPr>
                <w:rFonts w:ascii="Arial" w:cs="Arial" w:eastAsia="Arial" w:hAnsi="Arial"/>
                <w:sz w:val="18"/>
                <w:szCs w:val="18"/>
                <w:color w:val="auto"/>
              </w:rPr>
              <w:t>Rights and Remedies Cumulative; Delay or Omission Not Waiver.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6.06</w:t>
            </w:r>
          </w:p>
        </w:tc>
        <w:tc>
          <w:tcPr>
            <w:tcW w:w="8640" w:type="dxa"/>
            <w:vAlign w:val="bottom"/>
          </w:tcPr>
          <w:p>
            <w:pPr>
              <w:ind w:left="380"/>
              <w:spacing w:after="0"/>
              <w:rPr>
                <w:sz w:val="20"/>
                <w:szCs w:val="20"/>
                <w:color w:val="auto"/>
              </w:rPr>
            </w:pPr>
            <w:r>
              <w:rPr>
                <w:rFonts w:ascii="Arial" w:cs="Arial" w:eastAsia="Arial" w:hAnsi="Arial"/>
                <w:sz w:val="18"/>
                <w:szCs w:val="18"/>
                <w:color w:val="auto"/>
              </w:rPr>
              <w:t>Control by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6.07</w:t>
            </w:r>
          </w:p>
        </w:tc>
        <w:tc>
          <w:tcPr>
            <w:tcW w:w="8640" w:type="dxa"/>
            <w:vAlign w:val="bottom"/>
          </w:tcPr>
          <w:p>
            <w:pPr>
              <w:ind w:left="380"/>
              <w:spacing w:after="0"/>
              <w:rPr>
                <w:sz w:val="20"/>
                <w:szCs w:val="20"/>
                <w:color w:val="auto"/>
              </w:rPr>
            </w:pPr>
            <w:r>
              <w:rPr>
                <w:rFonts w:ascii="Arial" w:cs="Arial" w:eastAsia="Arial" w:hAnsi="Arial"/>
                <w:sz w:val="18"/>
                <w:szCs w:val="18"/>
                <w:color w:val="auto"/>
              </w:rPr>
              <w:t>Undertaking to Pay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7</w:t>
            </w:r>
          </w:p>
        </w:tc>
        <w:tc>
          <w:tcPr>
            <w:tcW w:w="8640" w:type="dxa"/>
            <w:vAlign w:val="bottom"/>
          </w:tcPr>
          <w:p>
            <w:pPr>
              <w:ind w:left="160"/>
              <w:spacing w:after="0"/>
              <w:rPr>
                <w:sz w:val="20"/>
                <w:szCs w:val="20"/>
                <w:color w:val="auto"/>
              </w:rPr>
            </w:pPr>
            <w:r>
              <w:rPr>
                <w:rFonts w:ascii="Arial" w:cs="Arial" w:eastAsia="Arial" w:hAnsi="Arial"/>
                <w:sz w:val="18"/>
                <w:szCs w:val="18"/>
                <w:color w:val="auto"/>
              </w:rPr>
              <w:t>CONCERNING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240" w:type="dxa"/>
            <w:vAlign w:val="bottom"/>
          </w:tcPr>
          <w:p>
            <w:pPr>
              <w:ind w:left="200"/>
              <w:spacing w:after="0"/>
              <w:rPr>
                <w:sz w:val="20"/>
                <w:szCs w:val="20"/>
                <w:color w:val="auto"/>
              </w:rPr>
            </w:pPr>
            <w:r>
              <w:rPr>
                <w:rFonts w:ascii="Arial" w:cs="Arial" w:eastAsia="Arial" w:hAnsi="Arial"/>
                <w:sz w:val="18"/>
                <w:szCs w:val="18"/>
                <w:color w:val="auto"/>
              </w:rPr>
              <w:t>Section 7.01</w:t>
            </w:r>
          </w:p>
        </w:tc>
        <w:tc>
          <w:tcPr>
            <w:tcW w:w="8640" w:type="dxa"/>
            <w:vAlign w:val="bottom"/>
          </w:tcPr>
          <w:p>
            <w:pPr>
              <w:ind w:left="380"/>
              <w:spacing w:after="0"/>
              <w:rPr>
                <w:sz w:val="20"/>
                <w:szCs w:val="20"/>
                <w:color w:val="auto"/>
              </w:rPr>
            </w:pPr>
            <w:r>
              <w:rPr>
                <w:rFonts w:ascii="Arial" w:cs="Arial" w:eastAsia="Arial" w:hAnsi="Arial"/>
                <w:sz w:val="18"/>
                <w:szCs w:val="18"/>
                <w:color w:val="auto"/>
              </w:rPr>
              <w:t>Certain Duties and Responsibilities of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ind w:left="200"/>
              <w:spacing w:after="0"/>
              <w:rPr>
                <w:sz w:val="20"/>
                <w:szCs w:val="20"/>
                <w:color w:val="auto"/>
              </w:rPr>
            </w:pPr>
            <w:r>
              <w:rPr>
                <w:rFonts w:ascii="Arial" w:cs="Arial" w:eastAsia="Arial" w:hAnsi="Arial"/>
                <w:sz w:val="18"/>
                <w:szCs w:val="18"/>
                <w:color w:val="auto"/>
              </w:rPr>
              <w:t>Section 7.02</w:t>
            </w:r>
          </w:p>
        </w:tc>
        <w:tc>
          <w:tcPr>
            <w:tcW w:w="8640" w:type="dxa"/>
            <w:vAlign w:val="bottom"/>
          </w:tcPr>
          <w:p>
            <w:pPr>
              <w:ind w:left="380"/>
              <w:spacing w:after="0"/>
              <w:rPr>
                <w:sz w:val="20"/>
                <w:szCs w:val="20"/>
                <w:color w:val="auto"/>
              </w:rPr>
            </w:pPr>
            <w:r>
              <w:rPr>
                <w:rFonts w:ascii="Arial" w:cs="Arial" w:eastAsia="Arial" w:hAnsi="Arial"/>
                <w:sz w:val="18"/>
                <w:szCs w:val="18"/>
                <w:color w:val="auto"/>
              </w:rPr>
              <w:t>Certain Rights of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240" w:type="dxa"/>
            <w:vAlign w:val="bottom"/>
          </w:tcPr>
          <w:p>
            <w:pPr>
              <w:ind w:left="200"/>
              <w:spacing w:after="0"/>
              <w:rPr>
                <w:sz w:val="20"/>
                <w:szCs w:val="20"/>
                <w:color w:val="auto"/>
              </w:rPr>
            </w:pPr>
            <w:r>
              <w:rPr>
                <w:rFonts w:ascii="Arial" w:cs="Arial" w:eastAsia="Arial" w:hAnsi="Arial"/>
                <w:sz w:val="18"/>
                <w:szCs w:val="18"/>
                <w:color w:val="auto"/>
              </w:rPr>
              <w:t>Section 7.03</w:t>
            </w:r>
          </w:p>
        </w:tc>
        <w:tc>
          <w:tcPr>
            <w:tcW w:w="8640" w:type="dxa"/>
            <w:vAlign w:val="bottom"/>
          </w:tcPr>
          <w:p>
            <w:pPr>
              <w:ind w:left="380"/>
              <w:spacing w:after="0"/>
              <w:rPr>
                <w:sz w:val="20"/>
                <w:szCs w:val="20"/>
                <w:color w:val="auto"/>
              </w:rPr>
            </w:pPr>
            <w:r>
              <w:rPr>
                <w:rFonts w:ascii="Arial" w:cs="Arial" w:eastAsia="Arial" w:hAnsi="Arial"/>
                <w:sz w:val="18"/>
                <w:szCs w:val="18"/>
                <w:color w:val="auto"/>
              </w:rPr>
              <w:t>Trustee Not Responsible for Recitals or Issuance or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7.04</w:t>
            </w:r>
          </w:p>
        </w:tc>
        <w:tc>
          <w:tcPr>
            <w:tcW w:w="8120" w:type="dxa"/>
            <w:vAlign w:val="bottom"/>
          </w:tcPr>
          <w:p>
            <w:pPr>
              <w:ind w:left="320"/>
              <w:spacing w:after="0"/>
              <w:rPr>
                <w:sz w:val="20"/>
                <w:szCs w:val="20"/>
                <w:color w:val="auto"/>
              </w:rPr>
            </w:pPr>
            <w:r>
              <w:rPr>
                <w:rFonts w:ascii="Arial" w:cs="Arial" w:eastAsia="Arial" w:hAnsi="Arial"/>
                <w:sz w:val="18"/>
                <w:szCs w:val="18"/>
                <w:color w:val="auto"/>
              </w:rPr>
              <w:t>May Hold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7.05</w:t>
            </w:r>
          </w:p>
        </w:tc>
        <w:tc>
          <w:tcPr>
            <w:tcW w:w="8120" w:type="dxa"/>
            <w:vAlign w:val="bottom"/>
          </w:tcPr>
          <w:p>
            <w:pPr>
              <w:ind w:left="320"/>
              <w:spacing w:after="0"/>
              <w:rPr>
                <w:sz w:val="20"/>
                <w:szCs w:val="20"/>
                <w:color w:val="auto"/>
              </w:rPr>
            </w:pPr>
            <w:r>
              <w:rPr>
                <w:rFonts w:ascii="Arial" w:cs="Arial" w:eastAsia="Arial" w:hAnsi="Arial"/>
                <w:sz w:val="18"/>
                <w:szCs w:val="18"/>
                <w:color w:val="auto"/>
              </w:rPr>
              <w:t>Moneys Held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7.06</w:t>
            </w:r>
          </w:p>
        </w:tc>
        <w:tc>
          <w:tcPr>
            <w:tcW w:w="8120" w:type="dxa"/>
            <w:vAlign w:val="bottom"/>
          </w:tcPr>
          <w:p>
            <w:pPr>
              <w:ind w:left="320"/>
              <w:spacing w:after="0"/>
              <w:rPr>
                <w:sz w:val="20"/>
                <w:szCs w:val="20"/>
                <w:color w:val="auto"/>
              </w:rPr>
            </w:pPr>
            <w:r>
              <w:rPr>
                <w:rFonts w:ascii="Arial" w:cs="Arial" w:eastAsia="Arial" w:hAnsi="Arial"/>
                <w:sz w:val="18"/>
                <w:szCs w:val="18"/>
                <w:color w:val="auto"/>
              </w:rPr>
              <w:t>Compensation and Reimbursement.</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7.07</w:t>
            </w:r>
          </w:p>
        </w:tc>
        <w:tc>
          <w:tcPr>
            <w:tcW w:w="8120" w:type="dxa"/>
            <w:vAlign w:val="bottom"/>
          </w:tcPr>
          <w:p>
            <w:pPr>
              <w:ind w:left="320"/>
              <w:spacing w:after="0"/>
              <w:rPr>
                <w:sz w:val="20"/>
                <w:szCs w:val="20"/>
                <w:color w:val="auto"/>
              </w:rPr>
            </w:pPr>
            <w:r>
              <w:rPr>
                <w:rFonts w:ascii="Arial" w:cs="Arial" w:eastAsia="Arial" w:hAnsi="Arial"/>
                <w:sz w:val="18"/>
                <w:szCs w:val="18"/>
                <w:color w:val="auto"/>
              </w:rPr>
              <w:t>Reliance on Officer’s Certificate.</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7.08</w:t>
            </w:r>
          </w:p>
        </w:tc>
        <w:tc>
          <w:tcPr>
            <w:tcW w:w="8120" w:type="dxa"/>
            <w:vAlign w:val="bottom"/>
          </w:tcPr>
          <w:p>
            <w:pPr>
              <w:ind w:left="320"/>
              <w:spacing w:after="0"/>
              <w:rPr>
                <w:sz w:val="20"/>
                <w:szCs w:val="20"/>
                <w:color w:val="auto"/>
              </w:rPr>
            </w:pPr>
            <w:r>
              <w:rPr>
                <w:rFonts w:ascii="Arial" w:cs="Arial" w:eastAsia="Arial" w:hAnsi="Arial"/>
                <w:sz w:val="18"/>
                <w:szCs w:val="18"/>
                <w:color w:val="auto"/>
              </w:rPr>
              <w:t>Disqualification; Conflicting Interests.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7.09</w:t>
            </w:r>
          </w:p>
        </w:tc>
        <w:tc>
          <w:tcPr>
            <w:tcW w:w="8120" w:type="dxa"/>
            <w:vAlign w:val="bottom"/>
          </w:tcPr>
          <w:p>
            <w:pPr>
              <w:ind w:left="320"/>
              <w:spacing w:after="0"/>
              <w:rPr>
                <w:sz w:val="20"/>
                <w:szCs w:val="20"/>
                <w:color w:val="auto"/>
              </w:rPr>
            </w:pPr>
            <w:r>
              <w:rPr>
                <w:rFonts w:ascii="Arial" w:cs="Arial" w:eastAsia="Arial" w:hAnsi="Arial"/>
                <w:sz w:val="18"/>
                <w:szCs w:val="18"/>
                <w:color w:val="auto"/>
              </w:rPr>
              <w:t>Corporate Trustee Required; Eligibility.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7.10</w:t>
            </w:r>
          </w:p>
        </w:tc>
        <w:tc>
          <w:tcPr>
            <w:tcW w:w="8120" w:type="dxa"/>
            <w:vAlign w:val="bottom"/>
          </w:tcPr>
          <w:p>
            <w:pPr>
              <w:ind w:left="320"/>
              <w:spacing w:after="0"/>
              <w:rPr>
                <w:sz w:val="20"/>
                <w:szCs w:val="20"/>
                <w:color w:val="auto"/>
              </w:rPr>
            </w:pPr>
            <w:r>
              <w:rPr>
                <w:rFonts w:ascii="Arial" w:cs="Arial" w:eastAsia="Arial" w:hAnsi="Arial"/>
                <w:sz w:val="18"/>
                <w:szCs w:val="18"/>
                <w:color w:val="auto"/>
              </w:rPr>
              <w:t>Resignation and Removal; Appointment of Successor.</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7.11</w:t>
            </w:r>
          </w:p>
        </w:tc>
        <w:tc>
          <w:tcPr>
            <w:tcW w:w="8120" w:type="dxa"/>
            <w:vAlign w:val="bottom"/>
          </w:tcPr>
          <w:p>
            <w:pPr>
              <w:ind w:left="320"/>
              <w:spacing w:after="0"/>
              <w:rPr>
                <w:sz w:val="20"/>
                <w:szCs w:val="20"/>
                <w:color w:val="auto"/>
              </w:rPr>
            </w:pPr>
            <w:r>
              <w:rPr>
                <w:rFonts w:ascii="Arial" w:cs="Arial" w:eastAsia="Arial" w:hAnsi="Arial"/>
                <w:sz w:val="18"/>
                <w:szCs w:val="18"/>
                <w:color w:val="auto"/>
              </w:rPr>
              <w:t>Acceptance of Appointment By Successor.</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7.12</w:t>
            </w:r>
          </w:p>
        </w:tc>
        <w:tc>
          <w:tcPr>
            <w:tcW w:w="8120" w:type="dxa"/>
            <w:vAlign w:val="bottom"/>
          </w:tcPr>
          <w:p>
            <w:pPr>
              <w:ind w:left="320"/>
              <w:spacing w:after="0"/>
              <w:rPr>
                <w:sz w:val="20"/>
                <w:szCs w:val="20"/>
                <w:color w:val="auto"/>
              </w:rPr>
            </w:pPr>
            <w:r>
              <w:rPr>
                <w:rFonts w:ascii="Arial" w:cs="Arial" w:eastAsia="Arial" w:hAnsi="Arial"/>
                <w:sz w:val="18"/>
                <w:szCs w:val="18"/>
                <w:color w:val="auto"/>
              </w:rPr>
              <w:t>Merger, Conversion, Consolidation or Succession to Business.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7.13</w:t>
            </w:r>
          </w:p>
        </w:tc>
        <w:tc>
          <w:tcPr>
            <w:tcW w:w="8120" w:type="dxa"/>
            <w:vAlign w:val="bottom"/>
          </w:tcPr>
          <w:p>
            <w:pPr>
              <w:ind w:left="320"/>
              <w:spacing w:after="0"/>
              <w:rPr>
                <w:sz w:val="20"/>
                <w:szCs w:val="20"/>
                <w:color w:val="auto"/>
              </w:rPr>
            </w:pPr>
            <w:r>
              <w:rPr>
                <w:rFonts w:ascii="Arial" w:cs="Arial" w:eastAsia="Arial" w:hAnsi="Arial"/>
                <w:sz w:val="18"/>
                <w:szCs w:val="18"/>
                <w:color w:val="auto"/>
              </w:rPr>
              <w:t>Preferential Collection of Claims Against the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rPr>
              <w:t>Section 7.14</w:t>
            </w:r>
          </w:p>
        </w:tc>
        <w:tc>
          <w:tcPr>
            <w:tcW w:w="8120" w:type="dxa"/>
            <w:vAlign w:val="bottom"/>
          </w:tcPr>
          <w:p>
            <w:pPr>
              <w:ind w:left="320"/>
              <w:spacing w:after="0"/>
              <w:rPr>
                <w:sz w:val="20"/>
                <w:szCs w:val="20"/>
                <w:color w:val="auto"/>
              </w:rPr>
            </w:pPr>
            <w:r>
              <w:rPr>
                <w:rFonts w:ascii="Arial" w:cs="Arial" w:eastAsia="Arial" w:hAnsi="Arial"/>
                <w:sz w:val="18"/>
                <w:szCs w:val="18"/>
                <w:color w:val="auto"/>
              </w:rPr>
              <w:t>Notice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8</w:t>
            </w:r>
          </w:p>
        </w:tc>
        <w:tc>
          <w:tcPr>
            <w:tcW w:w="8120" w:type="dxa"/>
            <w:vAlign w:val="bottom"/>
          </w:tcPr>
          <w:p>
            <w:pPr>
              <w:ind w:left="100"/>
              <w:spacing w:after="0"/>
              <w:rPr>
                <w:sz w:val="20"/>
                <w:szCs w:val="20"/>
                <w:color w:val="auto"/>
              </w:rPr>
            </w:pPr>
            <w:r>
              <w:rPr>
                <w:rFonts w:ascii="Arial" w:cs="Arial" w:eastAsia="Arial" w:hAnsi="Arial"/>
                <w:sz w:val="18"/>
                <w:szCs w:val="18"/>
                <w:color w:val="auto"/>
              </w:rPr>
              <w:t>CONCERNING THE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300" w:type="dxa"/>
            <w:vAlign w:val="bottom"/>
          </w:tcPr>
          <w:p>
            <w:pPr>
              <w:ind w:left="200"/>
              <w:spacing w:after="0"/>
              <w:rPr>
                <w:sz w:val="20"/>
                <w:szCs w:val="20"/>
                <w:color w:val="auto"/>
              </w:rPr>
            </w:pPr>
            <w:r>
              <w:rPr>
                <w:rFonts w:ascii="Arial" w:cs="Arial" w:eastAsia="Arial" w:hAnsi="Arial"/>
                <w:sz w:val="18"/>
                <w:szCs w:val="18"/>
                <w:color w:val="auto"/>
              </w:rPr>
              <w:t>Section 8.01</w:t>
            </w:r>
          </w:p>
        </w:tc>
        <w:tc>
          <w:tcPr>
            <w:tcW w:w="8120" w:type="dxa"/>
            <w:vAlign w:val="bottom"/>
          </w:tcPr>
          <w:p>
            <w:pPr>
              <w:ind w:left="320"/>
              <w:spacing w:after="0"/>
              <w:rPr>
                <w:sz w:val="20"/>
                <w:szCs w:val="20"/>
                <w:color w:val="auto"/>
              </w:rPr>
            </w:pPr>
            <w:r>
              <w:rPr>
                <w:rFonts w:ascii="Arial" w:cs="Arial" w:eastAsia="Arial" w:hAnsi="Arial"/>
                <w:sz w:val="18"/>
                <w:szCs w:val="18"/>
                <w:color w:val="auto"/>
              </w:rPr>
              <w:t>Evidence of Action by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8.02</w:t>
            </w:r>
          </w:p>
        </w:tc>
        <w:tc>
          <w:tcPr>
            <w:tcW w:w="8120" w:type="dxa"/>
            <w:vAlign w:val="bottom"/>
          </w:tcPr>
          <w:p>
            <w:pPr>
              <w:ind w:left="320"/>
              <w:spacing w:after="0"/>
              <w:rPr>
                <w:sz w:val="20"/>
                <w:szCs w:val="20"/>
                <w:color w:val="auto"/>
              </w:rPr>
            </w:pPr>
            <w:r>
              <w:rPr>
                <w:rFonts w:ascii="Arial" w:cs="Arial" w:eastAsia="Arial" w:hAnsi="Arial"/>
                <w:sz w:val="18"/>
                <w:szCs w:val="18"/>
                <w:color w:val="auto"/>
              </w:rPr>
              <w:t>Proof of Execution by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8.03</w:t>
            </w:r>
          </w:p>
        </w:tc>
        <w:tc>
          <w:tcPr>
            <w:tcW w:w="8120" w:type="dxa"/>
            <w:vAlign w:val="bottom"/>
          </w:tcPr>
          <w:p>
            <w:pPr>
              <w:ind w:left="320"/>
              <w:spacing w:after="0"/>
              <w:rPr>
                <w:sz w:val="20"/>
                <w:szCs w:val="20"/>
                <w:color w:val="auto"/>
              </w:rPr>
            </w:pPr>
            <w:r>
              <w:rPr>
                <w:rFonts w:ascii="Arial" w:cs="Arial" w:eastAsia="Arial" w:hAnsi="Arial"/>
                <w:sz w:val="18"/>
                <w:szCs w:val="18"/>
                <w:color w:val="auto"/>
              </w:rPr>
              <w:t>Who May be Deemed Owners.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8.04</w:t>
            </w:r>
          </w:p>
        </w:tc>
        <w:tc>
          <w:tcPr>
            <w:tcW w:w="8120" w:type="dxa"/>
            <w:vAlign w:val="bottom"/>
          </w:tcPr>
          <w:p>
            <w:pPr>
              <w:ind w:left="320"/>
              <w:spacing w:after="0"/>
              <w:rPr>
                <w:sz w:val="20"/>
                <w:szCs w:val="20"/>
                <w:color w:val="auto"/>
              </w:rPr>
            </w:pPr>
            <w:r>
              <w:rPr>
                <w:rFonts w:ascii="Arial" w:cs="Arial" w:eastAsia="Arial" w:hAnsi="Arial"/>
                <w:sz w:val="18"/>
                <w:szCs w:val="18"/>
                <w:color w:val="auto"/>
              </w:rPr>
              <w:t>Certain Securities Owned by Company Disregarded.</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rPr>
              <w:t>Section 8.05</w:t>
            </w:r>
          </w:p>
        </w:tc>
        <w:tc>
          <w:tcPr>
            <w:tcW w:w="8120" w:type="dxa"/>
            <w:vAlign w:val="bottom"/>
          </w:tcPr>
          <w:p>
            <w:pPr>
              <w:ind w:left="320"/>
              <w:spacing w:after="0"/>
              <w:rPr>
                <w:sz w:val="20"/>
                <w:szCs w:val="20"/>
                <w:color w:val="auto"/>
              </w:rPr>
            </w:pPr>
            <w:r>
              <w:rPr>
                <w:rFonts w:ascii="Arial" w:cs="Arial" w:eastAsia="Arial" w:hAnsi="Arial"/>
                <w:sz w:val="18"/>
                <w:szCs w:val="18"/>
                <w:color w:val="auto"/>
              </w:rPr>
              <w:t>Actions Binding on Future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9</w:t>
            </w:r>
          </w:p>
        </w:tc>
        <w:tc>
          <w:tcPr>
            <w:tcW w:w="812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300" w:type="dxa"/>
            <w:vAlign w:val="bottom"/>
          </w:tcPr>
          <w:p>
            <w:pPr>
              <w:ind w:left="200"/>
              <w:spacing w:after="0"/>
              <w:rPr>
                <w:sz w:val="20"/>
                <w:szCs w:val="20"/>
                <w:color w:val="auto"/>
              </w:rPr>
            </w:pPr>
            <w:r>
              <w:rPr>
                <w:rFonts w:ascii="Arial" w:cs="Arial" w:eastAsia="Arial" w:hAnsi="Arial"/>
                <w:sz w:val="18"/>
                <w:szCs w:val="18"/>
                <w:color w:val="auto"/>
              </w:rPr>
              <w:t>Section 9.01</w:t>
            </w:r>
          </w:p>
        </w:tc>
        <w:tc>
          <w:tcPr>
            <w:tcW w:w="8120" w:type="dxa"/>
            <w:vAlign w:val="bottom"/>
          </w:tcPr>
          <w:p>
            <w:pPr>
              <w:ind w:left="320"/>
              <w:spacing w:after="0"/>
              <w:rPr>
                <w:sz w:val="20"/>
                <w:szCs w:val="20"/>
                <w:color w:val="auto"/>
              </w:rPr>
            </w:pPr>
            <w:r>
              <w:rPr>
                <w:rFonts w:ascii="Arial" w:cs="Arial" w:eastAsia="Arial" w:hAnsi="Arial"/>
                <w:sz w:val="18"/>
                <w:szCs w:val="18"/>
                <w:color w:val="auto"/>
              </w:rPr>
              <w:t>Supplemental Indentures Without the Consent of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9.02</w:t>
            </w:r>
          </w:p>
        </w:tc>
        <w:tc>
          <w:tcPr>
            <w:tcW w:w="8120" w:type="dxa"/>
            <w:vAlign w:val="bottom"/>
          </w:tcPr>
          <w:p>
            <w:pPr>
              <w:ind w:left="320"/>
              <w:spacing w:after="0"/>
              <w:rPr>
                <w:sz w:val="20"/>
                <w:szCs w:val="20"/>
                <w:color w:val="auto"/>
              </w:rPr>
            </w:pPr>
            <w:r>
              <w:rPr>
                <w:rFonts w:ascii="Arial" w:cs="Arial" w:eastAsia="Arial" w:hAnsi="Arial"/>
                <w:sz w:val="18"/>
                <w:szCs w:val="18"/>
                <w:color w:val="auto"/>
              </w:rPr>
              <w:t>Supplemental Indentures With Consent of Securityholders.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9.03</w:t>
            </w:r>
          </w:p>
        </w:tc>
        <w:tc>
          <w:tcPr>
            <w:tcW w:w="8120" w:type="dxa"/>
            <w:vAlign w:val="bottom"/>
          </w:tcPr>
          <w:p>
            <w:pPr>
              <w:ind w:left="320"/>
              <w:spacing w:after="0"/>
              <w:rPr>
                <w:sz w:val="20"/>
                <w:szCs w:val="20"/>
                <w:color w:val="auto"/>
              </w:rPr>
            </w:pPr>
            <w:r>
              <w:rPr>
                <w:rFonts w:ascii="Arial" w:cs="Arial" w:eastAsia="Arial" w:hAnsi="Arial"/>
                <w:sz w:val="18"/>
                <w:szCs w:val="18"/>
                <w:color w:val="auto"/>
              </w:rPr>
              <w:t>Effect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rPr>
              <w:t>Section 9.04</w:t>
            </w:r>
          </w:p>
        </w:tc>
        <w:tc>
          <w:tcPr>
            <w:tcW w:w="8120" w:type="dxa"/>
            <w:vAlign w:val="bottom"/>
          </w:tcPr>
          <w:p>
            <w:pPr>
              <w:ind w:left="320"/>
              <w:spacing w:after="0"/>
              <w:rPr>
                <w:sz w:val="20"/>
                <w:szCs w:val="20"/>
                <w:color w:val="auto"/>
              </w:rPr>
            </w:pPr>
            <w:r>
              <w:rPr>
                <w:rFonts w:ascii="Arial" w:cs="Arial" w:eastAsia="Arial" w:hAnsi="Arial"/>
                <w:sz w:val="18"/>
                <w:szCs w:val="18"/>
                <w:color w:val="auto"/>
              </w:rPr>
              <w:t>Securities Affected by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rPr>
              <w:t>Section 9.05</w:t>
            </w:r>
          </w:p>
        </w:tc>
        <w:tc>
          <w:tcPr>
            <w:tcW w:w="8120" w:type="dxa"/>
            <w:vAlign w:val="bottom"/>
          </w:tcPr>
          <w:p>
            <w:pPr>
              <w:ind w:left="320"/>
              <w:spacing w:after="0"/>
              <w:rPr>
                <w:sz w:val="20"/>
                <w:szCs w:val="20"/>
                <w:color w:val="auto"/>
              </w:rPr>
            </w:pPr>
            <w:r>
              <w:rPr>
                <w:rFonts w:ascii="Arial" w:cs="Arial" w:eastAsia="Arial" w:hAnsi="Arial"/>
                <w:sz w:val="18"/>
                <w:szCs w:val="18"/>
                <w:color w:val="auto"/>
              </w:rPr>
              <w:t>Execution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10</w:t>
            </w:r>
          </w:p>
        </w:tc>
        <w:tc>
          <w:tcPr>
            <w:tcW w:w="8120" w:type="dxa"/>
            <w:vAlign w:val="bottom"/>
          </w:tcPr>
          <w:p>
            <w:pPr>
              <w:ind w:left="100"/>
              <w:spacing w:after="0"/>
              <w:rPr>
                <w:sz w:val="20"/>
                <w:szCs w:val="20"/>
                <w:color w:val="auto"/>
              </w:rPr>
            </w:pPr>
            <w:r>
              <w:rPr>
                <w:rFonts w:ascii="Arial" w:cs="Arial" w:eastAsia="Arial" w:hAnsi="Arial"/>
                <w:sz w:val="18"/>
                <w:szCs w:val="18"/>
                <w:color w:val="auto"/>
              </w:rPr>
              <w:t>SUCCESSOR ENTITY</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10.01</w:t>
            </w:r>
          </w:p>
        </w:tc>
        <w:tc>
          <w:tcPr>
            <w:tcW w:w="8120" w:type="dxa"/>
            <w:vAlign w:val="bottom"/>
          </w:tcPr>
          <w:p>
            <w:pPr>
              <w:ind w:left="320"/>
              <w:spacing w:after="0"/>
              <w:rPr>
                <w:sz w:val="20"/>
                <w:szCs w:val="20"/>
                <w:color w:val="auto"/>
              </w:rPr>
            </w:pPr>
            <w:r>
              <w:rPr>
                <w:rFonts w:ascii="Arial" w:cs="Arial" w:eastAsia="Arial" w:hAnsi="Arial"/>
                <w:sz w:val="18"/>
                <w:szCs w:val="18"/>
                <w:color w:val="auto"/>
              </w:rPr>
              <w:t>Company May Consolidate, Etc.</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10.02</w:t>
            </w:r>
          </w:p>
        </w:tc>
        <w:tc>
          <w:tcPr>
            <w:tcW w:w="8120" w:type="dxa"/>
            <w:vAlign w:val="bottom"/>
          </w:tcPr>
          <w:p>
            <w:pPr>
              <w:ind w:left="320"/>
              <w:spacing w:after="0"/>
              <w:rPr>
                <w:sz w:val="20"/>
                <w:szCs w:val="20"/>
                <w:color w:val="auto"/>
              </w:rPr>
            </w:pPr>
            <w:r>
              <w:rPr>
                <w:rFonts w:ascii="Arial" w:cs="Arial" w:eastAsia="Arial" w:hAnsi="Arial"/>
                <w:sz w:val="18"/>
                <w:szCs w:val="18"/>
                <w:color w:val="auto"/>
              </w:rPr>
              <w:t>Successor Entity Substituted.</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11</w:t>
            </w:r>
          </w:p>
        </w:tc>
        <w:tc>
          <w:tcPr>
            <w:tcW w:w="812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11.01</w:t>
            </w:r>
          </w:p>
        </w:tc>
        <w:tc>
          <w:tcPr>
            <w:tcW w:w="8120" w:type="dxa"/>
            <w:vAlign w:val="bottom"/>
          </w:tcPr>
          <w:p>
            <w:pPr>
              <w:ind w:left="320"/>
              <w:spacing w:after="0"/>
              <w:rPr>
                <w:sz w:val="20"/>
                <w:szCs w:val="20"/>
                <w:color w:val="auto"/>
              </w:rPr>
            </w:pPr>
            <w:r>
              <w:rPr>
                <w:rFonts w:ascii="Arial" w:cs="Arial" w:eastAsia="Arial" w:hAnsi="Arial"/>
                <w:sz w:val="18"/>
                <w:szCs w:val="18"/>
                <w:color w:val="auto"/>
              </w:rPr>
              <w:t>Satisfaction and Discharge of Indenture.</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11.02</w:t>
            </w:r>
          </w:p>
        </w:tc>
        <w:tc>
          <w:tcPr>
            <w:tcW w:w="8120" w:type="dxa"/>
            <w:vAlign w:val="bottom"/>
          </w:tcPr>
          <w:p>
            <w:pPr>
              <w:ind w:left="320"/>
              <w:spacing w:after="0"/>
              <w:rPr>
                <w:sz w:val="20"/>
                <w:szCs w:val="20"/>
                <w:color w:val="auto"/>
              </w:rPr>
            </w:pPr>
            <w:r>
              <w:rPr>
                <w:rFonts w:ascii="Arial" w:cs="Arial" w:eastAsia="Arial" w:hAnsi="Arial"/>
                <w:sz w:val="18"/>
                <w:szCs w:val="18"/>
                <w:color w:val="auto"/>
              </w:rPr>
              <w:t>Discharge of Obligations.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11.03</w:t>
            </w:r>
          </w:p>
        </w:tc>
        <w:tc>
          <w:tcPr>
            <w:tcW w:w="8120" w:type="dxa"/>
            <w:vAlign w:val="bottom"/>
          </w:tcPr>
          <w:p>
            <w:pPr>
              <w:ind w:left="320"/>
              <w:spacing w:after="0"/>
              <w:rPr>
                <w:sz w:val="20"/>
                <w:szCs w:val="20"/>
                <w:color w:val="auto"/>
              </w:rPr>
            </w:pPr>
            <w:r>
              <w:rPr>
                <w:rFonts w:ascii="Arial" w:cs="Arial" w:eastAsia="Arial" w:hAnsi="Arial"/>
                <w:sz w:val="18"/>
                <w:szCs w:val="18"/>
                <w:color w:val="auto"/>
              </w:rPr>
              <w:t>Deposited Moneys to be Held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11.04</w:t>
            </w:r>
          </w:p>
        </w:tc>
        <w:tc>
          <w:tcPr>
            <w:tcW w:w="8120" w:type="dxa"/>
            <w:vAlign w:val="bottom"/>
          </w:tcPr>
          <w:p>
            <w:pPr>
              <w:ind w:left="320"/>
              <w:spacing w:after="0"/>
              <w:rPr>
                <w:sz w:val="20"/>
                <w:szCs w:val="20"/>
                <w:color w:val="auto"/>
              </w:rPr>
            </w:pPr>
            <w:r>
              <w:rPr>
                <w:rFonts w:ascii="Arial" w:cs="Arial" w:eastAsia="Arial" w:hAnsi="Arial"/>
                <w:sz w:val="18"/>
                <w:szCs w:val="18"/>
                <w:color w:val="auto"/>
              </w:rPr>
              <w:t>Payment of Moneys Held by Paying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11.05</w:t>
            </w:r>
          </w:p>
        </w:tc>
        <w:tc>
          <w:tcPr>
            <w:tcW w:w="8120" w:type="dxa"/>
            <w:vAlign w:val="bottom"/>
          </w:tcPr>
          <w:p>
            <w:pPr>
              <w:ind w:left="320"/>
              <w:spacing w:after="0"/>
              <w:rPr>
                <w:sz w:val="20"/>
                <w:szCs w:val="20"/>
                <w:color w:val="auto"/>
              </w:rPr>
            </w:pPr>
            <w:r>
              <w:rPr>
                <w:rFonts w:ascii="Arial" w:cs="Arial" w:eastAsia="Arial" w:hAnsi="Arial"/>
                <w:sz w:val="18"/>
                <w:szCs w:val="18"/>
                <w:color w:val="auto"/>
              </w:rPr>
              <w:t>Repayment to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12</w:t>
            </w:r>
          </w:p>
        </w:tc>
        <w:tc>
          <w:tcPr>
            <w:tcW w:w="8120" w:type="dxa"/>
            <w:vAlign w:val="bottom"/>
          </w:tcPr>
          <w:p>
            <w:pPr>
              <w:ind w:left="100"/>
              <w:spacing w:after="0"/>
              <w:rPr>
                <w:sz w:val="20"/>
                <w:szCs w:val="20"/>
                <w:color w:val="auto"/>
              </w:rPr>
            </w:pPr>
            <w:r>
              <w:rPr>
                <w:rFonts w:ascii="Arial" w:cs="Arial" w:eastAsia="Arial" w:hAnsi="Arial"/>
                <w:sz w:val="18"/>
                <w:szCs w:val="18"/>
                <w:color w:val="auto"/>
              </w:rPr>
              <w:t>IMMUNITY OF INCORPORATORS, STOCKHOLDERS, OFFICERS AND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12.01</w:t>
            </w:r>
          </w:p>
        </w:tc>
        <w:tc>
          <w:tcPr>
            <w:tcW w:w="8120" w:type="dxa"/>
            <w:vAlign w:val="bottom"/>
          </w:tcPr>
          <w:p>
            <w:pPr>
              <w:ind w:left="320"/>
              <w:spacing w:after="0"/>
              <w:rPr>
                <w:sz w:val="20"/>
                <w:szCs w:val="20"/>
                <w:color w:val="auto"/>
              </w:rPr>
            </w:pPr>
            <w:r>
              <w:rPr>
                <w:rFonts w:ascii="Arial" w:cs="Arial" w:eastAsia="Arial" w:hAnsi="Arial"/>
                <w:sz w:val="18"/>
                <w:szCs w:val="18"/>
                <w:color w:val="auto"/>
              </w:rPr>
              <w:t>No Recourse.</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13</w:t>
            </w:r>
          </w:p>
        </w:tc>
        <w:tc>
          <w:tcPr>
            <w:tcW w:w="812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13.01</w:t>
            </w:r>
          </w:p>
        </w:tc>
        <w:tc>
          <w:tcPr>
            <w:tcW w:w="8120" w:type="dxa"/>
            <w:vAlign w:val="bottom"/>
          </w:tcPr>
          <w:p>
            <w:pPr>
              <w:ind w:left="320"/>
              <w:spacing w:after="0"/>
              <w:rPr>
                <w:sz w:val="20"/>
                <w:szCs w:val="20"/>
                <w:color w:val="auto"/>
              </w:rPr>
            </w:pPr>
            <w:r>
              <w:rPr>
                <w:rFonts w:ascii="Arial" w:cs="Arial" w:eastAsia="Arial" w:hAnsi="Arial"/>
                <w:sz w:val="18"/>
                <w:szCs w:val="18"/>
                <w:color w:val="auto"/>
              </w:rPr>
              <w:t>Effect on Successors and Assigns.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13.02</w:t>
            </w:r>
          </w:p>
        </w:tc>
        <w:tc>
          <w:tcPr>
            <w:tcW w:w="8120" w:type="dxa"/>
            <w:vAlign w:val="bottom"/>
          </w:tcPr>
          <w:p>
            <w:pPr>
              <w:ind w:left="320"/>
              <w:spacing w:after="0"/>
              <w:rPr>
                <w:sz w:val="20"/>
                <w:szCs w:val="20"/>
                <w:color w:val="auto"/>
              </w:rPr>
            </w:pPr>
            <w:r>
              <w:rPr>
                <w:rFonts w:ascii="Arial" w:cs="Arial" w:eastAsia="Arial" w:hAnsi="Arial"/>
                <w:sz w:val="18"/>
                <w:szCs w:val="18"/>
                <w:color w:val="auto"/>
              </w:rPr>
              <w:t>Actions by Successor.</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13.03</w:t>
            </w:r>
          </w:p>
        </w:tc>
        <w:tc>
          <w:tcPr>
            <w:tcW w:w="8120" w:type="dxa"/>
            <w:vAlign w:val="bottom"/>
          </w:tcPr>
          <w:p>
            <w:pPr>
              <w:ind w:left="320"/>
              <w:spacing w:after="0"/>
              <w:rPr>
                <w:sz w:val="20"/>
                <w:szCs w:val="20"/>
                <w:color w:val="auto"/>
              </w:rPr>
            </w:pPr>
            <w:r>
              <w:rPr>
                <w:rFonts w:ascii="Arial" w:cs="Arial" w:eastAsia="Arial" w:hAnsi="Arial"/>
                <w:sz w:val="18"/>
                <w:szCs w:val="18"/>
                <w:color w:val="auto"/>
              </w:rPr>
              <w:t>Surrender of Company Powers.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13.04</w:t>
            </w:r>
          </w:p>
        </w:tc>
        <w:tc>
          <w:tcPr>
            <w:tcW w:w="8120" w:type="dxa"/>
            <w:vAlign w:val="bottom"/>
          </w:tcPr>
          <w:p>
            <w:pPr>
              <w:ind w:left="32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13.05</w:t>
            </w:r>
          </w:p>
        </w:tc>
        <w:tc>
          <w:tcPr>
            <w:tcW w:w="8120" w:type="dxa"/>
            <w:vAlign w:val="bottom"/>
          </w:tcPr>
          <w:p>
            <w:pPr>
              <w:ind w:left="320"/>
              <w:spacing w:after="0"/>
              <w:rPr>
                <w:sz w:val="20"/>
                <w:szCs w:val="20"/>
                <w:color w:val="auto"/>
              </w:rPr>
            </w:pPr>
            <w:r>
              <w:rPr>
                <w:rFonts w:ascii="Arial" w:cs="Arial" w:eastAsia="Arial" w:hAnsi="Arial"/>
                <w:sz w:val="18"/>
                <w:szCs w:val="18"/>
                <w:color w:val="auto"/>
              </w:rPr>
              <w:t>Governing Law; Jury Trial Waiver.</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13.06</w:t>
            </w:r>
          </w:p>
        </w:tc>
        <w:tc>
          <w:tcPr>
            <w:tcW w:w="8120" w:type="dxa"/>
            <w:vAlign w:val="bottom"/>
          </w:tcPr>
          <w:p>
            <w:pPr>
              <w:ind w:left="320"/>
              <w:spacing w:after="0"/>
              <w:rPr>
                <w:sz w:val="20"/>
                <w:szCs w:val="20"/>
                <w:color w:val="auto"/>
              </w:rPr>
            </w:pPr>
            <w:r>
              <w:rPr>
                <w:rFonts w:ascii="Arial" w:cs="Arial" w:eastAsia="Arial" w:hAnsi="Arial"/>
                <w:sz w:val="18"/>
                <w:szCs w:val="18"/>
                <w:color w:val="auto"/>
              </w:rPr>
              <w:t>Treatment of Securities as Debt.</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13.07</w:t>
            </w:r>
          </w:p>
        </w:tc>
        <w:tc>
          <w:tcPr>
            <w:tcW w:w="8120" w:type="dxa"/>
            <w:vAlign w:val="bottom"/>
          </w:tcPr>
          <w:p>
            <w:pPr>
              <w:ind w:left="320"/>
              <w:spacing w:after="0"/>
              <w:rPr>
                <w:sz w:val="20"/>
                <w:szCs w:val="20"/>
                <w:color w:val="auto"/>
              </w:rPr>
            </w:pPr>
            <w:r>
              <w:rPr>
                <w:rFonts w:ascii="Arial" w:cs="Arial" w:eastAsia="Arial" w:hAnsi="Arial"/>
                <w:sz w:val="18"/>
                <w:szCs w:val="18"/>
                <w:color w:val="auto"/>
              </w:rPr>
              <w:t>Certificates and Opinions as to Conditions Precedent.</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13.08</w:t>
            </w:r>
          </w:p>
        </w:tc>
        <w:tc>
          <w:tcPr>
            <w:tcW w:w="8120" w:type="dxa"/>
            <w:vAlign w:val="bottom"/>
          </w:tcPr>
          <w:p>
            <w:pPr>
              <w:ind w:left="320"/>
              <w:spacing w:after="0"/>
              <w:rPr>
                <w:sz w:val="20"/>
                <w:szCs w:val="20"/>
                <w:color w:val="auto"/>
              </w:rPr>
            </w:pPr>
            <w:r>
              <w:rPr>
                <w:rFonts w:ascii="Arial" w:cs="Arial" w:eastAsia="Arial" w:hAnsi="Arial"/>
                <w:sz w:val="18"/>
                <w:szCs w:val="18"/>
                <w:color w:val="auto"/>
              </w:rPr>
              <w:t>Payments on Business Days.</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13.09</w:t>
            </w:r>
          </w:p>
        </w:tc>
        <w:tc>
          <w:tcPr>
            <w:tcW w:w="8120" w:type="dxa"/>
            <w:vAlign w:val="bottom"/>
          </w:tcPr>
          <w:p>
            <w:pPr>
              <w:ind w:left="320"/>
              <w:spacing w:after="0"/>
              <w:rPr>
                <w:sz w:val="20"/>
                <w:szCs w:val="20"/>
                <w:color w:val="auto"/>
              </w:rPr>
            </w:pPr>
            <w:r>
              <w:rPr>
                <w:rFonts w:ascii="Arial" w:cs="Arial" w:eastAsia="Arial" w:hAnsi="Arial"/>
                <w:sz w:val="18"/>
                <w:szCs w:val="18"/>
                <w:color w:val="auto"/>
              </w:rPr>
              <w:t>Conflict with Trust Indenture Act.</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13.10</w:t>
            </w:r>
          </w:p>
        </w:tc>
        <w:tc>
          <w:tcPr>
            <w:tcW w:w="812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13.11</w:t>
            </w:r>
          </w:p>
        </w:tc>
        <w:tc>
          <w:tcPr>
            <w:tcW w:w="8120" w:type="dxa"/>
            <w:vAlign w:val="bottom"/>
          </w:tcPr>
          <w:p>
            <w:pPr>
              <w:ind w:left="320"/>
              <w:spacing w:after="0"/>
              <w:rPr>
                <w:sz w:val="20"/>
                <w:szCs w:val="20"/>
                <w:color w:val="auto"/>
              </w:rPr>
            </w:pPr>
            <w:r>
              <w:rPr>
                <w:rFonts w:ascii="Arial" w:cs="Arial" w:eastAsia="Arial" w:hAnsi="Arial"/>
                <w:sz w:val="18"/>
                <w:szCs w:val="18"/>
                <w:color w:val="auto"/>
              </w:rPr>
              <w:t>Separability.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13.12</w:t>
            </w:r>
          </w:p>
        </w:tc>
        <w:tc>
          <w:tcPr>
            <w:tcW w:w="8120" w:type="dxa"/>
            <w:vAlign w:val="bottom"/>
          </w:tcPr>
          <w:p>
            <w:pPr>
              <w:ind w:left="320"/>
              <w:spacing w:after="0"/>
              <w:rPr>
                <w:sz w:val="20"/>
                <w:szCs w:val="20"/>
                <w:color w:val="auto"/>
              </w:rPr>
            </w:pPr>
            <w:r>
              <w:rPr>
                <w:rFonts w:ascii="Arial" w:cs="Arial" w:eastAsia="Arial" w:hAnsi="Arial"/>
                <w:sz w:val="18"/>
                <w:szCs w:val="18"/>
                <w:color w:val="auto"/>
              </w:rPr>
              <w:t>Compliance Certificates.</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13.13</w:t>
            </w:r>
          </w:p>
        </w:tc>
        <w:tc>
          <w:tcPr>
            <w:tcW w:w="812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13.14</w:t>
            </w:r>
          </w:p>
        </w:tc>
        <w:tc>
          <w:tcPr>
            <w:tcW w:w="8120" w:type="dxa"/>
            <w:vAlign w:val="bottom"/>
          </w:tcPr>
          <w:p>
            <w:pPr>
              <w:ind w:left="320"/>
              <w:spacing w:after="0"/>
              <w:rPr>
                <w:sz w:val="20"/>
                <w:szCs w:val="20"/>
                <w:color w:val="auto"/>
              </w:rPr>
            </w:pPr>
            <w:r>
              <w:rPr>
                <w:rFonts w:ascii="Arial" w:cs="Arial" w:eastAsia="Arial" w:hAnsi="Arial"/>
                <w:sz w:val="18"/>
                <w:szCs w:val="18"/>
                <w:color w:val="auto"/>
              </w:rPr>
              <w:t>Force Majeure.</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00" w:type="dxa"/>
            <w:vAlign w:val="bottom"/>
          </w:tcPr>
          <w:p>
            <w:pPr>
              <w:ind w:left="200"/>
              <w:spacing w:after="0"/>
              <w:rPr>
                <w:sz w:val="20"/>
                <w:szCs w:val="20"/>
                <w:color w:val="auto"/>
              </w:rPr>
            </w:pPr>
            <w:r>
              <w:rPr>
                <w:rFonts w:ascii="Arial" w:cs="Arial" w:eastAsia="Arial" w:hAnsi="Arial"/>
                <w:sz w:val="18"/>
                <w:szCs w:val="18"/>
                <w:color w:val="auto"/>
                <w:w w:val="98"/>
              </w:rPr>
              <w:t>Section 13.15</w:t>
            </w:r>
          </w:p>
        </w:tc>
        <w:tc>
          <w:tcPr>
            <w:tcW w:w="8120" w:type="dxa"/>
            <w:vAlign w:val="bottom"/>
          </w:tcPr>
          <w:p>
            <w:pPr>
              <w:ind w:left="320"/>
              <w:spacing w:after="0"/>
              <w:rPr>
                <w:sz w:val="20"/>
                <w:szCs w:val="20"/>
                <w:color w:val="auto"/>
              </w:rPr>
            </w:pPr>
            <w:r>
              <w:rPr>
                <w:rFonts w:ascii="Arial" w:cs="Arial" w:eastAsia="Arial" w:hAnsi="Arial"/>
                <w:sz w:val="18"/>
                <w:szCs w:val="18"/>
                <w:color w:val="auto"/>
              </w:rPr>
              <w:t>Table of Contents; Headings.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920" w:firstLine="440"/>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 among</w:t>
      </w:r>
      <w:r>
        <w:rPr>
          <w:rFonts w:ascii="Arial" w:cs="Arial" w:eastAsia="Arial" w:hAnsi="Arial"/>
          <w:sz w:val="18"/>
          <w:szCs w:val="18"/>
          <w:b w:val="1"/>
          <w:bCs w:val="1"/>
          <w:color w:val="auto"/>
        </w:rPr>
        <w:t xml:space="preserve"> TEMPEST THERAPEUTICS, INC</w:t>
      </w:r>
      <w:r>
        <w:rPr>
          <w:rFonts w:ascii="Arial" w:cs="Arial" w:eastAsia="Arial" w:hAnsi="Arial"/>
          <w:sz w:val="18"/>
          <w:szCs w:val="18"/>
          <w:color w:val="auto"/>
        </w:rPr>
        <w:t>., a Delaware corporation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as trustee (the “Trustee”):</w:t>
      </w:r>
    </w:p>
    <w:p>
      <w:pPr>
        <w:spacing w:after="0" w:line="162"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1.01 Definitions of Terms.</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4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means </w:t>
      </w:r>
      <w:r>
        <w:rPr>
          <w:rFonts w:ascii="Arial" w:cs="Arial" w:eastAsia="Arial" w:hAnsi="Arial"/>
          <w:sz w:val="18"/>
          <w:szCs w:val="18"/>
          <w:b w:val="1"/>
          <w:bCs w:val="1"/>
          <w:color w:val="auto"/>
        </w:rPr>
        <w:t>TEMPEST THERAPEUTICS, INC</w:t>
      </w:r>
      <w:r>
        <w:rPr>
          <w:rFonts w:ascii="Arial" w:cs="Arial" w:eastAsia="Arial" w:hAnsi="Arial"/>
          <w:sz w:val="18"/>
          <w:szCs w:val="18"/>
          <w:color w:val="auto"/>
        </w:rPr>
        <w:t>., a corporation duly organized and existing under the laws of the State of DELAWARE, and, subject to the provisions of Article Ten, shall also include its successors and assigns.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47" w:name="page48"/>
    <w:bookmarkEnd w:id="47"/>
    <w:p>
      <w:pPr>
        <w:ind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Securityholder</w:t>
      </w:r>
      <w:r>
        <w:rPr>
          <w:rFonts w:ascii="Arial" w:cs="Arial" w:eastAsia="Arial" w:hAnsi="Arial"/>
          <w:sz w:val="17"/>
          <w:szCs w:val="17"/>
          <w:color w:val="auto"/>
        </w:rPr>
        <w:t>”, “</w:t>
      </w:r>
      <w:r>
        <w:rPr>
          <w:rFonts w:ascii="Arial" w:cs="Arial" w:eastAsia="Arial" w:hAnsi="Arial"/>
          <w:sz w:val="17"/>
          <w:szCs w:val="17"/>
          <w:b w:val="1"/>
          <w:bCs w:val="1"/>
          <w:i w:val="1"/>
          <w:i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9" w:name="page50"/>
    <w:bookmarkEnd w:id="49"/>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 L. 107-56, as amended and signed into law October 26, 2001.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2.01 Designation and Terms of Securities.</w:t>
      </w:r>
    </w:p>
    <w:p>
      <w:pPr>
        <w:spacing w:after="0" w:line="121" w:lineRule="exact"/>
        <w:rPr>
          <w:sz w:val="20"/>
          <w:szCs w:val="20"/>
          <w:color w:val="auto"/>
        </w:rPr>
      </w:pPr>
    </w:p>
    <w:p>
      <w:pPr>
        <w:ind w:right="80" w:firstLine="987"/>
        <w:spacing w:after="0" w:line="301"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7" w:lineRule="exact"/>
        <w:rPr>
          <w:rFonts w:ascii="Arial" w:cs="Arial" w:eastAsia="Arial" w:hAnsi="Arial"/>
          <w:sz w:val="16"/>
          <w:szCs w:val="16"/>
          <w:color w:val="auto"/>
        </w:rPr>
      </w:pPr>
    </w:p>
    <w:p>
      <w:pPr>
        <w:ind w:left="1680" w:hanging="252"/>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color w:val="auto"/>
        </w:rPr>
      </w:pPr>
    </w:p>
    <w:p>
      <w:pPr>
        <w:ind w:right="120" w:firstLine="1428"/>
        <w:spacing w:after="0" w:line="263" w:lineRule="auto"/>
        <w:tabs>
          <w:tab w:leader="none" w:pos="16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maturity date or dates on which the principal of the Securities of the series is payable;</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whether or not the Securities will be secured or unsecured, and the terms of any secured debt;</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whether the Securities rank as senior debt, senior subordinated debt, subordinated debt or any combination thereof, and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subordination;</w:t>
      </w:r>
    </w:p>
    <w:p>
      <w:pPr>
        <w:spacing w:after="0" w:line="210" w:lineRule="exact"/>
        <w:rPr>
          <w:rFonts w:ascii="Arial" w:cs="Arial" w:eastAsia="Arial" w:hAnsi="Arial"/>
          <w:sz w:val="16"/>
          <w:szCs w:val="16"/>
          <w:color w:val="auto"/>
        </w:rPr>
      </w:pPr>
    </w:p>
    <w:p>
      <w:pPr>
        <w:ind w:right="80" w:firstLine="1428"/>
        <w:spacing w:after="0" w:line="259" w:lineRule="auto"/>
        <w:tabs>
          <w:tab w:leader="none" w:pos="16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color w:val="auto"/>
        </w:rPr>
      </w:pPr>
    </w:p>
    <w:p>
      <w:pPr>
        <w:ind w:firstLine="1428"/>
        <w:spacing w:after="0" w:line="342" w:lineRule="auto"/>
        <w:tabs>
          <w:tab w:leader="none" w:pos="168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3" w:lineRule="exact"/>
        <w:rPr>
          <w:rFonts w:ascii="Arial" w:cs="Arial" w:eastAsia="Arial" w:hAnsi="Arial"/>
          <w:sz w:val="16"/>
          <w:szCs w:val="16"/>
          <w:color w:val="auto"/>
        </w:rPr>
      </w:pPr>
    </w:p>
    <w:p>
      <w:pPr>
        <w:ind w:left="1780" w:hanging="352"/>
        <w:spacing w:after="0"/>
        <w:tabs>
          <w:tab w:leader="none" w:pos="1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Company’s right, if any, to defer the payment of interest and the maximum length of any such deferral period;</w:t>
      </w:r>
    </w:p>
    <w:p>
      <w:pPr>
        <w:spacing w:after="0" w:line="225" w:lineRule="exact"/>
        <w:rPr>
          <w:rFonts w:ascii="Arial" w:cs="Arial" w:eastAsia="Arial" w:hAnsi="Arial"/>
          <w:sz w:val="18"/>
          <w:szCs w:val="18"/>
          <w:color w:val="auto"/>
        </w:rPr>
      </w:pPr>
    </w:p>
    <w:p>
      <w:pPr>
        <w:ind w:right="20" w:firstLine="1428"/>
        <w:spacing w:after="0" w:line="263" w:lineRule="auto"/>
        <w:tabs>
          <w:tab w:leader="none" w:pos="17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83" w:lineRule="exact"/>
        <w:rPr>
          <w:rFonts w:ascii="Arial" w:cs="Arial" w:eastAsia="Arial" w:hAnsi="Arial"/>
          <w:sz w:val="18"/>
          <w:szCs w:val="18"/>
          <w:color w:val="auto"/>
        </w:rPr>
      </w:pPr>
    </w:p>
    <w:p>
      <w:pPr>
        <w:ind w:right="540" w:firstLine="1428"/>
        <w:spacing w:after="0" w:line="263" w:lineRule="auto"/>
        <w:tabs>
          <w:tab w:leader="none" w:pos="17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50" w:name="page51"/>
    <w:bookmarkEnd w:id="50"/>
    <w:p>
      <w:pPr>
        <w:ind w:right="440" w:firstLine="1428"/>
        <w:spacing w:after="0" w:line="27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denominations in which the Securities of the series shall be issuable, if other than denominations of one thousand U.S. dollars ($1,000) or any integral multiple thereof;</w:t>
      </w:r>
    </w:p>
    <w:p>
      <w:pPr>
        <w:spacing w:after="0" w:line="170" w:lineRule="exact"/>
        <w:rPr>
          <w:rFonts w:ascii="Arial" w:cs="Arial" w:eastAsia="Arial" w:hAnsi="Arial"/>
          <w:sz w:val="18"/>
          <w:szCs w:val="18"/>
          <w:color w:val="auto"/>
        </w:rPr>
      </w:pPr>
    </w:p>
    <w:p>
      <w:pPr>
        <w:ind w:right="140" w:firstLine="1428"/>
        <w:spacing w:after="0" w:line="263"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83" w:lineRule="exact"/>
        <w:rPr>
          <w:rFonts w:ascii="Arial" w:cs="Arial" w:eastAsia="Arial" w:hAnsi="Arial"/>
          <w:sz w:val="18"/>
          <w:szCs w:val="18"/>
          <w:color w:val="auto"/>
        </w:rPr>
      </w:pPr>
    </w:p>
    <w:p>
      <w:pPr>
        <w:ind w:right="200" w:firstLine="1428"/>
        <w:spacing w:after="0" w:line="263"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color w:val="auto"/>
        </w:rPr>
      </w:pPr>
    </w:p>
    <w:p>
      <w:pPr>
        <w:jc w:val="both"/>
        <w:ind w:firstLine="1428"/>
        <w:spacing w:after="0" w:line="25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7" w:lineRule="exact"/>
        <w:rPr>
          <w:rFonts w:ascii="Arial" w:cs="Arial" w:eastAsia="Arial" w:hAnsi="Arial"/>
          <w:sz w:val="18"/>
          <w:szCs w:val="18"/>
          <w:color w:val="auto"/>
        </w:rPr>
      </w:pPr>
    </w:p>
    <w:p>
      <w:pPr>
        <w:ind w:right="420" w:firstLine="1428"/>
        <w:spacing w:after="0" w:line="27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right="620" w:firstLine="1428"/>
        <w:spacing w:after="0" w:line="27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series of Securities being issued, including, among others, the consolidation, merger or sale covenant;</w:t>
      </w:r>
    </w:p>
    <w:p>
      <w:pPr>
        <w:spacing w:after="0" w:line="170" w:lineRule="exact"/>
        <w:rPr>
          <w:rFonts w:ascii="Arial" w:cs="Arial" w:eastAsia="Arial" w:hAnsi="Arial"/>
          <w:sz w:val="18"/>
          <w:szCs w:val="18"/>
          <w:color w:val="auto"/>
        </w:rPr>
      </w:pPr>
    </w:p>
    <w:p>
      <w:pPr>
        <w:ind w:right="180" w:firstLine="1428"/>
        <w:spacing w:after="0" w:line="308" w:lineRule="auto"/>
        <w:tabs>
          <w:tab w:leader="none" w:pos="17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46" w:lineRule="exact"/>
        <w:rPr>
          <w:rFonts w:ascii="Arial" w:cs="Arial" w:eastAsia="Arial" w:hAnsi="Arial"/>
          <w:sz w:val="17"/>
          <w:szCs w:val="17"/>
          <w:color w:val="auto"/>
        </w:rPr>
      </w:pPr>
    </w:p>
    <w:p>
      <w:pPr>
        <w:ind w:left="1780" w:hanging="35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this Indenture;</w:t>
      </w:r>
    </w:p>
    <w:p>
      <w:pPr>
        <w:spacing w:after="0" w:line="225" w:lineRule="exact"/>
        <w:rPr>
          <w:rFonts w:ascii="Arial" w:cs="Arial" w:eastAsia="Arial" w:hAnsi="Arial"/>
          <w:sz w:val="18"/>
          <w:szCs w:val="18"/>
          <w:color w:val="auto"/>
        </w:rPr>
      </w:pPr>
    </w:p>
    <w:p>
      <w:pPr>
        <w:ind w:right="400" w:firstLine="1428"/>
        <w:spacing w:after="0" w:line="27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this Indenture both with and without the consent of Securityholders of Securities issued under this Indenture;</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currency of payment of Securities if other than U.S. dollars and the manner of determining the equivalent amount in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dollars;</w:t>
      </w:r>
    </w:p>
    <w:p>
      <w:pPr>
        <w:spacing w:after="0" w:line="210" w:lineRule="exact"/>
        <w:rPr>
          <w:rFonts w:ascii="Arial" w:cs="Arial" w:eastAsia="Arial" w:hAnsi="Arial"/>
          <w:sz w:val="16"/>
          <w:szCs w:val="16"/>
          <w:color w:val="auto"/>
        </w:rPr>
      </w:pPr>
    </w:p>
    <w:p>
      <w:pPr>
        <w:ind w:right="140" w:firstLine="1428"/>
        <w:spacing w:after="0" w:line="277" w:lineRule="auto"/>
        <w:tabs>
          <w:tab w:leader="none" w:pos="17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color w:val="auto"/>
        </w:rPr>
      </w:pPr>
    </w:p>
    <w:p>
      <w:pPr>
        <w:ind w:right="120" w:firstLine="1428"/>
        <w:spacing w:after="0" w:line="308" w:lineRule="auto"/>
        <w:tabs>
          <w:tab w:leader="none" w:pos="17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6" w:lineRule="exact"/>
        <w:rPr>
          <w:rFonts w:ascii="Arial" w:cs="Arial" w:eastAsia="Arial" w:hAnsi="Arial"/>
          <w:sz w:val="17"/>
          <w:szCs w:val="17"/>
          <w:color w:val="auto"/>
        </w:rPr>
      </w:pPr>
    </w:p>
    <w:p>
      <w:pPr>
        <w:ind w:left="1780" w:hanging="35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225" w:lineRule="exact"/>
        <w:rPr>
          <w:rFonts w:ascii="Arial" w:cs="Arial" w:eastAsia="Arial" w:hAnsi="Arial"/>
          <w:sz w:val="18"/>
          <w:szCs w:val="18"/>
          <w:color w:val="auto"/>
        </w:rPr>
      </w:pPr>
    </w:p>
    <w:p>
      <w:pPr>
        <w:ind w:right="40" w:firstLine="1428"/>
        <w:spacing w:after="0" w:line="308" w:lineRule="auto"/>
        <w:tabs>
          <w:tab w:leader="none" w:pos="17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1" w:name="page52"/>
    <w:bookmarkEnd w:id="51"/>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2.02 Form of Securities and Trustee’s Certificate.</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2.03 Denominations: Provisions for Payment.</w:t>
      </w:r>
    </w:p>
    <w:p>
      <w:pPr>
        <w:spacing w:after="0" w:line="121"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9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ind w:firstLine="1428"/>
        <w:spacing w:after="0" w:line="269" w:lineRule="auto"/>
        <w:tabs>
          <w:tab w:leader="none" w:pos="168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2" w:name="page53"/>
    <w:bookmarkEnd w:id="52"/>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57" w:lineRule="exact"/>
        <w:rPr>
          <w:sz w:val="20"/>
          <w:szCs w:val="20"/>
          <w:color w:val="auto"/>
        </w:rPr>
      </w:pPr>
    </w:p>
    <w:p>
      <w:pPr>
        <w:ind w:firstLine="1428"/>
        <w:spacing w:after="0" w:line="259" w:lineRule="auto"/>
        <w:tabs>
          <w:tab w:leader="none" w:pos="1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jc w:val="both"/>
        <w:ind w:right="180" w:firstLine="44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2.04 Execution and Authentications.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92" w:lineRule="exact"/>
        <w:rPr>
          <w:sz w:val="20"/>
          <w:szCs w:val="20"/>
          <w:color w:val="auto"/>
        </w:rPr>
      </w:pPr>
    </w:p>
    <w:p>
      <w:pPr>
        <w:ind w:right="480" w:firstLine="440"/>
        <w:spacing w:after="0" w:line="279" w:lineRule="auto"/>
        <w:rPr>
          <w:sz w:val="20"/>
          <w:szCs w:val="20"/>
          <w:color w:val="auto"/>
        </w:rPr>
      </w:pPr>
      <w:r>
        <w:rPr>
          <w:rFonts w:ascii="Arial" w:cs="Arial" w:eastAsia="Arial" w:hAnsi="Arial"/>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 Registration of Transfer and Exchange.</w:t>
      </w:r>
    </w:p>
    <w:p>
      <w:pPr>
        <w:spacing w:after="0" w:line="121" w:lineRule="exact"/>
        <w:rPr>
          <w:sz w:val="20"/>
          <w:szCs w:val="20"/>
          <w:color w:val="auto"/>
        </w:rPr>
      </w:pPr>
    </w:p>
    <w:p>
      <w:pPr>
        <w:ind w:right="100" w:firstLine="987"/>
        <w:spacing w:after="0" w:line="296"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1" w:lineRule="exact"/>
        <w:rPr>
          <w:rFonts w:ascii="Arial" w:cs="Arial" w:eastAsia="Arial" w:hAnsi="Arial"/>
          <w:sz w:val="16"/>
          <w:szCs w:val="16"/>
          <w:color w:val="auto"/>
        </w:rPr>
      </w:pPr>
    </w:p>
    <w:p>
      <w:pPr>
        <w:ind w:right="100" w:firstLine="987"/>
        <w:spacing w:after="0" w:line="257"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firstLine="987"/>
        <w:spacing w:after="0" w:line="275"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Arial" w:cs="Arial" w:eastAsia="Arial" w:hAnsi="Arial"/>
          <w:sz w:val="17"/>
          <w:szCs w:val="17"/>
          <w:color w:val="auto"/>
        </w:rPr>
      </w:pPr>
    </w:p>
    <w:p>
      <w:pPr>
        <w:ind w:right="120" w:firstLine="987"/>
        <w:spacing w:after="0" w:line="255"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2.06 Temporary Securities.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54" w:name="page55"/>
    <w:bookmarkEnd w:id="5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2.07 Mutilated, Destroyed, Lost or Stolen Securities.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2.08 Cancellation.</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2.09 Benefits of Indenture.</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2.10 Authenticating Agent.</w:t>
      </w:r>
    </w:p>
    <w:p>
      <w:pPr>
        <w:spacing w:after="0" w:line="12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2.11 Global Securities.</w:t>
      </w:r>
    </w:p>
    <w:p>
      <w:pPr>
        <w:spacing w:after="0" w:line="121" w:lineRule="exact"/>
        <w:rPr>
          <w:sz w:val="20"/>
          <w:szCs w:val="20"/>
          <w:color w:val="auto"/>
        </w:rPr>
      </w:pPr>
    </w:p>
    <w:p>
      <w:pPr>
        <w:ind w:firstLine="987"/>
        <w:spacing w:after="0" w:line="272"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right="18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ind w:right="100" w:firstLine="987"/>
        <w:spacing w:after="0" w:line="291"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56" w:name="page57"/>
    <w:bookmarkEnd w:id="5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2.12 CUSIP Numbers.</w:t>
      </w:r>
    </w:p>
    <w:p>
      <w:pPr>
        <w:spacing w:after="0" w:line="12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3.01 Redemption.</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3.02 Notice of Redemption.</w:t>
      </w:r>
    </w:p>
    <w:p>
      <w:pPr>
        <w:spacing w:after="0" w:line="121" w:lineRule="exact"/>
        <w:rPr>
          <w:sz w:val="20"/>
          <w:szCs w:val="20"/>
          <w:color w:val="auto"/>
        </w:rPr>
      </w:pPr>
    </w:p>
    <w:p>
      <w:pPr>
        <w:ind w:right="80" w:firstLine="987"/>
        <w:spacing w:after="0" w:line="269"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57" w:name="page58"/>
    <w:bookmarkEnd w:id="57"/>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firstLine="987"/>
        <w:spacing w:after="0" w:line="269"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3.03 Payment Upon Redemption.</w:t>
      </w:r>
    </w:p>
    <w:p>
      <w:pPr>
        <w:spacing w:after="0" w:line="121" w:lineRule="exact"/>
        <w:rPr>
          <w:sz w:val="20"/>
          <w:szCs w:val="20"/>
          <w:color w:val="auto"/>
        </w:rPr>
      </w:pPr>
    </w:p>
    <w:p>
      <w:pPr>
        <w:ind w:right="60" w:firstLine="987"/>
        <w:spacing w:after="0" w:line="290" w:lineRule="auto"/>
        <w:tabs>
          <w:tab w:leader="none" w:pos="12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color w:val="auto"/>
        </w:rPr>
      </w:pPr>
    </w:p>
    <w:p>
      <w:pPr>
        <w:jc w:val="both"/>
        <w:ind w:right="180" w:firstLine="987"/>
        <w:spacing w:after="0" w:line="311" w:lineRule="auto"/>
        <w:tabs>
          <w:tab w:leader="none" w:pos="12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3.04 Sinking Fund.</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3.05 Satisfaction of Sinking Fund Payments with Securities.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Company (i) may deliver Outstanding Securities of a series and (ii) may apply as a credit Securities of a series that have been redeemed either at the election of the Company pursuant to the terms of such Securities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8" w:name="page59"/>
    <w:bookmarkEnd w:id="5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3.06 Redemption of Securities for Sinking Fund.</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4.01 Payment of Principal, Premium and Interest.</w:t>
      </w:r>
    </w:p>
    <w:p>
      <w:pPr>
        <w:spacing w:after="0" w:line="1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4.02 Maintenance of Office or Agency.</w:t>
      </w:r>
    </w:p>
    <w:p>
      <w:pPr>
        <w:spacing w:after="0" w:line="12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4.03 Paying Agents.</w:t>
      </w:r>
    </w:p>
    <w:p>
      <w:pPr>
        <w:spacing w:after="0" w:line="121" w:lineRule="exact"/>
        <w:rPr>
          <w:sz w:val="20"/>
          <w:szCs w:val="20"/>
          <w:color w:val="auto"/>
        </w:rPr>
      </w:pPr>
    </w:p>
    <w:p>
      <w:pPr>
        <w:ind w:right="40" w:firstLine="987"/>
        <w:spacing w:after="0" w:line="263" w:lineRule="auto"/>
        <w:tabs>
          <w:tab w:leader="none" w:pos="12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ind w:firstLine="1428"/>
        <w:spacing w:after="0" w:line="263" w:lineRule="auto"/>
        <w:tabs>
          <w:tab w:leader="none" w:pos="1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9" w:name="page60"/>
    <w:bookmarkEnd w:id="59"/>
    <w:p>
      <w:pPr>
        <w:ind w:right="580" w:firstLine="1428"/>
        <w:spacing w:after="0" w:line="308" w:lineRule="auto"/>
        <w:tabs>
          <w:tab w:leader="none" w:pos="1687" w:val="left"/>
        </w:tabs>
        <w:numPr>
          <w:ilvl w:val="1"/>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right="20" w:firstLine="1428"/>
        <w:spacing w:after="0" w:line="277" w:lineRule="auto"/>
        <w:tabs>
          <w:tab w:leader="none" w:pos="16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right="20" w:firstLine="987"/>
        <w:spacing w:after="0" w:line="290" w:lineRule="auto"/>
        <w:tabs>
          <w:tab w:leader="none" w:pos="12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5" w:lineRule="exact"/>
        <w:rPr>
          <w:rFonts w:ascii="Arial" w:cs="Arial" w:eastAsia="Arial" w:hAnsi="Arial"/>
          <w:sz w:val="16"/>
          <w:szCs w:val="16"/>
          <w:color w:val="auto"/>
        </w:rPr>
      </w:pPr>
    </w:p>
    <w:p>
      <w:pPr>
        <w:ind w:firstLine="987"/>
        <w:spacing w:after="0" w:line="255"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4.04 Appointment to Fill Vacancy in Office of Trustee.</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5.01 Company to Furnish Trustee Names and Addresses of Securityholders.</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5.02 Preservation Of Information; Communications With Securityholders.</w:t>
      </w:r>
    </w:p>
    <w:p>
      <w:pPr>
        <w:spacing w:after="0" w:line="121" w:lineRule="exact"/>
        <w:rPr>
          <w:sz w:val="20"/>
          <w:szCs w:val="20"/>
          <w:color w:val="auto"/>
        </w:rPr>
      </w:pPr>
    </w:p>
    <w:p>
      <w:pPr>
        <w:ind w:right="540" w:firstLine="987"/>
        <w:spacing w:after="0" w:line="286" w:lineRule="auto"/>
        <w:tabs>
          <w:tab w:leader="none" w:pos="12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0" w:name="page61"/>
    <w:bookmarkEnd w:id="60"/>
    <w:p>
      <w:pPr>
        <w:ind w:left="1240" w:hanging="253"/>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jc w:val="both"/>
        <w:ind w:right="60" w:firstLine="987"/>
        <w:spacing w:after="0" w:line="286" w:lineRule="auto"/>
        <w:tabs>
          <w:tab w:leader="none" w:pos="12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5.03 Reports by the Company.</w:t>
      </w:r>
    </w:p>
    <w:p>
      <w:pPr>
        <w:spacing w:after="0" w:line="121" w:lineRule="exact"/>
        <w:rPr>
          <w:sz w:val="20"/>
          <w:szCs w:val="20"/>
          <w:color w:val="auto"/>
        </w:rPr>
      </w:pPr>
    </w:p>
    <w:p>
      <w:pPr>
        <w:ind w:firstLine="987"/>
        <w:spacing w:after="0" w:line="269"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SEC within the time period prescribed thereof by the Commission shall not be deemed a breach of this Section 5.03.</w:t>
      </w:r>
    </w:p>
    <w:p>
      <w:pPr>
        <w:spacing w:after="0" w:line="185" w:lineRule="exact"/>
        <w:rPr>
          <w:rFonts w:ascii="Arial" w:cs="Arial" w:eastAsia="Arial" w:hAnsi="Arial"/>
          <w:sz w:val="17"/>
          <w:szCs w:val="17"/>
          <w:color w:val="auto"/>
        </w:rPr>
      </w:pPr>
    </w:p>
    <w:p>
      <w:pPr>
        <w:ind w:right="40" w:firstLine="987"/>
        <w:spacing w:after="0" w:line="272" w:lineRule="auto"/>
        <w:tabs>
          <w:tab w:leader="none" w:pos="12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SEC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SEC on EDGAR (or any successor system) has occurred.</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5.04 Reports by the Trustee.</w:t>
      </w:r>
    </w:p>
    <w:p>
      <w:pPr>
        <w:spacing w:after="0" w:line="121" w:lineRule="exact"/>
        <w:rPr>
          <w:sz w:val="20"/>
          <w:szCs w:val="20"/>
          <w:color w:val="auto"/>
        </w:rPr>
      </w:pPr>
    </w:p>
    <w:p>
      <w:pPr>
        <w:ind w:right="60" w:firstLine="987"/>
        <w:spacing w:after="0" w:line="263"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ind w:right="240" w:firstLine="987"/>
        <w:spacing w:after="0" w:line="263"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1" w:name="page62"/>
    <w:bookmarkEnd w:id="6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6.01 Events of Default.</w:t>
      </w:r>
    </w:p>
    <w:p>
      <w:pPr>
        <w:spacing w:after="0" w:line="121" w:lineRule="exact"/>
        <w:rPr>
          <w:sz w:val="20"/>
          <w:szCs w:val="20"/>
          <w:color w:val="auto"/>
        </w:rPr>
      </w:pPr>
    </w:p>
    <w:p>
      <w:pPr>
        <w:ind w:left="4" w:right="420" w:firstLine="987"/>
        <w:spacing w:after="0" w:line="277" w:lineRule="auto"/>
        <w:tabs>
          <w:tab w:leader="none" w:pos="12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4" w:right="40" w:firstLine="1428"/>
        <w:spacing w:after="0" w:line="259" w:lineRule="auto"/>
        <w:tabs>
          <w:tab w:leader="none" w:pos="1691"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4" w:right="20" w:firstLine="1428"/>
        <w:spacing w:after="0" w:line="279" w:lineRule="auto"/>
        <w:tabs>
          <w:tab w:leader="none" w:pos="1691" w:val="left"/>
        </w:tabs>
        <w:numPr>
          <w:ilvl w:val="2"/>
          <w:numId w:val="49"/>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1" w:lineRule="exact"/>
        <w:rPr>
          <w:rFonts w:ascii="Arial" w:cs="Arial" w:eastAsia="Arial" w:hAnsi="Arial"/>
          <w:sz w:val="17"/>
          <w:szCs w:val="17"/>
          <w:color w:val="auto"/>
        </w:rPr>
      </w:pPr>
    </w:p>
    <w:p>
      <w:pPr>
        <w:ind w:left="4" w:firstLine="1428"/>
        <w:spacing w:after="0" w:line="273" w:lineRule="auto"/>
        <w:tabs>
          <w:tab w:leader="none" w:pos="1691" w:val="left"/>
        </w:tabs>
        <w:numPr>
          <w:ilvl w:val="2"/>
          <w:numId w:val="49"/>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77" w:lineRule="exact"/>
        <w:rPr>
          <w:rFonts w:ascii="Arial" w:cs="Arial" w:eastAsia="Arial" w:hAnsi="Arial"/>
          <w:sz w:val="17"/>
          <w:szCs w:val="17"/>
          <w:color w:val="auto"/>
        </w:rPr>
      </w:pPr>
    </w:p>
    <w:p>
      <w:pPr>
        <w:ind w:left="4" w:right="380" w:firstLine="1428"/>
        <w:spacing w:after="0" w:line="263" w:lineRule="auto"/>
        <w:tabs>
          <w:tab w:leader="none" w:pos="1691"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83" w:lineRule="exact"/>
        <w:rPr>
          <w:rFonts w:ascii="Arial" w:cs="Arial" w:eastAsia="Arial" w:hAnsi="Arial"/>
          <w:sz w:val="18"/>
          <w:szCs w:val="18"/>
          <w:color w:val="auto"/>
        </w:rPr>
      </w:pPr>
    </w:p>
    <w:p>
      <w:pPr>
        <w:ind w:left="4" w:right="200" w:firstLine="1428"/>
        <w:spacing w:after="0" w:line="263" w:lineRule="auto"/>
        <w:tabs>
          <w:tab w:leader="none" w:pos="1691" w:val="left"/>
        </w:tabs>
        <w:numPr>
          <w:ilvl w:val="2"/>
          <w:numId w:val="4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color w:val="auto"/>
        </w:rPr>
      </w:pPr>
    </w:p>
    <w:p>
      <w:pPr>
        <w:ind w:left="4" w:right="60" w:firstLine="987"/>
        <w:spacing w:after="0" w:line="285" w:lineRule="auto"/>
        <w:tabs>
          <w:tab w:leader="none" w:pos="12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color w:val="auto"/>
        </w:rPr>
      </w:pPr>
    </w:p>
    <w:p>
      <w:pPr>
        <w:ind w:left="4" w:right="40" w:hanging="4"/>
        <w:spacing w:after="0" w:line="260"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5" w:lineRule="exact"/>
        <w:rPr>
          <w:rFonts w:ascii="Arial" w:cs="Arial" w:eastAsia="Arial" w:hAnsi="Arial"/>
          <w:sz w:val="18"/>
          <w:szCs w:val="18"/>
          <w:color w:val="auto"/>
        </w:rPr>
      </w:pPr>
    </w:p>
    <w:p>
      <w:pPr>
        <w:ind w:left="4" w:right="100" w:firstLine="987"/>
        <w:spacing w:after="0" w:line="275" w:lineRule="auto"/>
        <w:tabs>
          <w:tab w:leader="none" w:pos="12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62" w:name="page63"/>
    <w:bookmarkEnd w:id="6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right="40" w:firstLine="987"/>
        <w:spacing w:after="0" w:line="25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6.02 Collection of Indebtedness and Suits for Enforcement by Trustee.</w:t>
      </w:r>
    </w:p>
    <w:p>
      <w:pPr>
        <w:spacing w:after="0" w:line="121" w:lineRule="exact"/>
        <w:rPr>
          <w:sz w:val="20"/>
          <w:szCs w:val="20"/>
          <w:color w:val="auto"/>
        </w:rPr>
      </w:pPr>
    </w:p>
    <w:p>
      <w:pPr>
        <w:ind w:right="20" w:firstLine="987"/>
        <w:spacing w:after="0" w:line="283" w:lineRule="auto"/>
        <w:tabs>
          <w:tab w:leader="none" w:pos="12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7.06.</w:t>
      </w:r>
    </w:p>
    <w:p>
      <w:pPr>
        <w:spacing w:after="0" w:line="210" w:lineRule="exact"/>
        <w:rPr>
          <w:rFonts w:ascii="Arial" w:cs="Arial" w:eastAsia="Arial" w:hAnsi="Arial"/>
          <w:sz w:val="16"/>
          <w:szCs w:val="16"/>
          <w:color w:val="auto"/>
        </w:rPr>
      </w:pPr>
    </w:p>
    <w:p>
      <w:pPr>
        <w:ind w:firstLine="987"/>
        <w:spacing w:after="0" w:line="275" w:lineRule="auto"/>
        <w:tabs>
          <w:tab w:leader="none" w:pos="12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color w:val="auto"/>
        </w:rPr>
      </w:pPr>
    </w:p>
    <w:p>
      <w:pPr>
        <w:ind w:right="60" w:firstLine="987"/>
        <w:spacing w:after="0" w:line="269"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3" w:name="page64"/>
    <w:bookmarkEnd w:id="63"/>
    <w:p>
      <w:pPr>
        <w:ind w:right="20" w:firstLine="987"/>
        <w:spacing w:after="0" w:line="257"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6.03 Application of Moneys Collected.</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6.04 Limitation on Suits.</w:t>
      </w:r>
    </w:p>
    <w:p>
      <w:pPr>
        <w:spacing w:after="0" w:line="121"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64" w:name="page65"/>
    <w:bookmarkEnd w:id="6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6.05 Rights and Remedies Cumulative; Delay or Omission Not Waiver.</w:t>
      </w:r>
    </w:p>
    <w:p>
      <w:pPr>
        <w:spacing w:after="0" w:line="121" w:lineRule="exact"/>
        <w:rPr>
          <w:sz w:val="20"/>
          <w:szCs w:val="20"/>
          <w:color w:val="auto"/>
        </w:rPr>
      </w:pPr>
    </w:p>
    <w:p>
      <w:pPr>
        <w:ind w:firstLine="987"/>
        <w:spacing w:after="0" w:line="259" w:lineRule="auto"/>
        <w:tabs>
          <w:tab w:leader="none" w:pos="12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right="60" w:firstLine="987"/>
        <w:spacing w:after="0" w:line="301" w:lineRule="auto"/>
        <w:tabs>
          <w:tab w:leader="none" w:pos="12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6.06 Control by Securityholders.</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6.07 Undertaking to Pay Costs.</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65" w:name="page66"/>
    <w:bookmarkEnd w:id="65"/>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TRUSTEE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7.01 Certain Duties and Responsibilities of Trustee.</w:t>
      </w:r>
    </w:p>
    <w:p>
      <w:pPr>
        <w:spacing w:after="0" w:line="121" w:lineRule="exact"/>
        <w:rPr>
          <w:sz w:val="20"/>
          <w:szCs w:val="20"/>
          <w:color w:val="auto"/>
        </w:rPr>
      </w:pPr>
    </w:p>
    <w:p>
      <w:pPr>
        <w:ind w:right="20" w:firstLine="987"/>
        <w:spacing w:after="0" w:line="293" w:lineRule="auto"/>
        <w:tabs>
          <w:tab w:leader="none" w:pos="12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color w:val="auto"/>
        </w:rPr>
      </w:pPr>
    </w:p>
    <w:p>
      <w:pPr>
        <w:ind w:right="300" w:firstLine="987"/>
        <w:spacing w:after="0" w:line="277" w:lineRule="auto"/>
        <w:tabs>
          <w:tab w:leader="none" w:pos="12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right="80" w:firstLine="1428"/>
        <w:spacing w:after="0" w:line="277" w:lineRule="auto"/>
        <w:tabs>
          <w:tab w:leader="none" w:pos="16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jc w:val="both"/>
        <w:ind w:right="100" w:firstLine="1979"/>
        <w:spacing w:after="0" w:line="259" w:lineRule="auto"/>
        <w:tabs>
          <w:tab w:leader="none" w:pos="2278"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right="160" w:firstLine="1979"/>
        <w:spacing w:after="0" w:line="257" w:lineRule="auto"/>
        <w:tabs>
          <w:tab w:leader="none" w:pos="2268"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7" w:lineRule="exact"/>
        <w:rPr>
          <w:rFonts w:ascii="Arial" w:cs="Arial" w:eastAsia="Arial" w:hAnsi="Arial"/>
          <w:sz w:val="18"/>
          <w:szCs w:val="18"/>
          <w:color w:val="auto"/>
        </w:rPr>
      </w:pPr>
    </w:p>
    <w:p>
      <w:pPr>
        <w:ind w:right="240" w:firstLine="1428"/>
        <w:spacing w:after="0" w:line="342" w:lineRule="auto"/>
        <w:tabs>
          <w:tab w:leader="none" w:pos="16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23" w:lineRule="exact"/>
        <w:rPr>
          <w:rFonts w:ascii="Arial" w:cs="Arial" w:eastAsia="Arial" w:hAnsi="Arial"/>
          <w:sz w:val="16"/>
          <w:szCs w:val="16"/>
          <w:color w:val="auto"/>
        </w:rPr>
      </w:pPr>
    </w:p>
    <w:p>
      <w:pPr>
        <w:ind w:firstLine="1428"/>
        <w:spacing w:after="0" w:line="259" w:lineRule="auto"/>
        <w:tabs>
          <w:tab w:leader="none" w:pos="17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86" w:lineRule="exact"/>
        <w:rPr>
          <w:rFonts w:ascii="Arial" w:cs="Arial" w:eastAsia="Arial" w:hAnsi="Arial"/>
          <w:sz w:val="18"/>
          <w:szCs w:val="18"/>
          <w:color w:val="auto"/>
        </w:rPr>
      </w:pPr>
    </w:p>
    <w:p>
      <w:pPr>
        <w:ind w:right="260" w:firstLine="1428"/>
        <w:spacing w:after="0" w:line="259" w:lineRule="auto"/>
        <w:tabs>
          <w:tab w:leader="none" w:pos="17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6" w:lineRule="exact"/>
        <w:rPr>
          <w:rFonts w:ascii="Arial" w:cs="Arial" w:eastAsia="Arial" w:hAnsi="Arial"/>
          <w:sz w:val="18"/>
          <w:szCs w:val="18"/>
          <w:color w:val="auto"/>
        </w:rPr>
      </w:pPr>
    </w:p>
    <w:p>
      <w:pPr>
        <w:ind w:left="1680" w:hanging="252"/>
        <w:spacing w:after="0"/>
        <w:tabs>
          <w:tab w:leader="none" w:pos="16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or duties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66" w:name="page67"/>
    <w:bookmarkEnd w:id="66"/>
    <w:p>
      <w:pPr>
        <w:ind w:left="1740" w:hanging="312"/>
        <w:spacing w:after="0"/>
        <w:tabs>
          <w:tab w:leader="none" w:pos="1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permissive right of the Trustee to do things enumerated in this Indenture shall not be construed as a duty of the Trustee; and</w:t>
      </w:r>
    </w:p>
    <w:p>
      <w:pPr>
        <w:spacing w:after="0" w:line="248" w:lineRule="exact"/>
        <w:rPr>
          <w:rFonts w:ascii="Arial" w:cs="Arial" w:eastAsia="Arial" w:hAnsi="Arial"/>
          <w:sz w:val="16"/>
          <w:szCs w:val="16"/>
          <w:color w:val="auto"/>
        </w:rPr>
      </w:pPr>
    </w:p>
    <w:p>
      <w:pPr>
        <w:ind w:left="1780" w:hanging="352"/>
        <w:spacing w:after="0"/>
        <w:tabs>
          <w:tab w:leader="none" w:pos="1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Trustee shall have any duty or responsibility for any act or omission of any other Trustee appointed with respect to a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Securities hereunder.</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7.02 Certain Rights of Trustee.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right="60" w:firstLine="987"/>
        <w:spacing w:after="0" w:line="263" w:lineRule="auto"/>
        <w:tabs>
          <w:tab w:leader="none" w:pos="12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color w:val="auto"/>
        </w:rPr>
      </w:pPr>
    </w:p>
    <w:p>
      <w:pPr>
        <w:ind w:right="120" w:firstLine="987"/>
        <w:spacing w:after="0" w:line="342" w:lineRule="auto"/>
        <w:tabs>
          <w:tab w:leader="none" w:pos="12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23" w:lineRule="exact"/>
        <w:rPr>
          <w:rFonts w:ascii="Arial" w:cs="Arial" w:eastAsia="Arial" w:hAnsi="Arial"/>
          <w:sz w:val="16"/>
          <w:szCs w:val="16"/>
          <w:color w:val="auto"/>
        </w:rPr>
      </w:pPr>
    </w:p>
    <w:p>
      <w:pPr>
        <w:ind w:right="20" w:firstLine="987"/>
        <w:spacing w:after="0" w:line="293" w:lineRule="auto"/>
        <w:tabs>
          <w:tab w:leader="none" w:pos="12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color w:val="auto"/>
        </w:rPr>
      </w:pPr>
    </w:p>
    <w:p>
      <w:pPr>
        <w:ind w:right="420" w:firstLine="987"/>
        <w:spacing w:after="0" w:line="277" w:lineRule="auto"/>
        <w:tabs>
          <w:tab w:leader="none" w:pos="12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firstLine="987"/>
        <w:spacing w:after="0" w:line="290" w:lineRule="auto"/>
        <w:tabs>
          <w:tab w:leader="none" w:pos="121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65" w:lineRule="exact"/>
        <w:rPr>
          <w:rFonts w:ascii="Arial" w:cs="Arial" w:eastAsia="Arial" w:hAnsi="Arial"/>
          <w:sz w:val="16"/>
          <w:szCs w:val="16"/>
          <w:color w:val="auto"/>
        </w:rPr>
      </w:pPr>
    </w:p>
    <w:p>
      <w:pPr>
        <w:jc w:val="both"/>
        <w:ind w:right="100" w:firstLine="987"/>
        <w:spacing w:after="0" w:line="263"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right="60" w:firstLine="987"/>
        <w:spacing w:after="0" w:line="275" w:lineRule="auto"/>
        <w:tabs>
          <w:tab w:leader="none" w:pos="1246"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7" w:name="page68"/>
    <w:bookmarkEnd w:id="67"/>
    <w:p>
      <w:pPr>
        <w:ind w:right="240" w:firstLine="987"/>
        <w:spacing w:after="0" w:line="263" w:lineRule="auto"/>
        <w:tabs>
          <w:tab w:leader="none" w:pos="1206"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3" w:lineRule="exact"/>
        <w:rPr>
          <w:rFonts w:ascii="Arial" w:cs="Arial" w:eastAsia="Arial" w:hAnsi="Arial"/>
          <w:sz w:val="18"/>
          <w:szCs w:val="18"/>
          <w:color w:val="auto"/>
        </w:rPr>
      </w:pPr>
    </w:p>
    <w:p>
      <w:pPr>
        <w:ind w:firstLine="987"/>
        <w:spacing w:after="0" w:line="269" w:lineRule="auto"/>
        <w:tabs>
          <w:tab w:leader="none" w:pos="12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78" w:lineRule="exact"/>
        <w:rPr>
          <w:rFonts w:ascii="Arial" w:cs="Arial" w:eastAsia="Arial" w:hAnsi="Arial"/>
          <w:sz w:val="17"/>
          <w:szCs w:val="17"/>
          <w:color w:val="auto"/>
        </w:rPr>
      </w:pPr>
    </w:p>
    <w:p>
      <w:pPr>
        <w:ind w:right="820" w:firstLine="987"/>
        <w:spacing w:after="0" w:line="277" w:lineRule="auto"/>
        <w:tabs>
          <w:tab w:leader="none" w:pos="1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70" w:lineRule="exact"/>
        <w:rPr>
          <w:rFonts w:ascii="Arial" w:cs="Arial" w:eastAsia="Arial" w:hAnsi="Arial"/>
          <w:sz w:val="18"/>
          <w:szCs w:val="18"/>
          <w:color w:val="auto"/>
        </w:rPr>
      </w:pPr>
    </w:p>
    <w:p>
      <w:pPr>
        <w:jc w:val="both"/>
        <w:ind w:right="180" w:firstLine="987"/>
        <w:spacing w:after="0" w:line="263" w:lineRule="auto"/>
        <w:tabs>
          <w:tab w:leader="none" w:pos="12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Default or Event of Default (other than an Event of Default relating to the failure to pay the interest on, or the principal of, the Securities) until the Trustee shall have received written notification in the manner set forth in this Indenture or a Responsible Officer of the Trustee shall have obtained actual knowledge.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color w:val="auto"/>
        </w:rPr>
        <w:t>Trustee Not Responsible for Recitals or Issuance or Securities.</w:t>
      </w:r>
    </w:p>
    <w:p>
      <w:pPr>
        <w:spacing w:after="0" w:line="121" w:lineRule="exact"/>
        <w:rPr>
          <w:sz w:val="20"/>
          <w:szCs w:val="20"/>
          <w:color w:val="auto"/>
        </w:rPr>
      </w:pPr>
    </w:p>
    <w:p>
      <w:pPr>
        <w:ind w:right="100" w:firstLine="987"/>
        <w:spacing w:after="0" w:line="259"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right="420" w:firstLine="987"/>
        <w:spacing w:after="0" w:line="286" w:lineRule="auto"/>
        <w:tabs>
          <w:tab w:leader="none" w:pos="12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7.04 May Hold Securities.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7.05 Moneys Held in Trust.</w:t>
      </w:r>
    </w:p>
    <w:p>
      <w:pPr>
        <w:spacing w:after="0" w:line="12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7.06 Compensation and Reimbursement.</w:t>
      </w:r>
    </w:p>
    <w:p>
      <w:pPr>
        <w:spacing w:after="0" w:line="121" w:lineRule="exact"/>
        <w:rPr>
          <w:sz w:val="20"/>
          <w:szCs w:val="20"/>
          <w:color w:val="auto"/>
        </w:rPr>
      </w:pPr>
    </w:p>
    <w:p>
      <w:pPr>
        <w:ind w:firstLine="987"/>
        <w:spacing w:after="0" w:line="279" w:lineRule="auto"/>
        <w:tabs>
          <w:tab w:leader="none" w:pos="12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1" w:lineRule="exact"/>
        <w:rPr>
          <w:rFonts w:ascii="Arial" w:cs="Arial" w:eastAsia="Arial" w:hAnsi="Arial"/>
          <w:sz w:val="17"/>
          <w:szCs w:val="17"/>
          <w:color w:val="auto"/>
        </w:rPr>
      </w:pPr>
    </w:p>
    <w:p>
      <w:pPr>
        <w:ind w:right="120" w:firstLine="987"/>
        <w:spacing w:after="0" w:line="272" w:lineRule="auto"/>
        <w:tabs>
          <w:tab w:leader="none" w:pos="12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77" w:lineRule="exact"/>
        <w:rPr>
          <w:rFonts w:ascii="Arial" w:cs="Arial" w:eastAsia="Arial" w:hAnsi="Arial"/>
          <w:sz w:val="17"/>
          <w:szCs w:val="17"/>
          <w:color w:val="auto"/>
        </w:rPr>
      </w:pPr>
    </w:p>
    <w:p>
      <w:pPr>
        <w:ind w:right="400" w:firstLine="987"/>
        <w:spacing w:after="0" w:line="277"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70" w:lineRule="exact"/>
        <w:rPr>
          <w:rFonts w:ascii="Arial" w:cs="Arial" w:eastAsia="Arial" w:hAnsi="Arial"/>
          <w:sz w:val="18"/>
          <w:szCs w:val="18"/>
          <w:color w:val="auto"/>
        </w:rPr>
      </w:pPr>
    </w:p>
    <w:p>
      <w:pPr>
        <w:ind w:right="80" w:firstLine="987"/>
        <w:spacing w:after="0" w:line="296" w:lineRule="auto"/>
        <w:tabs>
          <w:tab w:leader="none" w:pos="12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7.07 Reliance on Officer’s Certificate.</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7.08 Disqualification; Conflicting Interests.</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7.09 Corporate Trustee Required; Eligibility.</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United States of America or any state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69" w:name="page70"/>
    <w:bookmarkEnd w:id="69"/>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4"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7.10 Resignation and Removal; Appointment of Successor.</w:t>
      </w:r>
    </w:p>
    <w:p>
      <w:pPr>
        <w:spacing w:after="0" w:line="121" w:lineRule="exact"/>
        <w:rPr>
          <w:sz w:val="20"/>
          <w:szCs w:val="20"/>
          <w:color w:val="auto"/>
        </w:rPr>
      </w:pPr>
    </w:p>
    <w:p>
      <w:pPr>
        <w:ind w:right="20" w:firstLine="987"/>
        <w:spacing w:after="0" w:line="289" w:lineRule="auto"/>
        <w:tabs>
          <w:tab w:leader="none" w:pos="12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right="480" w:firstLine="1428"/>
        <w:spacing w:after="0" w:line="277" w:lineRule="auto"/>
        <w:tabs>
          <w:tab w:leader="none" w:pos="16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right="520" w:firstLine="1428"/>
        <w:spacing w:after="0" w:line="277" w:lineRule="auto"/>
        <w:tabs>
          <w:tab w:leader="none" w:pos="16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right="20" w:firstLine="1428"/>
        <w:spacing w:after="0" w:line="263" w:lineRule="auto"/>
        <w:tabs>
          <w:tab w:leader="none" w:pos="17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ind w:firstLine="987"/>
        <w:spacing w:after="0" w:line="263"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color w:val="auto"/>
        </w:rPr>
      </w:pPr>
    </w:p>
    <w:p>
      <w:pPr>
        <w:ind w:right="160" w:firstLine="987"/>
        <w:spacing w:after="0" w:line="342"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0" w:name="page71"/>
    <w:bookmarkEnd w:id="70"/>
    <w:p>
      <w:pPr>
        <w:ind w:right="80" w:firstLine="987"/>
        <w:spacing w:after="0" w:line="277"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7.11 Acceptance of Appointment By Successor.</w:t>
      </w:r>
    </w:p>
    <w:p>
      <w:pPr>
        <w:spacing w:after="0" w:line="121" w:lineRule="exact"/>
        <w:rPr>
          <w:sz w:val="20"/>
          <w:szCs w:val="20"/>
          <w:color w:val="auto"/>
        </w:rPr>
      </w:pPr>
    </w:p>
    <w:p>
      <w:pPr>
        <w:ind w:right="280" w:firstLine="987"/>
        <w:spacing w:after="0" w:line="254" w:lineRule="auto"/>
        <w:tabs>
          <w:tab w:leader="none" w:pos="12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4" w:lineRule="exact"/>
        <w:rPr>
          <w:rFonts w:ascii="Arial" w:cs="Arial" w:eastAsia="Arial" w:hAnsi="Arial"/>
          <w:sz w:val="18"/>
          <w:szCs w:val="18"/>
          <w:color w:val="auto"/>
        </w:rPr>
      </w:pPr>
    </w:p>
    <w:p>
      <w:pPr>
        <w:ind w:right="100" w:firstLine="987"/>
        <w:spacing w:after="0" w:line="285" w:lineRule="auto"/>
        <w:tabs>
          <w:tab w:leader="none" w:pos="12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color w:val="auto"/>
        </w:rPr>
      </w:pPr>
    </w:p>
    <w:p>
      <w:pPr>
        <w:ind w:right="140" w:firstLine="987"/>
        <w:spacing w:after="0" w:line="342" w:lineRule="auto"/>
        <w:tabs>
          <w:tab w:leader="none" w:pos="12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right="300" w:firstLine="987"/>
        <w:spacing w:after="0" w:line="277" w:lineRule="auto"/>
        <w:tabs>
          <w:tab w:leader="none" w:pos="12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firstLine="987"/>
        <w:spacing w:after="0" w:line="259" w:lineRule="auto"/>
        <w:tabs>
          <w:tab w:leader="none" w:pos="12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7.12 Merger, Conversion, Consolidation or Succession to Business.</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71" w:name="page72"/>
    <w:bookmarkEnd w:id="71"/>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7.13 Preferential Collection of Claims Against the Company.</w:t>
      </w:r>
    </w:p>
    <w:p>
      <w:pPr>
        <w:spacing w:after="0" w:line="12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7.14 Notice of Default.</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8.01 Evidence of Action by Securityholders.</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8.02 Proof of Execution by Securityholders.</w:t>
      </w:r>
    </w:p>
    <w:p>
      <w:pPr>
        <w:spacing w:after="0" w:line="12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72" w:name="page73"/>
    <w:bookmarkEnd w:id="7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ownership of Securities shall be proved by the Security Register of such Securities or by a certificate of the Security Registrar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8.03 Who May be Deemed Owners.</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8.04 Certain Securities Owned by Company Disregarded.</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8.05 Actions Binding on Future Securityholders.</w:t>
      </w:r>
    </w:p>
    <w:p>
      <w:pPr>
        <w:spacing w:after="0" w:line="12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9.01 Supplemental Indentures Without the Consent of Securityholders</w:t>
      </w:r>
      <w:r>
        <w:rPr>
          <w:rFonts w:ascii="Arial" w:cs="Arial" w:eastAsia="Arial" w:hAnsi="Arial"/>
          <w:sz w:val="18"/>
          <w:szCs w:val="18"/>
          <w:color w:val="auto"/>
        </w:rPr>
        <w:t>.</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ind w:left="5420" w:right="3520" w:hanging="4433"/>
        <w:spacing w:after="0" w:line="449" w:lineRule="auto"/>
        <w:tabs>
          <w:tab w:leader="none" w:pos="12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 27</w:t>
      </w:r>
    </w:p>
    <w:p>
      <w:pPr>
        <w:sectPr>
          <w:pgSz w:w="11900" w:h="16838" w:orient="portrait"/>
          <w:cols w:equalWidth="0" w:num="1">
            <w:col w:w="11000"/>
          </w:cols>
          <w:pgMar w:left="440" w:top="274" w:right="459" w:bottom="1440" w:gutter="0" w:footer="0" w:header="0"/>
        </w:sectPr>
      </w:pPr>
    </w:p>
    <w:bookmarkStart w:id="73" w:name="page74"/>
    <w:bookmarkEnd w:id="73"/>
    <w:p>
      <w:pPr>
        <w:ind w:left="1240" w:hanging="253"/>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comply with Article Ten;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right="80" w:firstLine="987"/>
        <w:spacing w:after="0" w:line="25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color w:val="auto"/>
        </w:rPr>
      </w:pPr>
    </w:p>
    <w:p>
      <w:pPr>
        <w:ind w:right="440" w:firstLine="987"/>
        <w:spacing w:after="0" w:line="277" w:lineRule="auto"/>
        <w:tabs>
          <w:tab w:leader="none" w:pos="12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Securities of any series as provided in</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185" w:lineRule="exact"/>
        <w:rPr>
          <w:sz w:val="20"/>
          <w:szCs w:val="20"/>
          <w:color w:val="auto"/>
        </w:rPr>
      </w:pPr>
    </w:p>
    <w:p>
      <w:pPr>
        <w:ind w:left="1240" w:hanging="253"/>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color w:val="auto"/>
        </w:rPr>
      </w:pPr>
    </w:p>
    <w:p>
      <w:pPr>
        <w:ind w:right="200" w:firstLine="987"/>
        <w:spacing w:after="0" w:line="277" w:lineRule="auto"/>
        <w:tabs>
          <w:tab w:leader="none" w:pos="120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jc w:val="both"/>
        <w:ind w:right="600" w:firstLine="440"/>
        <w:spacing w:after="0" w:line="286" w:lineRule="auto"/>
        <w:rPr>
          <w:sz w:val="20"/>
          <w:szCs w:val="20"/>
          <w:color w:val="auto"/>
        </w:rPr>
      </w:pPr>
      <w:r>
        <w:rPr>
          <w:rFonts w:ascii="Arial" w:cs="Arial" w:eastAsia="Arial" w:hAnsi="Arial"/>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9.02 Supplemental Indentures With Consent of Securityholders.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9.03 Effect of Supplemental Indentures.</w:t>
      </w:r>
    </w:p>
    <w:p>
      <w:pPr>
        <w:spacing w:after="0" w:line="121"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9.04 Securities Affected by Supplemental Indentures.</w:t>
      </w:r>
    </w:p>
    <w:p>
      <w:pPr>
        <w:spacing w:after="0" w:line="12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9.05 Execution of Supplemental Indentures.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10.01 Company May Consolidate, Etc.</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75" w:name="page76"/>
    <w:bookmarkEnd w:id="75"/>
    <w:p>
      <w:pPr>
        <w:ind w:left="4"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2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10.02 Successor Entity Substituted.</w:t>
      </w:r>
    </w:p>
    <w:p>
      <w:pPr>
        <w:spacing w:after="0" w:line="121" w:lineRule="exact"/>
        <w:rPr>
          <w:sz w:val="20"/>
          <w:szCs w:val="20"/>
          <w:color w:val="auto"/>
        </w:rPr>
      </w:pPr>
    </w:p>
    <w:p>
      <w:pPr>
        <w:ind w:left="4" w:firstLine="987"/>
        <w:spacing w:after="0" w:line="257"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color w:val="auto"/>
        </w:rPr>
      </w:pPr>
    </w:p>
    <w:p>
      <w:pPr>
        <w:ind w:left="4" w:right="160" w:firstLine="987"/>
        <w:spacing w:after="0" w:line="277" w:lineRule="auto"/>
        <w:tabs>
          <w:tab w:leader="none" w:pos="12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4" w:right="80" w:firstLine="987"/>
        <w:spacing w:after="0" w:line="263"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SATISFACTION AND DISCHARGE</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11.01 Satisfaction and Discharge of Indenture.</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1" w:lineRule="exact"/>
        <w:rPr>
          <w:sz w:val="20"/>
          <w:szCs w:val="20"/>
          <w:color w:val="auto"/>
        </w:rPr>
      </w:pPr>
    </w:p>
    <w:p>
      <w:pPr>
        <w:ind w:left="4" w:right="120" w:hanging="4"/>
        <w:spacing w:after="0" w:line="285"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11.02 Discharge of Obligations.</w:t>
      </w:r>
    </w:p>
    <w:p>
      <w:pPr>
        <w:spacing w:after="0" w:line="121"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4" w:right="499" w:bottom="1440" w:gutter="0" w:footer="0" w:header="0"/>
        </w:sectPr>
      </w:pPr>
    </w:p>
    <w:bookmarkStart w:id="76" w:name="page77"/>
    <w:bookmarkEnd w:id="7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Thereafter, Sections 7.06 and 11.05 shall survive.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11.03 Deposited Moneys to be Held in Trust.</w:t>
      </w:r>
    </w:p>
    <w:p>
      <w:pPr>
        <w:spacing w:after="0" w:line="12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11.04 Payment of Moneys Held by Paying Agents.</w:t>
      </w:r>
    </w:p>
    <w:p>
      <w:pPr>
        <w:spacing w:after="0" w:line="12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11.05 Repayment to Company.</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12.01 No Recourse.</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13.01 Effect on Successors and Assigns.</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13.02 Actions by Successor.</w:t>
      </w:r>
    </w:p>
    <w:p>
      <w:pPr>
        <w:spacing w:after="0" w:line="12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13.03 Surrender of Company Powers.</w:t>
      </w:r>
    </w:p>
    <w:p>
      <w:pPr>
        <w:spacing w:after="0" w:line="12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13.04 Notices.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Tempest Therapeutics, Inc., 7000 Shoreline Court, Suite 275, South San Francisco, California, Attention: General Counsel.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13.05 Governing Law; Jury Trial Waiver.</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13.06 Treatment of Securities as Debt.</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13.07 Certificates and Opinions as to Conditions Precedent.</w:t>
      </w:r>
    </w:p>
    <w:p>
      <w:pPr>
        <w:spacing w:after="0" w:line="121" w:lineRule="exact"/>
        <w:rPr>
          <w:sz w:val="20"/>
          <w:szCs w:val="20"/>
          <w:color w:val="auto"/>
        </w:rPr>
      </w:pPr>
    </w:p>
    <w:p>
      <w:pPr>
        <w:ind w:firstLine="987"/>
        <w:spacing w:after="0" w:line="255"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78" w:name="page79"/>
    <w:bookmarkEnd w:id="78"/>
    <w:p>
      <w:pPr>
        <w:ind w:right="20" w:firstLine="987"/>
        <w:spacing w:after="0" w:line="272" w:lineRule="auto"/>
        <w:tabs>
          <w:tab w:leader="none" w:pos="1246"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 or opinion provided for in this Indenture and delivered to the Trustee with respect to compliance with a condition or covenant in this Indenture (other than the certificate to be delivered pursuant to Section 13.12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13.08 Payments on Business Days.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13.09 Conflict with Trust Indenture Act.</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13.10 Counterparts.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13.11 Separability.</w:t>
      </w:r>
    </w:p>
    <w:p>
      <w:pPr>
        <w:spacing w:after="0" w:line="121" w:lineRule="exact"/>
        <w:rPr>
          <w:sz w:val="20"/>
          <w:szCs w:val="20"/>
          <w:color w:val="auto"/>
        </w:rPr>
      </w:pPr>
    </w:p>
    <w:p>
      <w:pPr>
        <w:jc w:val="both"/>
        <w:ind w:right="240" w:firstLine="440"/>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13.12 Compliance Certificates.</w:t>
      </w:r>
    </w:p>
    <w:p>
      <w:pPr>
        <w:spacing w:after="0" w:line="121"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13.13 U.S.A Patriot Act.</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like all financial institutions and in order to help fight the funding of terrorism and money laundering, is required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13.14 Force Majeure.</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13.15 Table of Contents; Headings.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440" w:top="274" w:right="55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5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 as 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40"/>
          </w:cols>
          <w:pgMar w:left="880" w:top="270" w:right="979" w:bottom="1440" w:gutter="0" w:footer="0" w:header="0"/>
        </w:sectPr>
      </w:pPr>
    </w:p>
    <w:bookmarkStart w:id="81" w:name="page82"/>
    <w:bookmarkEnd w:id="81"/>
    <w:tbl>
      <w:tblPr>
        <w:tblLayout w:type="fixed"/>
        <w:tblInd w:w="4"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45"/>
        </w:trPr>
        <w:tc>
          <w:tcPr>
            <w:tcW w:w="3980" w:type="dxa"/>
            <w:vAlign w:val="bottom"/>
          </w:tcPr>
          <w:p>
            <w:pPr>
              <w:spacing w:after="0"/>
              <w:rPr>
                <w:sz w:val="20"/>
                <w:szCs w:val="20"/>
                <w:color w:val="auto"/>
              </w:rPr>
            </w:pPr>
            <w:r>
              <w:rPr>
                <w:rFonts w:ascii="Arial" w:cs="Arial" w:eastAsia="Arial" w:hAnsi="Arial"/>
                <w:sz w:val="18"/>
                <w:szCs w:val="18"/>
                <w:color w:val="auto"/>
                <w:w w:val="95"/>
              </w:rPr>
              <w:t>Section of Trust Indenture Act of 1939, as Amended</w:t>
            </w:r>
          </w:p>
        </w:tc>
        <w:tc>
          <w:tcPr>
            <w:tcW w:w="3120" w:type="dxa"/>
            <w:vAlign w:val="bottom"/>
          </w:tcPr>
          <w:p>
            <w:pPr>
              <w:ind w:left="1640"/>
              <w:spacing w:after="0"/>
              <w:rPr>
                <w:sz w:val="20"/>
                <w:szCs w:val="20"/>
                <w:color w:val="auto"/>
              </w:rPr>
            </w:pPr>
            <w:r>
              <w:rPr>
                <w:rFonts w:ascii="Arial" w:cs="Arial" w:eastAsia="Arial" w:hAnsi="Arial"/>
                <w:sz w:val="18"/>
                <w:szCs w:val="18"/>
                <w:color w:val="auto"/>
                <w:w w:val="90"/>
              </w:rPr>
              <w:t>Section of Indenture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310(a)</w:t>
            </w:r>
          </w:p>
        </w:tc>
        <w:tc>
          <w:tcPr>
            <w:tcW w:w="3120" w:type="dxa"/>
            <w:vAlign w:val="bottom"/>
          </w:tcPr>
          <w:p>
            <w:pPr>
              <w:ind w:left="1640"/>
              <w:spacing w:after="0"/>
              <w:rPr>
                <w:sz w:val="20"/>
                <w:szCs w:val="20"/>
                <w:color w:val="auto"/>
              </w:rPr>
            </w:pPr>
            <w:r>
              <w:rPr>
                <w:rFonts w:ascii="Arial" w:cs="Arial" w:eastAsia="Arial" w:hAnsi="Arial"/>
                <w:sz w:val="18"/>
                <w:szCs w:val="18"/>
                <w:color w:val="auto"/>
              </w:rPr>
              <w:t>7.09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310(b)</w:t>
            </w:r>
          </w:p>
        </w:tc>
        <w:tc>
          <w:tcPr>
            <w:tcW w:w="3120" w:type="dxa"/>
            <w:vAlign w:val="bottom"/>
          </w:tcPr>
          <w:p>
            <w:pPr>
              <w:ind w:left="1640"/>
              <w:spacing w:after="0"/>
              <w:rPr>
                <w:sz w:val="20"/>
                <w:szCs w:val="20"/>
                <w:color w:val="auto"/>
              </w:rPr>
            </w:pPr>
            <w:r>
              <w:rPr>
                <w:rFonts w:ascii="Arial" w:cs="Arial" w:eastAsia="Arial" w:hAnsi="Arial"/>
                <w:sz w:val="18"/>
                <w:szCs w:val="18"/>
                <w:color w:val="auto"/>
              </w:rPr>
              <w:t>7.08</w:t>
            </w:r>
          </w:p>
        </w:tc>
      </w:tr>
      <w:tr>
        <w:trPr>
          <w:trHeight w:val="229"/>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7.10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310(c)</w:t>
            </w:r>
          </w:p>
        </w:tc>
        <w:tc>
          <w:tcPr>
            <w:tcW w:w="3120" w:type="dxa"/>
            <w:vAlign w:val="bottom"/>
          </w:tcPr>
          <w:p>
            <w:pPr>
              <w:ind w:left="1640"/>
              <w:spacing w:after="0"/>
              <w:rPr>
                <w:sz w:val="20"/>
                <w:szCs w:val="20"/>
                <w:color w:val="auto"/>
              </w:rPr>
            </w:pPr>
            <w:r>
              <w:rPr>
                <w:rFonts w:ascii="Arial" w:cs="Arial" w:eastAsia="Arial" w:hAnsi="Arial"/>
                <w:sz w:val="18"/>
                <w:szCs w:val="18"/>
                <w:color w:val="auto"/>
              </w:rPr>
              <w:t>Inapplicable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311(a)</w:t>
            </w:r>
          </w:p>
        </w:tc>
        <w:tc>
          <w:tcPr>
            <w:tcW w:w="3120" w:type="dxa"/>
            <w:vAlign w:val="bottom"/>
          </w:tcPr>
          <w:p>
            <w:pPr>
              <w:ind w:left="1640"/>
              <w:spacing w:after="0"/>
              <w:rPr>
                <w:sz w:val="20"/>
                <w:szCs w:val="20"/>
                <w:color w:val="auto"/>
              </w:rPr>
            </w:pPr>
            <w:r>
              <w:rPr>
                <w:rFonts w:ascii="Arial" w:cs="Arial" w:eastAsia="Arial" w:hAnsi="Arial"/>
                <w:sz w:val="18"/>
                <w:szCs w:val="18"/>
                <w:color w:val="auto"/>
              </w:rPr>
              <w:t>7.13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311(b)</w:t>
            </w:r>
          </w:p>
        </w:tc>
        <w:tc>
          <w:tcPr>
            <w:tcW w:w="3120" w:type="dxa"/>
            <w:vAlign w:val="bottom"/>
          </w:tcPr>
          <w:p>
            <w:pPr>
              <w:ind w:left="1640"/>
              <w:spacing w:after="0"/>
              <w:rPr>
                <w:sz w:val="20"/>
                <w:szCs w:val="20"/>
                <w:color w:val="auto"/>
              </w:rPr>
            </w:pPr>
            <w:r>
              <w:rPr>
                <w:rFonts w:ascii="Arial" w:cs="Arial" w:eastAsia="Arial" w:hAnsi="Arial"/>
                <w:sz w:val="18"/>
                <w:szCs w:val="18"/>
                <w:color w:val="auto"/>
              </w:rPr>
              <w:t>7.13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311(c)</w:t>
            </w:r>
          </w:p>
        </w:tc>
        <w:tc>
          <w:tcPr>
            <w:tcW w:w="3120" w:type="dxa"/>
            <w:vAlign w:val="bottom"/>
          </w:tcPr>
          <w:p>
            <w:pPr>
              <w:ind w:left="1640"/>
              <w:spacing w:after="0"/>
              <w:rPr>
                <w:sz w:val="20"/>
                <w:szCs w:val="20"/>
                <w:color w:val="auto"/>
              </w:rPr>
            </w:pPr>
            <w:r>
              <w:rPr>
                <w:rFonts w:ascii="Arial" w:cs="Arial" w:eastAsia="Arial" w:hAnsi="Arial"/>
                <w:sz w:val="18"/>
                <w:szCs w:val="18"/>
                <w:color w:val="auto"/>
              </w:rPr>
              <w:t>Inapplicable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312(a)</w:t>
            </w:r>
          </w:p>
        </w:tc>
        <w:tc>
          <w:tcPr>
            <w:tcW w:w="3120" w:type="dxa"/>
            <w:vAlign w:val="bottom"/>
          </w:tcPr>
          <w:p>
            <w:pPr>
              <w:ind w:left="1640"/>
              <w:spacing w:after="0"/>
              <w:rPr>
                <w:sz w:val="20"/>
                <w:szCs w:val="20"/>
                <w:color w:val="auto"/>
              </w:rPr>
            </w:pPr>
            <w:r>
              <w:rPr>
                <w:rFonts w:ascii="Arial" w:cs="Arial" w:eastAsia="Arial" w:hAnsi="Arial"/>
                <w:sz w:val="18"/>
                <w:szCs w:val="18"/>
                <w:color w:val="auto"/>
              </w:rPr>
              <w:t>5.01</w:t>
            </w:r>
          </w:p>
        </w:tc>
      </w:tr>
      <w:tr>
        <w:trPr>
          <w:trHeight w:val="230"/>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5.02(a)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312(b)</w:t>
            </w:r>
          </w:p>
        </w:tc>
        <w:tc>
          <w:tcPr>
            <w:tcW w:w="3120" w:type="dxa"/>
            <w:vAlign w:val="bottom"/>
          </w:tcPr>
          <w:p>
            <w:pPr>
              <w:ind w:left="1640"/>
              <w:spacing w:after="0"/>
              <w:rPr>
                <w:sz w:val="20"/>
                <w:szCs w:val="20"/>
                <w:color w:val="auto"/>
              </w:rPr>
            </w:pPr>
            <w:r>
              <w:rPr>
                <w:rFonts w:ascii="Arial" w:cs="Arial" w:eastAsia="Arial" w:hAnsi="Arial"/>
                <w:sz w:val="18"/>
                <w:szCs w:val="18"/>
                <w:color w:val="auto"/>
              </w:rPr>
              <w:t>5.02(c)</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312(c)</w:t>
            </w:r>
          </w:p>
        </w:tc>
        <w:tc>
          <w:tcPr>
            <w:tcW w:w="3120" w:type="dxa"/>
            <w:vAlign w:val="bottom"/>
          </w:tcPr>
          <w:p>
            <w:pPr>
              <w:ind w:left="1640"/>
              <w:spacing w:after="0"/>
              <w:rPr>
                <w:sz w:val="20"/>
                <w:szCs w:val="20"/>
                <w:color w:val="auto"/>
              </w:rPr>
            </w:pPr>
            <w:r>
              <w:rPr>
                <w:rFonts w:ascii="Arial" w:cs="Arial" w:eastAsia="Arial" w:hAnsi="Arial"/>
                <w:sz w:val="18"/>
                <w:szCs w:val="18"/>
                <w:color w:val="auto"/>
              </w:rPr>
              <w:t>5.02(c)</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313(a)</w:t>
            </w:r>
          </w:p>
        </w:tc>
        <w:tc>
          <w:tcPr>
            <w:tcW w:w="3120" w:type="dxa"/>
            <w:vAlign w:val="bottom"/>
          </w:tcPr>
          <w:p>
            <w:pPr>
              <w:ind w:left="1640"/>
              <w:spacing w:after="0"/>
              <w:rPr>
                <w:sz w:val="20"/>
                <w:szCs w:val="20"/>
                <w:color w:val="auto"/>
              </w:rPr>
            </w:pPr>
            <w:r>
              <w:rPr>
                <w:rFonts w:ascii="Arial" w:cs="Arial" w:eastAsia="Arial" w:hAnsi="Arial"/>
                <w:sz w:val="18"/>
                <w:szCs w:val="18"/>
                <w:color w:val="auto"/>
              </w:rPr>
              <w:t>5.04(a)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313(b)</w:t>
            </w:r>
          </w:p>
        </w:tc>
        <w:tc>
          <w:tcPr>
            <w:tcW w:w="3120" w:type="dxa"/>
            <w:vAlign w:val="bottom"/>
          </w:tcPr>
          <w:p>
            <w:pPr>
              <w:ind w:left="1640"/>
              <w:spacing w:after="0"/>
              <w:rPr>
                <w:sz w:val="20"/>
                <w:szCs w:val="20"/>
                <w:color w:val="auto"/>
              </w:rPr>
            </w:pPr>
            <w:r>
              <w:rPr>
                <w:rFonts w:ascii="Arial" w:cs="Arial" w:eastAsia="Arial" w:hAnsi="Arial"/>
                <w:sz w:val="18"/>
                <w:szCs w:val="18"/>
                <w:color w:val="auto"/>
              </w:rPr>
              <w:t>5.04(b)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313(c)</w:t>
            </w:r>
          </w:p>
        </w:tc>
        <w:tc>
          <w:tcPr>
            <w:tcW w:w="3120" w:type="dxa"/>
            <w:vAlign w:val="bottom"/>
          </w:tcPr>
          <w:p>
            <w:pPr>
              <w:ind w:left="1640"/>
              <w:spacing w:after="0"/>
              <w:rPr>
                <w:sz w:val="20"/>
                <w:szCs w:val="20"/>
                <w:color w:val="auto"/>
              </w:rPr>
            </w:pPr>
            <w:r>
              <w:rPr>
                <w:rFonts w:ascii="Arial" w:cs="Arial" w:eastAsia="Arial" w:hAnsi="Arial"/>
                <w:sz w:val="18"/>
                <w:szCs w:val="18"/>
                <w:color w:val="auto"/>
              </w:rPr>
              <w:t>5.04(a)</w:t>
            </w:r>
          </w:p>
        </w:tc>
      </w:tr>
      <w:tr>
        <w:trPr>
          <w:trHeight w:val="229"/>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5.04(b)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313(d)</w:t>
            </w:r>
          </w:p>
        </w:tc>
        <w:tc>
          <w:tcPr>
            <w:tcW w:w="3120" w:type="dxa"/>
            <w:vAlign w:val="bottom"/>
          </w:tcPr>
          <w:p>
            <w:pPr>
              <w:ind w:left="1640"/>
              <w:spacing w:after="0"/>
              <w:rPr>
                <w:sz w:val="20"/>
                <w:szCs w:val="20"/>
                <w:color w:val="auto"/>
              </w:rPr>
            </w:pPr>
            <w:r>
              <w:rPr>
                <w:rFonts w:ascii="Arial" w:cs="Arial" w:eastAsia="Arial" w:hAnsi="Arial"/>
                <w:sz w:val="18"/>
                <w:szCs w:val="18"/>
                <w:color w:val="auto"/>
              </w:rPr>
              <w:t>5.04(c)</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314(a)</w:t>
            </w:r>
          </w:p>
        </w:tc>
        <w:tc>
          <w:tcPr>
            <w:tcW w:w="3120" w:type="dxa"/>
            <w:vAlign w:val="bottom"/>
          </w:tcPr>
          <w:p>
            <w:pPr>
              <w:ind w:left="1640"/>
              <w:spacing w:after="0"/>
              <w:rPr>
                <w:sz w:val="20"/>
                <w:szCs w:val="20"/>
                <w:color w:val="auto"/>
              </w:rPr>
            </w:pPr>
            <w:r>
              <w:rPr>
                <w:rFonts w:ascii="Arial" w:cs="Arial" w:eastAsia="Arial" w:hAnsi="Arial"/>
                <w:sz w:val="18"/>
                <w:szCs w:val="18"/>
                <w:color w:val="auto"/>
              </w:rPr>
              <w:t>5.03</w:t>
            </w:r>
          </w:p>
        </w:tc>
      </w:tr>
      <w:tr>
        <w:trPr>
          <w:trHeight w:val="230"/>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13.12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314(b)</w:t>
            </w:r>
          </w:p>
        </w:tc>
        <w:tc>
          <w:tcPr>
            <w:tcW w:w="3120" w:type="dxa"/>
            <w:vAlign w:val="bottom"/>
          </w:tcPr>
          <w:p>
            <w:pPr>
              <w:ind w:left="1640"/>
              <w:spacing w:after="0"/>
              <w:rPr>
                <w:sz w:val="20"/>
                <w:szCs w:val="20"/>
                <w:color w:val="auto"/>
              </w:rPr>
            </w:pPr>
            <w:r>
              <w:rPr>
                <w:rFonts w:ascii="Arial" w:cs="Arial" w:eastAsia="Arial" w:hAnsi="Arial"/>
                <w:sz w:val="18"/>
                <w:szCs w:val="18"/>
                <w:color w:val="auto"/>
              </w:rPr>
              <w:t>Inapplicable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314(c)</w:t>
            </w:r>
          </w:p>
        </w:tc>
        <w:tc>
          <w:tcPr>
            <w:tcW w:w="3120" w:type="dxa"/>
            <w:vAlign w:val="bottom"/>
          </w:tcPr>
          <w:p>
            <w:pPr>
              <w:ind w:left="1640"/>
              <w:spacing w:after="0"/>
              <w:rPr>
                <w:sz w:val="20"/>
                <w:szCs w:val="20"/>
                <w:color w:val="auto"/>
              </w:rPr>
            </w:pPr>
            <w:r>
              <w:rPr>
                <w:rFonts w:ascii="Arial" w:cs="Arial" w:eastAsia="Arial" w:hAnsi="Arial"/>
                <w:sz w:val="18"/>
                <w:szCs w:val="18"/>
                <w:color w:val="auto"/>
              </w:rPr>
              <w:t>13.07(a)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314(d)</w:t>
            </w:r>
          </w:p>
        </w:tc>
        <w:tc>
          <w:tcPr>
            <w:tcW w:w="3120" w:type="dxa"/>
            <w:vAlign w:val="bottom"/>
          </w:tcPr>
          <w:p>
            <w:pPr>
              <w:ind w:left="1640"/>
              <w:spacing w:after="0"/>
              <w:rPr>
                <w:sz w:val="20"/>
                <w:szCs w:val="20"/>
                <w:color w:val="auto"/>
              </w:rPr>
            </w:pPr>
            <w:r>
              <w:rPr>
                <w:rFonts w:ascii="Arial" w:cs="Arial" w:eastAsia="Arial" w:hAnsi="Arial"/>
                <w:sz w:val="18"/>
                <w:szCs w:val="18"/>
                <w:color w:val="auto"/>
              </w:rPr>
              <w:t>Inapplicable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314(e)</w:t>
            </w:r>
          </w:p>
        </w:tc>
        <w:tc>
          <w:tcPr>
            <w:tcW w:w="3120" w:type="dxa"/>
            <w:vAlign w:val="bottom"/>
          </w:tcPr>
          <w:p>
            <w:pPr>
              <w:ind w:left="1640"/>
              <w:spacing w:after="0"/>
              <w:rPr>
                <w:sz w:val="20"/>
                <w:szCs w:val="20"/>
                <w:color w:val="auto"/>
              </w:rPr>
            </w:pPr>
            <w:r>
              <w:rPr>
                <w:rFonts w:ascii="Arial" w:cs="Arial" w:eastAsia="Arial" w:hAnsi="Arial"/>
                <w:sz w:val="18"/>
                <w:szCs w:val="18"/>
                <w:color w:val="auto"/>
              </w:rPr>
              <w:t>13.07(b)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314(f)</w:t>
            </w:r>
          </w:p>
        </w:tc>
        <w:tc>
          <w:tcPr>
            <w:tcW w:w="3120" w:type="dxa"/>
            <w:vAlign w:val="bottom"/>
          </w:tcPr>
          <w:p>
            <w:pPr>
              <w:ind w:left="1640"/>
              <w:spacing w:after="0"/>
              <w:rPr>
                <w:sz w:val="20"/>
                <w:szCs w:val="20"/>
                <w:color w:val="auto"/>
              </w:rPr>
            </w:pPr>
            <w:r>
              <w:rPr>
                <w:rFonts w:ascii="Arial" w:cs="Arial" w:eastAsia="Arial" w:hAnsi="Arial"/>
                <w:sz w:val="18"/>
                <w:szCs w:val="18"/>
                <w:color w:val="auto"/>
              </w:rPr>
              <w:t>Inapplicable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315(a)</w:t>
            </w:r>
          </w:p>
        </w:tc>
        <w:tc>
          <w:tcPr>
            <w:tcW w:w="3120" w:type="dxa"/>
            <w:vAlign w:val="bottom"/>
          </w:tcPr>
          <w:p>
            <w:pPr>
              <w:ind w:left="1640"/>
              <w:spacing w:after="0"/>
              <w:rPr>
                <w:sz w:val="20"/>
                <w:szCs w:val="20"/>
                <w:color w:val="auto"/>
              </w:rPr>
            </w:pPr>
            <w:r>
              <w:rPr>
                <w:rFonts w:ascii="Arial" w:cs="Arial" w:eastAsia="Arial" w:hAnsi="Arial"/>
                <w:sz w:val="18"/>
                <w:szCs w:val="18"/>
                <w:color w:val="auto"/>
              </w:rPr>
              <w:t>7.01(a)</w:t>
            </w:r>
          </w:p>
        </w:tc>
      </w:tr>
      <w:tr>
        <w:trPr>
          <w:trHeight w:val="229"/>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7.01(b)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315(b)</w:t>
            </w:r>
          </w:p>
        </w:tc>
        <w:tc>
          <w:tcPr>
            <w:tcW w:w="3120" w:type="dxa"/>
            <w:vAlign w:val="bottom"/>
          </w:tcPr>
          <w:p>
            <w:pPr>
              <w:ind w:left="1640"/>
              <w:spacing w:after="0"/>
              <w:rPr>
                <w:sz w:val="20"/>
                <w:szCs w:val="20"/>
                <w:color w:val="auto"/>
              </w:rPr>
            </w:pPr>
            <w:r>
              <w:rPr>
                <w:rFonts w:ascii="Arial" w:cs="Arial" w:eastAsia="Arial" w:hAnsi="Arial"/>
                <w:sz w:val="18"/>
                <w:szCs w:val="18"/>
                <w:color w:val="auto"/>
              </w:rPr>
              <w:t>7.14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315(c)</w:t>
            </w:r>
          </w:p>
        </w:tc>
        <w:tc>
          <w:tcPr>
            <w:tcW w:w="3120" w:type="dxa"/>
            <w:vAlign w:val="bottom"/>
          </w:tcPr>
          <w:p>
            <w:pPr>
              <w:ind w:left="1640"/>
              <w:spacing w:after="0"/>
              <w:rPr>
                <w:sz w:val="20"/>
                <w:szCs w:val="20"/>
                <w:color w:val="auto"/>
              </w:rPr>
            </w:pPr>
            <w:r>
              <w:rPr>
                <w:rFonts w:ascii="Arial" w:cs="Arial" w:eastAsia="Arial" w:hAnsi="Arial"/>
                <w:sz w:val="18"/>
                <w:szCs w:val="18"/>
                <w:color w:val="auto"/>
              </w:rPr>
              <w:t>7.01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315(d)</w:t>
            </w:r>
          </w:p>
        </w:tc>
        <w:tc>
          <w:tcPr>
            <w:tcW w:w="3120" w:type="dxa"/>
            <w:vAlign w:val="bottom"/>
          </w:tcPr>
          <w:p>
            <w:pPr>
              <w:ind w:left="1640"/>
              <w:spacing w:after="0"/>
              <w:rPr>
                <w:sz w:val="20"/>
                <w:szCs w:val="20"/>
                <w:color w:val="auto"/>
              </w:rPr>
            </w:pPr>
            <w:r>
              <w:rPr>
                <w:rFonts w:ascii="Arial" w:cs="Arial" w:eastAsia="Arial" w:hAnsi="Arial"/>
                <w:sz w:val="18"/>
                <w:szCs w:val="18"/>
                <w:color w:val="auto"/>
              </w:rPr>
              <w:t>7.01(b)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315(e)</w:t>
            </w:r>
          </w:p>
        </w:tc>
        <w:tc>
          <w:tcPr>
            <w:tcW w:w="3120" w:type="dxa"/>
            <w:vAlign w:val="bottom"/>
          </w:tcPr>
          <w:p>
            <w:pPr>
              <w:ind w:left="1640"/>
              <w:spacing w:after="0"/>
              <w:rPr>
                <w:sz w:val="20"/>
                <w:szCs w:val="20"/>
                <w:color w:val="auto"/>
              </w:rPr>
            </w:pPr>
            <w:r>
              <w:rPr>
                <w:rFonts w:ascii="Arial" w:cs="Arial" w:eastAsia="Arial" w:hAnsi="Arial"/>
                <w:sz w:val="18"/>
                <w:szCs w:val="18"/>
                <w:color w:val="auto"/>
              </w:rPr>
              <w:t>6.07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316(a)</w:t>
            </w:r>
          </w:p>
        </w:tc>
        <w:tc>
          <w:tcPr>
            <w:tcW w:w="3120" w:type="dxa"/>
            <w:vAlign w:val="bottom"/>
          </w:tcPr>
          <w:p>
            <w:pPr>
              <w:ind w:left="1640"/>
              <w:spacing w:after="0"/>
              <w:rPr>
                <w:sz w:val="20"/>
                <w:szCs w:val="20"/>
                <w:color w:val="auto"/>
              </w:rPr>
            </w:pPr>
            <w:r>
              <w:rPr>
                <w:rFonts w:ascii="Arial" w:cs="Arial" w:eastAsia="Arial" w:hAnsi="Arial"/>
                <w:sz w:val="18"/>
                <w:szCs w:val="18"/>
                <w:color w:val="auto"/>
              </w:rPr>
              <w:t>6.06</w:t>
            </w:r>
          </w:p>
        </w:tc>
      </w:tr>
      <w:tr>
        <w:trPr>
          <w:trHeight w:val="230"/>
        </w:trPr>
        <w:tc>
          <w:tcPr>
            <w:tcW w:w="3980" w:type="dxa"/>
            <w:vAlign w:val="bottom"/>
          </w:tcPr>
          <w:p>
            <w:pPr>
              <w:spacing w:after="0"/>
              <w:rPr>
                <w:sz w:val="19"/>
                <w:szCs w:val="19"/>
                <w:color w:val="auto"/>
              </w:rPr>
            </w:pPr>
          </w:p>
        </w:tc>
        <w:tc>
          <w:tcPr>
            <w:tcW w:w="3120" w:type="dxa"/>
            <w:vAlign w:val="bottom"/>
          </w:tcPr>
          <w:p>
            <w:pPr>
              <w:ind w:left="1640"/>
              <w:spacing w:after="0"/>
              <w:rPr>
                <w:sz w:val="20"/>
                <w:szCs w:val="20"/>
                <w:color w:val="auto"/>
              </w:rPr>
            </w:pPr>
            <w:r>
              <w:rPr>
                <w:rFonts w:ascii="Arial" w:cs="Arial" w:eastAsia="Arial" w:hAnsi="Arial"/>
                <w:sz w:val="18"/>
                <w:szCs w:val="18"/>
                <w:color w:val="auto"/>
              </w:rPr>
              <w:t>8.04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316(b)</w:t>
            </w:r>
          </w:p>
        </w:tc>
        <w:tc>
          <w:tcPr>
            <w:tcW w:w="3120" w:type="dxa"/>
            <w:vAlign w:val="bottom"/>
          </w:tcPr>
          <w:p>
            <w:pPr>
              <w:ind w:left="1640"/>
              <w:spacing w:after="0"/>
              <w:rPr>
                <w:sz w:val="20"/>
                <w:szCs w:val="20"/>
                <w:color w:val="auto"/>
              </w:rPr>
            </w:pPr>
            <w:r>
              <w:rPr>
                <w:rFonts w:ascii="Arial" w:cs="Arial" w:eastAsia="Arial" w:hAnsi="Arial"/>
                <w:sz w:val="18"/>
                <w:szCs w:val="18"/>
                <w:color w:val="auto"/>
              </w:rPr>
              <w:t>6.04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316(c)</w:t>
            </w:r>
          </w:p>
        </w:tc>
        <w:tc>
          <w:tcPr>
            <w:tcW w:w="3120" w:type="dxa"/>
            <w:vAlign w:val="bottom"/>
          </w:tcPr>
          <w:p>
            <w:pPr>
              <w:ind w:left="1640"/>
              <w:spacing w:after="0"/>
              <w:rPr>
                <w:sz w:val="20"/>
                <w:szCs w:val="20"/>
                <w:color w:val="auto"/>
              </w:rPr>
            </w:pPr>
            <w:r>
              <w:rPr>
                <w:rFonts w:ascii="Arial" w:cs="Arial" w:eastAsia="Arial" w:hAnsi="Arial"/>
                <w:sz w:val="18"/>
                <w:szCs w:val="18"/>
                <w:color w:val="auto"/>
              </w:rPr>
              <w:t>8.01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317(a)</w:t>
            </w:r>
          </w:p>
        </w:tc>
        <w:tc>
          <w:tcPr>
            <w:tcW w:w="3120" w:type="dxa"/>
            <w:vAlign w:val="bottom"/>
          </w:tcPr>
          <w:p>
            <w:pPr>
              <w:ind w:left="1640"/>
              <w:spacing w:after="0"/>
              <w:rPr>
                <w:sz w:val="20"/>
                <w:szCs w:val="20"/>
                <w:color w:val="auto"/>
              </w:rPr>
            </w:pPr>
            <w:r>
              <w:rPr>
                <w:rFonts w:ascii="Arial" w:cs="Arial" w:eastAsia="Arial" w:hAnsi="Arial"/>
                <w:sz w:val="18"/>
                <w:szCs w:val="18"/>
                <w:color w:val="auto"/>
              </w:rPr>
              <w:t>6.02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317(b)</w:t>
            </w:r>
          </w:p>
        </w:tc>
        <w:tc>
          <w:tcPr>
            <w:tcW w:w="3120" w:type="dxa"/>
            <w:vAlign w:val="bottom"/>
          </w:tcPr>
          <w:p>
            <w:pPr>
              <w:ind w:left="1640"/>
              <w:spacing w:after="0"/>
              <w:rPr>
                <w:sz w:val="20"/>
                <w:szCs w:val="20"/>
                <w:color w:val="auto"/>
              </w:rPr>
            </w:pPr>
            <w:r>
              <w:rPr>
                <w:rFonts w:ascii="Arial" w:cs="Arial" w:eastAsia="Arial" w:hAnsi="Arial"/>
                <w:sz w:val="18"/>
                <w:szCs w:val="18"/>
                <w:color w:val="auto"/>
              </w:rPr>
              <w:t>4.03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318(a)</w:t>
            </w:r>
          </w:p>
        </w:tc>
        <w:tc>
          <w:tcPr>
            <w:tcW w:w="3120" w:type="dxa"/>
            <w:vAlign w:val="bottom"/>
          </w:tcPr>
          <w:p>
            <w:pPr>
              <w:ind w:left="1640"/>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77"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6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44"/>
          </w:cols>
          <w:pgMar w:left="436" w:top="270" w:right="8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88390" cy="316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+1 212 839 5300</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+1 212 839 5599 FAX</w:t>
      </w:r>
    </w:p>
    <w:p>
      <w:pPr>
        <w:spacing w:after="0" w:line="23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We refer to the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being filed by Tempest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relating to the registration of up to an aggregate total offering price of $250,000,000 of:</w:t>
      </w:r>
    </w:p>
    <w:p>
      <w:pPr>
        <w:spacing w:after="0" w:line="89" w:lineRule="exact"/>
        <w:rPr>
          <w:sz w:val="20"/>
          <w:szCs w:val="20"/>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of the Company’s preferred stock, $0.001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debt securities of the Company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units (the “</w:t>
      </w:r>
      <w:r>
        <w:rPr>
          <w:rFonts w:ascii="Arial" w:cs="Arial" w:eastAsia="Arial" w:hAnsi="Arial"/>
          <w:sz w:val="16"/>
          <w:szCs w:val="16"/>
          <w:u w:val="single" w:color="auto"/>
          <w:color w:val="auto"/>
        </w:rPr>
        <w:t>Units</w:t>
      </w:r>
      <w:r>
        <w:rPr>
          <w:rFonts w:ascii="Arial" w:cs="Arial" w:eastAsia="Arial" w:hAnsi="Arial"/>
          <w:sz w:val="16"/>
          <w:szCs w:val="16"/>
          <w:color w:val="auto"/>
        </w:rPr>
        <w:t>”), each consisting of two or more types of the securities listed in clauses (a) through (d) above as well as (f) below; and</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rights to purchase Common Stock, Preferred Stock, Debt Securities or Units (the “</w:t>
      </w: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20"/>
          </w:cols>
          <w:pgMar w:left="440" w:top="121"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Common Stock, the Preferred Stock, the Debt Securities, the Warrants, the Units and the Rights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 Unless otherwise specified in the applicable prospectus supplement:</w:t>
      </w:r>
    </w:p>
    <w:p>
      <w:pPr>
        <w:spacing w:after="0" w:line="76" w:lineRule="exact"/>
        <w:rPr>
          <w:sz w:val="20"/>
          <w:szCs w:val="20"/>
          <w:color w:val="auto"/>
        </w:rPr>
      </w:pPr>
    </w:p>
    <w:p>
      <w:pPr>
        <w:ind w:left="960" w:right="72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Debt Securities will be issued under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to be entered into between the Company and a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Warrants will be issued under a warrant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between the Company and a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Units will be issued pursuant to a unit agreement (the “</w:t>
      </w:r>
      <w:r>
        <w:rPr>
          <w:rFonts w:ascii="Arial" w:cs="Arial" w:eastAsia="Arial" w:hAnsi="Arial"/>
          <w:sz w:val="18"/>
          <w:szCs w:val="18"/>
          <w:u w:val="single" w:color="auto"/>
          <w:color w:val="auto"/>
        </w:rPr>
        <w:t>Unit Agreement</w:t>
      </w:r>
      <w:r>
        <w:rPr>
          <w:rFonts w:ascii="Arial" w:cs="Arial" w:eastAsia="Arial" w:hAnsi="Arial"/>
          <w:sz w:val="18"/>
          <w:szCs w:val="18"/>
          <w:color w:val="auto"/>
        </w:rPr>
        <w:t>”) to be entered into between the Company and a unit agent (the “</w:t>
      </w:r>
      <w:r>
        <w:rPr>
          <w:rFonts w:ascii="Arial" w:cs="Arial" w:eastAsia="Arial" w:hAnsi="Arial"/>
          <w:sz w:val="18"/>
          <w:szCs w:val="18"/>
          <w:u w:val="single" w:color="auto"/>
          <w:color w:val="auto"/>
        </w:rPr>
        <w:t>Unit Agent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Rights will be issued under a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be entered into between the Company and a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substantially in the form that has been or will be filed as one or more exhibits to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examined the Registration Statement, the exhibits thereto, the certificate of incorporation of the Company, as amended and restated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 hereof (the “</w:t>
      </w:r>
      <w:r>
        <w:rPr>
          <w:rFonts w:ascii="Arial" w:cs="Arial" w:eastAsia="Arial" w:hAnsi="Arial"/>
          <w:sz w:val="17"/>
          <w:szCs w:val="17"/>
          <w:u w:val="single" w:color="auto"/>
          <w:color w:val="auto"/>
        </w:rPr>
        <w:t>Charter</w:t>
      </w:r>
      <w:r>
        <w:rPr>
          <w:rFonts w:ascii="Arial" w:cs="Arial" w:eastAsia="Arial" w:hAnsi="Arial"/>
          <w:sz w:val="17"/>
          <w:szCs w:val="17"/>
          <w:color w:val="auto"/>
        </w:rPr>
        <w:t>”), the bylaws of the Company, as amended and restated to the date hereof (the “</w:t>
      </w:r>
      <w:r>
        <w:rPr>
          <w:rFonts w:ascii="Arial" w:cs="Arial" w:eastAsia="Arial" w:hAnsi="Arial"/>
          <w:sz w:val="17"/>
          <w:szCs w:val="17"/>
          <w:u w:val="single" w:color="auto"/>
          <w:color w:val="auto"/>
        </w:rPr>
        <w:t>Bylaws</w:t>
      </w:r>
      <w:r>
        <w:rPr>
          <w:rFonts w:ascii="Arial" w:cs="Arial" w:eastAsia="Arial" w:hAnsi="Arial"/>
          <w:sz w:val="17"/>
          <w:szCs w:val="17"/>
          <w:color w:val="auto"/>
        </w:rPr>
        <w:t>”), and the resolutions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Resolutions</w:t>
      </w:r>
      <w:r>
        <w:rPr>
          <w:rFonts w:ascii="Arial" w:cs="Arial" w:eastAsia="Arial" w:hAnsi="Arial"/>
          <w:sz w:val="16"/>
          <w:szCs w:val="16"/>
          <w:color w:val="auto"/>
        </w:rPr>
        <w:t>”) adopted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relating to the Registration Statement. We have also examined originals,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copies of originals certified to our satisfaction, of such agreements, documents, certificates and statements of the Company and others, and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examined such questions of law, as we have considered relevant and necessary as a basis for this opinion letter. We have assumed the authenticity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documents submitted to us as originals, the genuineness of all signatures, the legal capacity of all persons and the conformity with the original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documents of any copies thereof submitted to us for examination. As to facts relevant to the opinions expressed herein, we have relied without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independent investigation or verification upon, and assumed the accuracy and completeness of, certificates, letters and oral and written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of public officials and officers and other representatives of the Company.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and subject to the foregoing and the other limitations, qualifications and assumptions set forth herein, we are of the opinion that:</w:t>
      </w:r>
    </w:p>
    <w:p>
      <w:pPr>
        <w:spacing w:after="0" w:line="142" w:lineRule="exact"/>
        <w:rPr>
          <w:sz w:val="20"/>
          <w:szCs w:val="20"/>
          <w:color w:val="auto"/>
        </w:rPr>
      </w:pPr>
    </w:p>
    <w:p>
      <w:pPr>
        <w:ind w:left="960" w:right="440" w:hanging="532"/>
        <w:spacing w:after="0" w:line="31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 respect to an offering of shares of Common Stock covered by the Registration Statement, such shares of Common Stock will be validly issued, fully paid and nonassessable, when: (i) the Registration Statement, as finally amended (including any necessary post-effective amendments), shall have become effective under the Securities Act; (ii) a prospectus supplement with respect to the sale of</w:t>
      </w:r>
    </w:p>
    <w:p>
      <w:pPr>
        <w:sectPr>
          <w:pgSz w:w="11900" w:h="16838" w:orient="portrait"/>
          <w:cols w:equalWidth="0" w:num="1">
            <w:col w:w="11000"/>
          </w:cols>
          <w:pgMar w:left="440" w:top="1016"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8" w:lineRule="exact"/>
        <w:rPr>
          <w:sz w:val="20"/>
          <w:szCs w:val="20"/>
          <w:color w:val="auto"/>
        </w:rPr>
      </w:pPr>
    </w:p>
    <w:p>
      <w:pPr>
        <w:ind w:left="980" w:right="200"/>
        <w:spacing w:after="0" w:line="287" w:lineRule="auto"/>
        <w:rPr>
          <w:sz w:val="20"/>
          <w:szCs w:val="20"/>
          <w:color w:val="auto"/>
        </w:rPr>
      </w:pPr>
      <w:r>
        <w:rPr>
          <w:rFonts w:ascii="Arial" w:cs="Arial" w:eastAsia="Arial" w:hAnsi="Arial"/>
          <w:sz w:val="16"/>
          <w:szCs w:val="16"/>
          <w:color w:val="auto"/>
        </w:rPr>
        <w:t>such shares of Common Stock, if any shall be required, shall have been filed with the SEC in compliance with the Securities Act and the rules and regulations thereunder; (iii) the Board or a duly authorized committee thereof shall have duly adopted final resolutions in conformity with the Charter, the Bylaws and the Resolutions authorizing the issuance and sale of such shares of Common Stock; and</w:t>
      </w:r>
    </w:p>
    <w:p>
      <w:pPr>
        <w:spacing w:after="0" w:line="2" w:lineRule="exact"/>
        <w:rPr>
          <w:sz w:val="20"/>
          <w:szCs w:val="20"/>
          <w:color w:val="auto"/>
        </w:rPr>
      </w:pPr>
    </w:p>
    <w:p>
      <w:pPr>
        <w:ind w:left="980" w:right="40" w:firstLine="1"/>
        <w:spacing w:after="0" w:line="252" w:lineRule="auto"/>
        <w:tabs>
          <w:tab w:leader="none" w:pos="1285" w:val="left"/>
        </w:tabs>
        <w:numPr>
          <w:ilvl w:val="1"/>
          <w:numId w:val="76"/>
        </w:numPr>
        <w:rPr>
          <w:rFonts w:ascii="Arial" w:cs="Arial" w:eastAsia="Arial" w:hAnsi="Arial"/>
          <w:sz w:val="18"/>
          <w:szCs w:val="18"/>
          <w:color w:val="auto"/>
        </w:rPr>
      </w:pPr>
      <w:r>
        <w:rPr>
          <w:rFonts w:ascii="Arial" w:cs="Arial" w:eastAsia="Arial" w:hAnsi="Arial"/>
          <w:sz w:val="18"/>
          <w:szCs w:val="18"/>
          <w:color w:val="auto"/>
        </w:rPr>
        <w:t>certificates representing such shares of Common Stock shall have been duly executed, countersigned and registered and duly delivered in accordance with the applicable definitive purchase, underwriting or similar agreement upon payment of the agreed consideration therefor in an amount not less than the aggregate par value thereof or, if any such shares of Common Stock are to be issued in uncertificated form, the Company’s books shall reflect the issuance of such shares of Common Stock in accordance with the applicable definitive purchase, underwriting or similar agreement upon payment of the agreed consideration therefor in an amount not less than the aggregate par value thereof.</w:t>
      </w:r>
    </w:p>
    <w:p>
      <w:pPr>
        <w:spacing w:after="0" w:line="99" w:lineRule="exact"/>
        <w:rPr>
          <w:rFonts w:ascii="Arial" w:cs="Arial" w:eastAsia="Arial" w:hAnsi="Arial"/>
          <w:sz w:val="18"/>
          <w:szCs w:val="18"/>
          <w:color w:val="auto"/>
        </w:rPr>
      </w:pPr>
    </w:p>
    <w:p>
      <w:pPr>
        <w:ind w:left="960" w:hanging="532"/>
        <w:spacing w:after="0" w:line="268"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issuance and sale of each series of Preferred Stock covered by the Registration Statement will be duly authorized, and each share of such series of Preferred Stock will be validly issued, fully paid and nonassessable, when: (i) the Registration Statement, as finally amended (including any necessary post-effective amendments), shall have become effective under the Securities Act; (ii) a prospectus supplement with respect to the sale of such series of Preferred Stock shall have been filed with the SEC in compliance with the Securities Act and the rules and regulations thereunder; (iii) the Board or a duly authorized committee thereof shall have duly adopted final resolutions in conformity with the Charter, the Bylaws and the Resolutions establishing the designations, preferences, rights, qualifications, limitations or restrictions of such series of Preferred Stock and authorizing the issuance and sale of such series of Preferred Stock; (iv) the Company shall have filed with the Secretary of State of the State of Delaware a Certificate of Designations with respect to such series of Preferred Stock in accordance with the General Corporation Law of the State of Delaware (the “DGCL”) and in conformity with the Charter and such final resolutions; and (v) certificates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aggregate par value thereof or, if any shares of such series of Preferred Stock are to be issued in uncertificated form, the Company’s books shall reflect the issuance of such shares in accordance with the applicable definitive purchase, underwriting or similar agreement upon payment of the agreed consideration therefor in an amount not less than the aggregate par value thereof.</w:t>
      </w:r>
    </w:p>
    <w:p>
      <w:pPr>
        <w:sectPr>
          <w:pgSz w:w="11900" w:h="16838" w:orient="portrait"/>
          <w:cols w:equalWidth="0" w:num="1">
            <w:col w:w="11020"/>
          </w:cols>
          <w:pgMar w:left="440" w:top="101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8" w:lineRule="exact"/>
        <w:rPr>
          <w:sz w:val="20"/>
          <w:szCs w:val="20"/>
          <w:color w:val="auto"/>
        </w:rPr>
      </w:pPr>
    </w:p>
    <w:p>
      <w:pPr>
        <w:ind w:left="960" w:hanging="532"/>
        <w:spacing w:after="0" w:line="285" w:lineRule="auto"/>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Debt Securities of each series covered by the Registration Statement will constitute valid and binding obligations of the Company when: (i) the Registration Statement, as finally amended (including any necessary post-effective amendments), shall have become effective under the Securities Act and the Indenture (including any necessary supplemental indenture) shall have been qualified under the Trust Indenture Act of 1939, as amended; (ii) a prospectus supplement with respect to such series of Debt Securities shall have been filed with the SEC in compliance with the Securities Act and the rules and regulations thereunder; (iii) the Indenture shall have been duly authorized, executed and delivered by the Company and the Trustee; (iv) all necessary corporate action shall have been taken by the Company to authorize the form, terms, execution, delivery, performance, issuance and sale of such series of Debt Securities as contemplated by the Registration Statement, the prospectus supplement relating to such Debt Securities and the Indenture and to authorize the execution, delivery and performance of a supplemental indenture or officers’ certificate establishing the form and terms of such series of Debt Securities as contemplated by the Indenture; (v) a supplemental indenture or officers’ certificate establishing the form and terms of such series of Debt Securities shall have been duly executed and delivered by the Company and the Trustee (in the case of such a supplemental indenture) or by duly authorized officers of the Company (in the case of such an officers’ certificate), in each case in accordance with the provisions of the Charter, the Bylaws, final resolutions of the Board or a duly authorized committee thereof and the Indenture; and (vi) the certificates evidencing the Debt Securities of such series shall have been duly executed and delivered by the Company, authenticated by the Trustee and issued, all in accordance with the Charter, the Bylaws, final resolutions of the Board or a duly authorized committee thereof, the Indenture and the supplemental indenture or officers’ certificate, as the case may be, establishing the form and terms of the Debt Securities of such series, and shall have been duly delivered in accordance with the applicable definitive purchase, underwriting or similar agreement to the purchasers thereof against payment of the agreed consideration therefor.</w:t>
      </w:r>
    </w:p>
    <w:p>
      <w:pPr>
        <w:spacing w:after="0" w:line="76" w:lineRule="exact"/>
        <w:rPr>
          <w:rFonts w:ascii="Arial" w:cs="Arial" w:eastAsia="Arial" w:hAnsi="Arial"/>
          <w:sz w:val="16"/>
          <w:szCs w:val="16"/>
          <w:color w:val="auto"/>
        </w:rPr>
      </w:pPr>
    </w:p>
    <w:p>
      <w:pPr>
        <w:ind w:left="960" w:right="160" w:hanging="532"/>
        <w:spacing w:after="0" w:line="255"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issue of Warrants covered by the Registration Statement will constitute valid and binding obligations of the Company when: (i) the Registration Statement, as finally amended (including any necessary post-effective amendments), shall have become effective under the Securities Act; (ii) a prospectus supplement with respect to such issue of Warrants and the Common Stock, Preferred Stock or Debt Securities issuable upon exercise of such Warrants shall have been filed with the SEC in compliance with the Securities Act and the rules and regulations thereunder; (iii) a Warrant Agreement relating to such issue of Warrants shall have been duly authorized, executed and delivered by the Company and duly</w:t>
      </w:r>
    </w:p>
    <w:p>
      <w:pPr>
        <w:sectPr>
          <w:pgSz w:w="11900" w:h="16838" w:orient="portrait"/>
          <w:cols w:equalWidth="0" w:num="1">
            <w:col w:w="11000"/>
          </w:cols>
          <w:pgMar w:left="440" w:top="1016"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8" w:lineRule="exact"/>
        <w:rPr>
          <w:sz w:val="20"/>
          <w:szCs w:val="20"/>
          <w:color w:val="auto"/>
        </w:rPr>
      </w:pPr>
    </w:p>
    <w:p>
      <w:pPr>
        <w:ind w:left="980"/>
        <w:spacing w:after="0" w:line="270" w:lineRule="auto"/>
        <w:rPr>
          <w:sz w:val="20"/>
          <w:szCs w:val="20"/>
          <w:color w:val="auto"/>
        </w:rPr>
      </w:pPr>
      <w:r>
        <w:rPr>
          <w:rFonts w:ascii="Arial" w:cs="Arial" w:eastAsia="Arial" w:hAnsi="Arial"/>
          <w:sz w:val="17"/>
          <w:szCs w:val="17"/>
          <w:color w:val="auto"/>
        </w:rPr>
        <w:t>executed and delivered by the Warrant Agent named in the Warrant Agreement; (iv) the Board or a duly authorized committee thereof shall have duly adopted final resolutions in conformity with the Charter, the Bylaws and the Resolutions authorizing the execution and delivery of the Warrant Agreement and the execution, delivery, issuance and sale of such issue of Warrants; (v) if such Warrants are exercisable for Common Stock, the actions described in paragraph 1 above shall have been taken; (vi) if such Warrants are exercisable for Preferred Stock, the actions described in paragraph 2 above shall have been taken; (vii) if such Warrants are exercisable for Debt Securities, the actions described in paragraph 3 above shall have been taken and (viii) certificates representing such issue of Warrants shall have been duly executed, countersigned and issued in accordance with such Warrant Agreement and shall have been duly delivered in accordance with the applicable definitive purchase, underwriting or similar agreement to the purchasers thereof against payment of the agreed consideration therefor.</w:t>
      </w:r>
    </w:p>
    <w:p>
      <w:pPr>
        <w:spacing w:after="0" w:line="86" w:lineRule="exact"/>
        <w:rPr>
          <w:sz w:val="20"/>
          <w:szCs w:val="20"/>
          <w:color w:val="auto"/>
        </w:rPr>
      </w:pPr>
    </w:p>
    <w:p>
      <w:pPr>
        <w:ind w:left="960" w:hanging="532"/>
        <w:spacing w:after="0" w:line="283" w:lineRule="auto"/>
        <w:tabs>
          <w:tab w:leader="none" w:pos="9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an offering of Units covered by the Registration Statement, such Units will constitute valid and binding obligations of the Company when: (i) the Registration Statement, as finally amended (including any necessary post- effective amendments), shall have become effective under the Securities Act; (ii) a prospectus supplement with respect to such Units and the Common Stock, Preferred Stock, Debt Securities, Warrants or Rights, as the case may be, included as a component of such Units shall have been filed with the SEC in compliance with the Securities Act and the rules and regulations thereunder; (iii) an Unit Agreement relating to such issue of Units shall have been duly authorized, executed and delivered by the Company and duly executed and delivered by the Unit Agent named in the Unit Agreement, (iv) the Board or a duly authorized committee thereof shall have duly adopted final resolutions in conformity with the Charter, the Bylaws and the Resolutions authorizing the execution and delivery of the Units Agreement and the execution, delivery, issuance and sale of such Units; (v) if such Units relate to the issuance and sale of Common Stock, the actions described in paragraph 1 above shall have been taken; (vi) if such Units relate to the issuance and sale of Preferred Stock, the actions described in paragraph 2 above shall have been taken; (vii) if such Units relate to the issuance and sale of Debt Securities, the actions described in paragraph 3 above shall have been taken; (viii) if such Units relate to the issuance and sale of Warrants, the actions described in paragraph 4 above shall have been taken;</w:t>
      </w:r>
    </w:p>
    <w:p>
      <w:pPr>
        <w:spacing w:after="0" w:line="2" w:lineRule="exact"/>
        <w:rPr>
          <w:rFonts w:ascii="Arial" w:cs="Arial" w:eastAsia="Arial" w:hAnsi="Arial"/>
          <w:sz w:val="16"/>
          <w:szCs w:val="16"/>
          <w:color w:val="auto"/>
        </w:rPr>
      </w:pPr>
    </w:p>
    <w:p>
      <w:pPr>
        <w:ind w:left="1280" w:hanging="312"/>
        <w:spacing w:after="0"/>
        <w:tabs>
          <w:tab w:leader="none" w:pos="12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such Units relate to the issuance and sale of Rights, the actions described in paragraph 6 below shall have been taken; and</w:t>
      </w:r>
    </w:p>
    <w:p>
      <w:pPr>
        <w:spacing w:after="0" w:line="20" w:lineRule="exact"/>
        <w:rPr>
          <w:rFonts w:ascii="Arial" w:cs="Arial" w:eastAsia="Arial" w:hAnsi="Arial"/>
          <w:sz w:val="17"/>
          <w:szCs w:val="17"/>
          <w:color w:val="auto"/>
        </w:rPr>
      </w:pPr>
    </w:p>
    <w:p>
      <w:pPr>
        <w:ind w:left="960" w:right="80" w:firstLine="8"/>
        <w:spacing w:after="0" w:line="255" w:lineRule="auto"/>
        <w:tabs>
          <w:tab w:leader="none" w:pos="1215" w:val="left"/>
        </w:tabs>
        <w:numPr>
          <w:ilvl w:val="1"/>
          <w:numId w:val="79"/>
        </w:numPr>
        <w:rPr>
          <w:rFonts w:ascii="Arial" w:cs="Arial" w:eastAsia="Arial" w:hAnsi="Arial"/>
          <w:sz w:val="18"/>
          <w:szCs w:val="18"/>
          <w:color w:val="auto"/>
        </w:rPr>
      </w:pPr>
      <w:r>
        <w:rPr>
          <w:rFonts w:ascii="Arial" w:cs="Arial" w:eastAsia="Arial" w:hAnsi="Arial"/>
          <w:sz w:val="18"/>
          <w:szCs w:val="18"/>
          <w:color w:val="auto"/>
        </w:rPr>
        <w:t>certificates representing such Units shall have been duly executed, countersigned and registered in accordance with such Unit Agreement and shall have been duly delivered in accordance with the applicable definitive purchase, underwriting or similar agreement to purchasers thereof against payment of the agreed consideration therefor.</w:t>
      </w:r>
    </w:p>
    <w:p>
      <w:pPr>
        <w:sectPr>
          <w:pgSz w:w="11900" w:h="16838" w:orient="portrait"/>
          <w:cols w:equalWidth="0" w:num="1">
            <w:col w:w="11000"/>
          </w:cols>
          <w:pgMar w:left="440" w:top="1016"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8" w:lineRule="exact"/>
        <w:rPr>
          <w:sz w:val="20"/>
          <w:szCs w:val="20"/>
          <w:color w:val="auto"/>
        </w:rPr>
      </w:pPr>
    </w:p>
    <w:p>
      <w:pPr>
        <w:ind w:left="960" w:hanging="532"/>
        <w:spacing w:after="0" w:line="286" w:lineRule="auto"/>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 respect to an offering of Rights covered by the Registration Statement, such Rights will constitute valid and binding obligations of the Company when: (i) the Registration Statement, as finally amended (including any necessary post- effective amendments), shall have become effective under the Securities Act; (ii) a prospectus supplement with respect to such Rights and the Common Stock, Preferred Stock, Debt Securities or Units, as the case may be, issuable upon exercise of such Rights shall have been filed with the SEC in compliance with the Securities Act and the rules and regulations thereunder; (iii) a Rights Agreement relating to such Rights shall have been duly authorized, executed and delivered by the Company and duly executed and delivered by the Rights Agent named in the Rights Agreement; (iv) the Board or a duly authorized committee thereof shall have duly adopted final resolutions in conformity with the Charter, the Bylaws and the Resolutions authorizing the execution and delivery of the Rights Agreement and the execution, delivery, issuance and sale of such Rights; (v) if such Rights relate to the issuance and sale of Common Stock, the actions described in paragraph 1 above shall have been taken; (vi) if such Rights relate to the issuance and sale of Preferred Stock, the actions described in paragraph 2 above shall have been taken; (vii) if such Rights relate to the issuance and sale of Debt Securities, the actions described in paragraph 3 above shall have been taken; (viii) if such Rights relate to the issuance and sale of Units, the actions described in paragraph 5 above shall have been taken; and (xi) certificates representing such Rights shall have been duly executed, countersigned and registered in accordance with the Rights Agreement and shall have been duly delivered in accordance with the applicable definitive purchase, underwriting or similar agreement to the purchasers thereof against payment of the agreed consideration therefor.</w:t>
      </w:r>
    </w:p>
    <w:p>
      <w:pPr>
        <w:spacing w:after="0" w:line="16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Our opinion is also subject to (i) provisions of law which may require that a judgment for money damages rendered by a court in the United States of America be expressed only in United States dollars, (ii) requirements that a claim with respect to any Debt Securities or other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sectPr>
          <w:pgSz w:w="11900" w:h="16838" w:orient="portrait"/>
          <w:cols w:equalWidth="0" w:num="1">
            <w:col w:w="11020"/>
          </w:cols>
          <w:pgMar w:left="440" w:top="1016"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letter, we have assumed that, at the time of the issuance, sale and delivery of any of the Securities:</w:t>
      </w:r>
    </w:p>
    <w:p>
      <w:pPr>
        <w:spacing w:after="0" w:line="131" w:lineRule="exact"/>
        <w:rPr>
          <w:sz w:val="20"/>
          <w:szCs w:val="20"/>
          <w:color w:val="auto"/>
        </w:rPr>
      </w:pPr>
    </w:p>
    <w:p>
      <w:pPr>
        <w:ind w:left="960" w:right="16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Securities being offered will be issued and sold as contemplated in the Registration Statement and the prospectus supplement relating thereto;</w:t>
      </w:r>
    </w:p>
    <w:p>
      <w:pPr>
        <w:spacing w:after="0" w:line="75"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each Indenture, each Warrant Agreement, each Unit Agreement and each Rights Agreement, as applicable, and the issuance sale and delivery of the Securities will not (A) contravene or violate the Charter or Bylaws, (B) violate any law, rule or regulation applicable to the Company, (C) 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spacing w:after="0" w:line="100"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authorization thereof by the Company will not have been modified or rescinded, and there will not have occurred any change in law affecting the validity, legally binding character or enforceability thereof;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Charter and the Bylaws, each as currently in effect, will not have been modified or amended and will be in full force and effect.</w:t>
      </w:r>
    </w:p>
    <w:p>
      <w:pPr>
        <w:spacing w:after="0" w:line="23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have further assumed that each Warrant Agreement, each Rights Agreement, each Unit Agreement, each Warrant, each Right, each Unit, each Indenture, each indenture supplement to the Indenture and each Debt Security will be governed by the laws of the State of New York.</w:t>
      </w:r>
    </w:p>
    <w:p>
      <w:pPr>
        <w:spacing w:after="0" w:line="146"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With respect to each instrument or agreement referred to in or otherwise relevant to the opinions set forth herein (each, an “</w:t>
      </w:r>
      <w:r>
        <w:rPr>
          <w:rFonts w:ascii="Arial" w:cs="Arial" w:eastAsia="Arial" w:hAnsi="Arial"/>
          <w:sz w:val="16"/>
          <w:szCs w:val="16"/>
          <w:u w:val="single" w:color="auto"/>
          <w:color w:val="auto"/>
        </w:rPr>
        <w:t>Instrument</w:t>
      </w:r>
      <w:r>
        <w:rPr>
          <w:rFonts w:ascii="Arial" w:cs="Arial" w:eastAsia="Arial" w:hAnsi="Arial"/>
          <w:sz w:val="16"/>
          <w:szCs w:val="16"/>
          <w:color w:val="auto"/>
        </w:rPr>
        <w:t>”),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w:t>
      </w:r>
    </w:p>
    <w:p>
      <w:pPr>
        <w:sectPr>
          <w:pgSz w:w="11900" w:h="16838" w:orient="portrait"/>
          <w:cols w:equalWidth="0" w:num="1">
            <w:col w:w="11000"/>
          </w:cols>
          <w:pgMar w:left="440" w:top="1016"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316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Sidley Austin</w:t>
      </w:r>
    </w:p>
    <w:p>
      <w:pPr>
        <w:sectPr>
          <w:pgSz w:w="11900" w:h="16838" w:orient="portrait"/>
          <w:cols w:equalWidth="0" w:num="1">
            <w:col w:w="10720"/>
          </w:cols>
          <w:pgMar w:left="440" w:top="1016" w:right="7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Tempest Therapeutics, Inc. for the registration of its common stock, preferred stock, debt securities, warrants, units, and rights to purchase common stock, preferred stock, debt securities or units, and to the incorporation by reference therein of our report dated March 29, 2021, with respect to the consolidated financial statements of Millendo Therapeutics, Inc. included in its Annual Report (Form 10-K) for the year ended December 31, 2020,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ectPr>
          <w:pgSz w:w="11900" w:h="16838" w:orient="portrait"/>
          <w:cols w:equalWidth="0" w:num="1">
            <w:col w:w="11020"/>
          </w:cols>
          <w:pgMar w:left="440" w:top="121"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May 10, 2021 relating to the financial statements of Tempest Therapeutics, Inc. appearing in the Current Report on Form 8-K of Tempest Therapeutics, Inc. filed on July 16, 2021.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lvl w:ilvl="1">
      <w:lvlJc w:val="left"/>
      <w:lvlText w:val="(%2)"/>
      <w:numFmt w:val="lowerRoman"/>
      <w:start w:val="1"/>
    </w:lvl>
  </w:abstractNum>
  <w:abstractNum w:abstractNumId="29">
    <w:nsid w:val="649BB77C"/>
    <w:multiLevelType w:val="hybridMultilevel"/>
    <w:lvl w:ilvl="0">
      <w:lvlJc w:val="left"/>
      <w:lvlText w:val="(%1)"/>
      <w:numFmt w:val="decimal"/>
      <w:start w:val="2"/>
    </w:lvl>
    <w:lvl w:ilvl="1">
      <w:lvlJc w:val="left"/>
      <w:lvlText w:val="(%2)"/>
      <w:numFmt w:val="lowerRoman"/>
      <w:start w:val="1"/>
    </w:lvl>
  </w:abstractNum>
  <w:abstractNum w:abstractNumId="30">
    <w:nsid w:val="275AC794"/>
    <w:multiLevelType w:val="hybridMultilevel"/>
    <w:lvl w:ilvl="0">
      <w:lvlJc w:val="left"/>
      <w:lvlText w:val="(%1)"/>
      <w:numFmt w:val="decimal"/>
      <w:start w:val="7"/>
    </w:lvl>
  </w:abstractNum>
  <w:abstractNum w:abstractNumId="31">
    <w:nsid w:val="39386575"/>
    <w:multiLevelType w:val="hybridMultilevel"/>
    <w:lvl w:ilvl="0">
      <w:lvlJc w:val="left"/>
      <w:lvlText w:val="(%1)"/>
      <w:numFmt w:val="lowerLetter"/>
      <w:start w:val="1"/>
    </w:lvl>
    <w:lvl w:ilvl="1">
      <w:lvlJc w:val="left"/>
      <w:lvlText w:val="(%2)"/>
      <w:numFmt w:val="decimal"/>
      <w:start w:val="1"/>
    </w:lvl>
  </w:abstractNum>
  <w:abstractNum w:abstractNumId="32">
    <w:nsid w:val="1CF10FD8"/>
    <w:multiLevelType w:val="hybridMultilevel"/>
    <w:lvl w:ilvl="0">
      <w:lvlJc w:val="left"/>
      <w:lvlText w:val="(%1)"/>
      <w:numFmt w:val="decimal"/>
      <w:start w:val="13"/>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2"/>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1)"/>
      <w:numFmt w:val="lowerLetter"/>
      <w:start w:val="3"/>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2"/>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1"/>
    </w:lvl>
    <w:lvl w:ilvl="1">
      <w:lvlJc w:val="left"/>
      <w:lvlText w:val="(%2)"/>
      <w:numFmt w:val="decimal"/>
      <w:start w:val="1"/>
    </w:lvl>
  </w:abstractNum>
  <w:abstractNum w:abstractNumId="42">
    <w:nsid w:val="61574095"/>
    <w:multiLevelType w:val="hybridMultilevel"/>
    <w:lvl w:ilvl="0">
      <w:lvlJc w:val="left"/>
      <w:lvlText w:val="%1"/>
      <w:numFmt w:val="lowerLetter"/>
      <w:start w:val="1"/>
    </w:lvl>
    <w:lvl w:ilvl="1">
      <w:lvlJc w:val="left"/>
      <w:lvlText w:val="(%2)"/>
      <w:numFmt w:val="decimal"/>
      <w:start w:val="2"/>
    </w:lvl>
  </w:abstractNum>
  <w:abstractNum w:abstractNumId="43">
    <w:nsid w:val="7E0C57B1"/>
    <w:multiLevelType w:val="hybridMultilevel"/>
    <w:lvl w:ilvl="0">
      <w:lvlJc w:val="left"/>
      <w:lvlText w:val="(%1)"/>
      <w:numFmt w:val="lowerLetter"/>
      <w:start w:val="2"/>
    </w:lvl>
    <w:lvl w:ilvl="1">
      <w:lvlJc w:val="left"/>
      <w:lvlText w:val="%2"/>
      <w:numFmt w:val="decimal"/>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2"/>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9">
    <w:nsid w:val="25A70BF7"/>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0">
    <w:nsid w:val="1DBABF00"/>
    <w:multiLevelType w:val="hybridMultilevel"/>
    <w:lvl w:ilvl="0">
      <w:lvlJc w:val="left"/>
      <w:lvlText w:val="(%1)"/>
      <w:numFmt w:val="lowerLetter"/>
      <w:start w:val="4"/>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4"/>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
    <w:nsid w:val="100F8FCA"/>
    <w:multiLevelType w:val="hybridMultilevel"/>
    <w:lvl w:ilvl="0">
      <w:lvlJc w:val="left"/>
      <w:lvlText w:val="(%1)"/>
      <w:numFmt w:val="lowerRoman"/>
      <w:start w:val="6"/>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9"/>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1"/>
    </w:lvl>
    <w:lvl w:ilvl="1">
      <w:lvlJc w:val="left"/>
      <w:lvlText w:val="(%2)"/>
      <w:numFmt w:val="lowerRoman"/>
      <w:start w:val="1"/>
    </w:lvl>
  </w:abstractNum>
  <w:abstractNum w:abstractNumId="61">
    <w:nsid w:val="6B94764"/>
    <w:multiLevelType w:val="hybridMultilevel"/>
    <w:lvl w:ilvl="0">
      <w:lvlJc w:val="left"/>
      <w:lvlText w:val="(%1)"/>
      <w:numFmt w:val="lowerLetter"/>
      <w:start w:val="3"/>
    </w:lvl>
  </w:abstractNum>
  <w:abstractNum w:abstractNumId="62">
    <w:nsid w:val="42C296BD"/>
    <w:multiLevelType w:val="hybridMultilevel"/>
    <w:lvl w:ilvl="0">
      <w:lvlJc w:val="left"/>
      <w:lvlText w:val="(%1)"/>
      <w:numFmt w:val="lowerLetter"/>
      <w:start w:val="5"/>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8"/>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2"/>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2"/>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lvl w:ilvl="1">
      <w:lvlJc w:val="left"/>
      <w:lvlText w:val="(%2)"/>
      <w:numFmt w:val="lowerRoman"/>
      <w:start w:val="4"/>
    </w:lvl>
  </w:abstractNum>
  <w:abstractNum w:abstractNumId="76">
    <w:nsid w:val="1A32234B"/>
    <w:multiLevelType w:val="hybridMultilevel"/>
    <w:lvl w:ilvl="0">
      <w:lvlJc w:val="left"/>
      <w:lvlText w:val="%1."/>
      <w:numFmt w:val="decimal"/>
      <w:start w:val="2"/>
    </w:lvl>
    <w:lvl w:ilvl="1">
      <w:lvlJc w:val="left"/>
      <w:lvlText w:val="%2"/>
      <w:numFmt w:val="lowerRoman"/>
      <w:start w:val="1"/>
    </w:lvl>
  </w:abstractNum>
  <w:abstractNum w:abstractNumId="77">
    <w:nsid w:val="3B0FD379"/>
    <w:multiLevelType w:val="hybridMultilevel"/>
    <w:lvl w:ilvl="0">
      <w:lvlJc w:val="left"/>
      <w:lvlText w:val="%1."/>
      <w:numFmt w:val="decimal"/>
      <w:start w:val="3"/>
    </w:lvl>
  </w:abstractNum>
  <w:abstractNum w:abstractNumId="78">
    <w:nsid w:val="68EB2F63"/>
    <w:multiLevelType w:val="hybridMultilevel"/>
    <w:lvl w:ilvl="0">
      <w:lvlJc w:val="left"/>
      <w:lvlText w:val="%1."/>
      <w:numFmt w:val="decimal"/>
      <w:start w:val="5"/>
    </w:lvl>
    <w:lvl w:ilvl="1">
      <w:lvlJc w:val="left"/>
      <w:lvlText w:val="(%2)"/>
      <w:numFmt w:val="lowerRoman"/>
      <w:start w:val="9"/>
    </w:lvl>
  </w:abstractNum>
  <w:abstractNum w:abstractNumId="79">
    <w:nsid w:val="4962813B"/>
    <w:multiLevelType w:val="hybridMultilevel"/>
    <w:lvl w:ilvl="0">
      <w:lvlJc w:val="left"/>
      <w:lvlText w:val="%1."/>
      <w:numFmt w:val="decimal"/>
      <w:start w:val="6"/>
    </w:lvl>
  </w:abstractNum>
  <w:abstractNum w:abstractNumId="80">
    <w:nsid w:val="60B6DF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jpe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84"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jpeg"/><Relationship Id="rId140" Type="http://schemas.openxmlformats.org/officeDocument/2006/relationships/image" Target="media/image119.png"/><Relationship Id="rId141" Type="http://schemas.openxmlformats.org/officeDocument/2006/relationships/image" Target="media/image120.jpeg"/><Relationship Id="rId142" Type="http://schemas.openxmlformats.org/officeDocument/2006/relationships/image" Target="media/image121.png"/><Relationship Id="rId143" Type="http://schemas.openxmlformats.org/officeDocument/2006/relationships/image" Target="media/image122.jpeg"/><Relationship Id="rId144" Type="http://schemas.openxmlformats.org/officeDocument/2006/relationships/image" Target="media/image123.png"/><Relationship Id="rId145" Type="http://schemas.openxmlformats.org/officeDocument/2006/relationships/image" Target="media/image124.jpeg"/><Relationship Id="rId146" Type="http://schemas.openxmlformats.org/officeDocument/2006/relationships/image" Target="media/image125.png"/><Relationship Id="rId147" Type="http://schemas.openxmlformats.org/officeDocument/2006/relationships/image" Target="media/image126.jpeg"/><Relationship Id="rId148" Type="http://schemas.openxmlformats.org/officeDocument/2006/relationships/image" Target="media/image127.png"/><Relationship Id="rId149" Type="http://schemas.openxmlformats.org/officeDocument/2006/relationships/image" Target="media/image128.jpeg"/><Relationship Id="rId150" Type="http://schemas.openxmlformats.org/officeDocument/2006/relationships/image" Target="media/image129.png"/><Relationship Id="rId151" Type="http://schemas.openxmlformats.org/officeDocument/2006/relationships/image" Target="media/image130.jpeg"/><Relationship Id="rId152" Type="http://schemas.openxmlformats.org/officeDocument/2006/relationships/image" Target="media/image131.png"/><Relationship Id="rId153" Type="http://schemas.openxmlformats.org/officeDocument/2006/relationships/image" Target="media/image132.jpeg"/><Relationship Id="rId60" Type="http://schemas.openxmlformats.org/officeDocument/2006/relationships/hyperlink" Target="http://www.sec.gov/ix?doc=/Archives/edgar/data/0001544227/000154422721000018/mlnd-20201231.htm" TargetMode="External"/><Relationship Id="rId61" Type="http://schemas.openxmlformats.org/officeDocument/2006/relationships/hyperlink" Target="http://www.sec.gov/ix?doc=/Archives/edgar/data/0001544227/000154422721000026/mlnd-20201231.htm" TargetMode="External"/><Relationship Id="rId62" Type="http://schemas.openxmlformats.org/officeDocument/2006/relationships/hyperlink" Target="http://www.sec.gov/ix?doc=/Archives/edgar/data/0001544227/000154422721000029/mlnd-20210331.htm" TargetMode="External"/><Relationship Id="rId63" Type="http://schemas.openxmlformats.org/officeDocument/2006/relationships/hyperlink" Target="http://www.sec.gov/Archives/edgar/data/0001544227/000119312521189024/d165428d8k.htm" TargetMode="External"/><Relationship Id="rId64" Type="http://schemas.openxmlformats.org/officeDocument/2006/relationships/hyperlink" Target="http://www.sec.gov/Archives/edgar/data/0001544227/000119312521209988/d69289d8k.htm" TargetMode="External"/><Relationship Id="rId65" Type="http://schemas.openxmlformats.org/officeDocument/2006/relationships/hyperlink" Target="http://www.sec.gov/Archives/edgar/data/1544227/000119312521212534/d181625d8k.htm" TargetMode="External"/><Relationship Id="rId66" Type="http://schemas.openxmlformats.org/officeDocument/2006/relationships/hyperlink" Target="http://www.sec.gov/Archives/edgar/data/1544227/000119312521217458/d138850d8k.htm" TargetMode="External"/><Relationship Id="rId67" Type="http://schemas.openxmlformats.org/officeDocument/2006/relationships/hyperlink" Target="http://www.sec.gov/Archives/edgar/data/0001544227/000110465913033085/a13-9660_28a12b.htm" TargetMode="External"/><Relationship Id="rId79" Type="http://schemas.openxmlformats.org/officeDocument/2006/relationships/hyperlink" Target="http://www.sec.gov/Archives/edgar/data/1544227/000155837019005038/mlnd-20190331ex31b53fa83.htm" TargetMode="External"/><Relationship Id="rId80" Type="http://schemas.openxmlformats.org/officeDocument/2006/relationships/hyperlink" Target="http://www.sec.gov/Archives/edgar/data/0001544227/000119312521201157/d196630dex31.htm" TargetMode="External"/><Relationship Id="rId81" Type="http://schemas.openxmlformats.org/officeDocument/2006/relationships/hyperlink" Target="http://www.sec.gov/Archives/edgar/data/0001544227/000119312521201157/d196630dex32.htm" TargetMode="External"/><Relationship Id="rId82" Type="http://schemas.openxmlformats.org/officeDocument/2006/relationships/hyperlink" Target="http://www.sec.gov/Archives/edgar/data/1544227/000110465918050995/a18-18482_1ex3d1.htm" TargetMode="External"/><Relationship Id="rId83" Type="http://schemas.openxmlformats.org/officeDocument/2006/relationships/hyperlink" Target="http://www.sec.gov/Archives/edgar/data/1544227/000104746912008575/a2210793zex-4_1.htm" TargetMode="External"/><Relationship Id="rId85" Type="http://schemas.openxmlformats.org/officeDocument/2006/relationships/hyperlink" Target="http://www.sec.gov/Archives/edgar/data/0001544227/000119312521148605/d1507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2021-07-16T16:23:05Z</dcterms:created>
  <dcterms:modified xsi:type="dcterms:W3CDTF">2021-07-16T16:23:05Z</dcterms:modified>
</cp:coreProperties>
</file>