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191770</wp:posOffset>
            </wp:positionH>
            <wp:positionV relativeFrom="page">
              <wp:posOffset>302895</wp:posOffset>
            </wp:positionV>
            <wp:extent cx="715899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990" cy="6350"/>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276860</wp:posOffset>
            </wp:positionV>
            <wp:extent cx="715899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990" cy="6350"/>
                    </a:xfrm>
                    <a:prstGeom prst="rect">
                      <a:avLst/>
                    </a:prstGeom>
                    <a:noFill/>
                  </pic:spPr>
                </pic:pic>
              </a:graphicData>
            </a:graphic>
          </wp:anchor>
        </w:drawing>
        <w:t>UNITED STATES</w:t>
      </w:r>
    </w:p>
    <w:p>
      <w:pPr>
        <w:spacing w:after="0" w:line="26"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56515</wp:posOffset>
            </wp:positionV>
            <wp:extent cx="14135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3510" cy="6350"/>
                    </a:xfrm>
                    <a:prstGeom prst="rect">
                      <a:avLst/>
                    </a:prstGeom>
                    <a:noFill/>
                  </pic:spPr>
                </pic:pic>
              </a:graphicData>
            </a:graphic>
          </wp:anchor>
        </w:drawing>
      </w:r>
    </w:p>
    <w:p>
      <w:pPr>
        <w:spacing w:after="0" w:line="313"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51435</wp:posOffset>
            </wp:positionV>
            <wp:extent cx="14135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3510" cy="6350"/>
                    </a:xfrm>
                    <a:prstGeom prst="rect">
                      <a:avLst/>
                    </a:prstGeom>
                    <a:noFill/>
                  </pic:spPr>
                </pic:pic>
              </a:graphicData>
            </a:graphic>
          </wp:anchor>
        </w:drawing>
      </w:r>
    </w:p>
    <w:p>
      <w:pPr>
        <w:spacing w:after="0" w:line="163" w:lineRule="exact"/>
        <w:rPr>
          <w:sz w:val="24"/>
          <w:szCs w:val="24"/>
          <w:color w:val="auto"/>
        </w:rPr>
      </w:pPr>
    </w:p>
    <w:p>
      <w:pPr>
        <w:ind w:left="9060"/>
        <w:spacing w:after="0"/>
        <w:rPr>
          <w:sz w:val="20"/>
          <w:szCs w:val="20"/>
          <w:color w:val="auto"/>
        </w:rPr>
      </w:pPr>
      <w:r>
        <w:rPr>
          <w:rFonts w:ascii="Arial" w:cs="Arial" w:eastAsia="Arial" w:hAnsi="Arial"/>
          <w:sz w:val="15"/>
          <w:szCs w:val="15"/>
          <w:b w:val="1"/>
          <w:bCs w:val="1"/>
          <w:color w:val="auto"/>
        </w:rPr>
        <w:t>QUARTERLY REPORT PURSU</w:t>
      </w:r>
    </w:p>
    <w:p>
      <w:pPr>
        <w:spacing w:after="0" w:line="34" w:lineRule="exact"/>
        <w:rPr>
          <w:sz w:val="24"/>
          <w:szCs w:val="24"/>
          <w:color w:val="auto"/>
        </w:rPr>
      </w:pPr>
    </w:p>
    <w:p>
      <w:pPr>
        <w:ind w:left="59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THE SECURITIES EXCHANGE ACT OF 1934</w:t>
      </w:r>
    </w:p>
    <w:p>
      <w:pPr>
        <w:spacing w:after="0" w:line="43"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For the quarterly period ended September 30, 2021</w:t>
      </w:r>
    </w:p>
    <w:p>
      <w:pPr>
        <w:jc w:val="center"/>
        <w:ind w:right="80"/>
        <w:spacing w:after="0"/>
        <w:rPr>
          <w:sz w:val="20"/>
          <w:szCs w:val="20"/>
          <w:color w:val="auto"/>
        </w:rPr>
      </w:pPr>
      <w:r>
        <w:rPr>
          <w:rFonts w:ascii="Arial" w:cs="Arial" w:eastAsia="Arial" w:hAnsi="Arial"/>
          <w:sz w:val="14"/>
          <w:szCs w:val="14"/>
          <w:b w:val="1"/>
          <w:bCs w:val="1"/>
          <w:color w:val="auto"/>
        </w:rPr>
        <w:t>OR</w:t>
      </w:r>
    </w:p>
    <w:p>
      <w:pPr>
        <w:spacing w:after="0" w:line="11" w:lineRule="exact"/>
        <w:rPr>
          <w:sz w:val="24"/>
          <w:szCs w:val="24"/>
          <w:color w:val="auto"/>
        </w:rPr>
      </w:pPr>
    </w:p>
    <w:p>
      <w:pPr>
        <w:ind w:left="9060"/>
        <w:spacing w:after="0"/>
        <w:rPr>
          <w:sz w:val="20"/>
          <w:szCs w:val="20"/>
          <w:color w:val="auto"/>
        </w:rPr>
      </w:pPr>
      <w:r>
        <w:rPr>
          <w:rFonts w:ascii="Arial" w:cs="Arial" w:eastAsia="Arial" w:hAnsi="Arial"/>
          <w:sz w:val="16"/>
          <w:szCs w:val="16"/>
          <w:b w:val="1"/>
          <w:bCs w:val="1"/>
          <w:color w:val="auto"/>
        </w:rPr>
        <w:t>TRANSITION REPORT PURSU</w:t>
      </w:r>
    </w:p>
    <w:p>
      <w:pPr>
        <w:spacing w:after="0" w:line="22" w:lineRule="exact"/>
        <w:rPr>
          <w:sz w:val="24"/>
          <w:szCs w:val="24"/>
          <w:color w:val="auto"/>
        </w:rPr>
      </w:pPr>
    </w:p>
    <w:p>
      <w:pPr>
        <w:ind w:left="59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THE SECURITIES EXCHANGE ACT OF 1934</w:t>
      </w:r>
    </w:p>
    <w:p>
      <w:pPr>
        <w:spacing w:after="0" w:line="59" w:lineRule="exact"/>
        <w:rPr>
          <w:sz w:val="24"/>
          <w:szCs w:val="24"/>
          <w:color w:val="auto"/>
        </w:rPr>
      </w:pPr>
    </w:p>
    <w:p>
      <w:pPr>
        <w:jc w:val="center"/>
        <w:ind w:right="80"/>
        <w:spacing w:after="0"/>
        <w:rPr>
          <w:sz w:val="20"/>
          <w:szCs w:val="20"/>
          <w:color w:val="auto"/>
        </w:rPr>
      </w:pPr>
      <w:r>
        <w:rPr>
          <w:rFonts w:ascii="Arial" w:cs="Arial" w:eastAsia="Arial" w:hAnsi="Arial"/>
          <w:sz w:val="12"/>
          <w:szCs w:val="12"/>
          <w:b w:val="1"/>
          <w:bCs w:val="1"/>
          <w:color w:val="auto"/>
        </w:rPr>
        <w:t xml:space="preserve">For the transition period from to </w:t>
      </w:r>
      <w:r>
        <w:rPr>
          <w:rFonts w:ascii="Arial" w:cs="Arial" w:eastAsia="Arial" w:hAnsi="Arial"/>
          <w:sz w:val="12"/>
          <w:szCs w:val="12"/>
          <w:b w:val="1"/>
          <w:bCs w:val="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4025265</wp:posOffset>
            </wp:positionH>
            <wp:positionV relativeFrom="paragraph">
              <wp:posOffset>-2540</wp:posOffset>
            </wp:positionV>
            <wp:extent cx="1968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685" cy="6350"/>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4"/>
          <w:szCs w:val="14"/>
          <w:b w:val="1"/>
          <w:bCs w:val="1"/>
          <w:color w:val="auto"/>
        </w:rPr>
        <w:t>Commission File No. 001-35890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46355</wp:posOffset>
            </wp:positionV>
            <wp:extent cx="137477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4775" cy="6350"/>
                    </a:xfrm>
                    <a:prstGeom prst="rect">
                      <a:avLst/>
                    </a:prstGeom>
                    <a:noFill/>
                  </pic:spPr>
                </pic:pic>
              </a:graphicData>
            </a:graphic>
          </wp:anchor>
        </w:drawing>
      </w:r>
    </w:p>
    <w:p>
      <w:pPr>
        <w:spacing w:after="0" w:line="142" w:lineRule="exact"/>
        <w:rPr>
          <w:sz w:val="24"/>
          <w:szCs w:val="24"/>
          <w:color w:val="auto"/>
        </w:rPr>
      </w:pPr>
    </w:p>
    <w:p>
      <w:pPr>
        <w:jc w:val="center"/>
        <w:ind w:right="80"/>
        <w:spacing w:after="0"/>
        <w:rPr>
          <w:sz w:val="20"/>
          <w:szCs w:val="20"/>
          <w:color w:val="auto"/>
        </w:rPr>
      </w:pPr>
      <w:r>
        <w:rPr>
          <w:rFonts w:ascii="Arial" w:cs="Arial" w:eastAsia="Arial" w:hAnsi="Arial"/>
          <w:sz w:val="33"/>
          <w:szCs w:val="33"/>
          <w:b w:val="1"/>
          <w:bCs w:val="1"/>
          <w:color w:val="auto"/>
        </w:rPr>
        <w:t>Tempest Therapeutics, Inc.</w:t>
      </w:r>
    </w:p>
    <w:p>
      <w:pPr>
        <w:spacing w:after="0" w:line="61" w:lineRule="exact"/>
        <w:rPr>
          <w:sz w:val="24"/>
          <w:szCs w:val="24"/>
          <w:color w:val="auto"/>
        </w:rPr>
      </w:pPr>
    </w:p>
    <w:p>
      <w:pPr>
        <w:jc w:val="center"/>
        <w:ind w:right="8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3074670</wp:posOffset>
            </wp:positionH>
            <wp:positionV relativeFrom="paragraph">
              <wp:posOffset>55245</wp:posOffset>
            </wp:positionV>
            <wp:extent cx="10179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7905" cy="6350"/>
                    </a:xfrm>
                    <a:prstGeom prst="rect">
                      <a:avLst/>
                    </a:prstGeom>
                    <a:noFill/>
                  </pic:spPr>
                </pic:pic>
              </a:graphicData>
            </a:graphic>
          </wp:anchor>
        </w:drawing>
      </w: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3180" w:type="dxa"/>
            <w:vAlign w:val="bottom"/>
          </w:tcPr>
          <w:p>
            <w:pPr>
              <w:spacing w:after="0"/>
              <w:rPr>
                <w:sz w:val="15"/>
                <w:szCs w:val="15"/>
                <w:color w:val="auto"/>
              </w:rPr>
            </w:pPr>
          </w:p>
        </w:tc>
        <w:tc>
          <w:tcPr>
            <w:tcW w:w="3000" w:type="dxa"/>
            <w:vAlign w:val="bottom"/>
            <w:gridSpan w:val="2"/>
          </w:tcPr>
          <w:p>
            <w:pPr>
              <w:jc w:val="center"/>
              <w:ind w:right="961"/>
              <w:spacing w:after="0"/>
              <w:rPr>
                <w:sz w:val="20"/>
                <w:szCs w:val="20"/>
                <w:color w:val="auto"/>
              </w:rPr>
            </w:pPr>
            <w:r>
              <w:rPr>
                <w:rFonts w:ascii="Arial" w:cs="Arial" w:eastAsia="Arial" w:hAnsi="Arial"/>
                <w:sz w:val="14"/>
                <w:szCs w:val="14"/>
                <w:b w:val="1"/>
                <w:bCs w:val="1"/>
                <w:color w:val="auto"/>
                <w:w w:val="87"/>
              </w:rPr>
              <w:t>Delaware</w:t>
            </w:r>
          </w:p>
        </w:tc>
        <w:tc>
          <w:tcPr>
            <w:tcW w:w="3820" w:type="dxa"/>
            <w:vAlign w:val="bottom"/>
            <w:gridSpan w:val="2"/>
          </w:tcPr>
          <w:p>
            <w:pPr>
              <w:jc w:val="right"/>
              <w:ind w:right="2642"/>
              <w:spacing w:after="0"/>
              <w:rPr>
                <w:sz w:val="20"/>
                <w:szCs w:val="20"/>
                <w:color w:val="auto"/>
              </w:rPr>
            </w:pPr>
            <w:r>
              <w:rPr>
                <w:rFonts w:ascii="Arial" w:cs="Arial" w:eastAsia="Arial" w:hAnsi="Arial"/>
                <w:sz w:val="14"/>
                <w:szCs w:val="14"/>
                <w:b w:val="1"/>
                <w:bCs w:val="1"/>
                <w:color w:val="auto"/>
              </w:rPr>
              <w:t>45-1472564</w:t>
            </w:r>
          </w:p>
        </w:tc>
        <w:tc>
          <w:tcPr>
            <w:tcW w:w="0" w:type="dxa"/>
            <w:vAlign w:val="bottom"/>
          </w:tcPr>
          <w:p>
            <w:pPr>
              <w:spacing w:after="0"/>
              <w:rPr>
                <w:sz w:val="1"/>
                <w:szCs w:val="1"/>
                <w:color w:val="auto"/>
              </w:rPr>
            </w:pPr>
          </w:p>
        </w:tc>
      </w:tr>
      <w:tr>
        <w:trPr>
          <w:trHeight w:val="166"/>
        </w:trPr>
        <w:tc>
          <w:tcPr>
            <w:tcW w:w="3180" w:type="dxa"/>
            <w:vAlign w:val="bottom"/>
          </w:tcPr>
          <w:p>
            <w:pPr>
              <w:spacing w:after="0"/>
              <w:rPr>
                <w:sz w:val="14"/>
                <w:szCs w:val="14"/>
                <w:color w:val="auto"/>
              </w:rPr>
            </w:pPr>
          </w:p>
        </w:tc>
        <w:tc>
          <w:tcPr>
            <w:tcW w:w="3000" w:type="dxa"/>
            <w:vAlign w:val="bottom"/>
            <w:gridSpan w:val="2"/>
          </w:tcPr>
          <w:p>
            <w:pPr>
              <w:jc w:val="center"/>
              <w:ind w:right="961"/>
              <w:spacing w:after="0"/>
              <w:rPr>
                <w:sz w:val="20"/>
                <w:szCs w:val="20"/>
                <w:color w:val="auto"/>
              </w:rPr>
            </w:pPr>
            <w:r>
              <w:rPr>
                <w:rFonts w:ascii="Arial" w:cs="Arial" w:eastAsia="Arial" w:hAnsi="Arial"/>
                <w:sz w:val="11"/>
                <w:szCs w:val="11"/>
                <w:color w:val="auto"/>
                <w:w w:val="90"/>
              </w:rPr>
              <w:t>(State or Other Jurisdiction of</w:t>
            </w:r>
          </w:p>
        </w:tc>
        <w:tc>
          <w:tcPr>
            <w:tcW w:w="3820" w:type="dxa"/>
            <w:vAlign w:val="bottom"/>
            <w:gridSpan w:val="2"/>
          </w:tcPr>
          <w:p>
            <w:pPr>
              <w:jc w:val="center"/>
              <w:ind w:right="2182"/>
              <w:spacing w:after="0"/>
              <w:rPr>
                <w:sz w:val="20"/>
                <w:szCs w:val="20"/>
                <w:color w:val="auto"/>
              </w:rPr>
            </w:pPr>
            <w:r>
              <w:rPr>
                <w:rFonts w:ascii="Arial" w:cs="Arial" w:eastAsia="Arial" w:hAnsi="Arial"/>
                <w:sz w:val="11"/>
                <w:szCs w:val="11"/>
                <w:color w:val="auto"/>
                <w:w w:val="91"/>
              </w:rPr>
              <w:t>(I.R.S. Employer</w:t>
            </w:r>
          </w:p>
        </w:tc>
        <w:tc>
          <w:tcPr>
            <w:tcW w:w="0" w:type="dxa"/>
            <w:vAlign w:val="bottom"/>
          </w:tcPr>
          <w:p>
            <w:pPr>
              <w:spacing w:after="0"/>
              <w:rPr>
                <w:sz w:val="1"/>
                <w:szCs w:val="1"/>
                <w:color w:val="auto"/>
              </w:rPr>
            </w:pPr>
          </w:p>
        </w:tc>
      </w:tr>
      <w:tr>
        <w:trPr>
          <w:trHeight w:val="163"/>
        </w:trPr>
        <w:tc>
          <w:tcPr>
            <w:tcW w:w="3180" w:type="dxa"/>
            <w:vAlign w:val="bottom"/>
          </w:tcPr>
          <w:p>
            <w:pPr>
              <w:spacing w:after="0"/>
              <w:rPr>
                <w:sz w:val="14"/>
                <w:szCs w:val="14"/>
                <w:color w:val="auto"/>
              </w:rPr>
            </w:pPr>
          </w:p>
        </w:tc>
        <w:tc>
          <w:tcPr>
            <w:tcW w:w="3000" w:type="dxa"/>
            <w:vAlign w:val="bottom"/>
            <w:gridSpan w:val="2"/>
          </w:tcPr>
          <w:p>
            <w:pPr>
              <w:jc w:val="center"/>
              <w:ind w:right="961"/>
              <w:spacing w:after="0"/>
              <w:rPr>
                <w:sz w:val="20"/>
                <w:szCs w:val="20"/>
                <w:color w:val="auto"/>
              </w:rPr>
            </w:pPr>
            <w:r>
              <w:rPr>
                <w:rFonts w:ascii="Arial" w:cs="Arial" w:eastAsia="Arial" w:hAnsi="Arial"/>
                <w:sz w:val="11"/>
                <w:szCs w:val="11"/>
                <w:color w:val="auto"/>
                <w:w w:val="91"/>
              </w:rPr>
              <w:t>Incorporation or Organization)</w:t>
            </w:r>
          </w:p>
        </w:tc>
        <w:tc>
          <w:tcPr>
            <w:tcW w:w="3820" w:type="dxa"/>
            <w:vAlign w:val="bottom"/>
            <w:gridSpan w:val="2"/>
          </w:tcPr>
          <w:p>
            <w:pPr>
              <w:jc w:val="center"/>
              <w:ind w:right="2202"/>
              <w:spacing w:after="0"/>
              <w:rPr>
                <w:sz w:val="20"/>
                <w:szCs w:val="20"/>
                <w:color w:val="auto"/>
              </w:rPr>
            </w:pPr>
            <w:r>
              <w:rPr>
                <w:rFonts w:ascii="Arial" w:cs="Arial" w:eastAsia="Arial" w:hAnsi="Arial"/>
                <w:sz w:val="11"/>
                <w:szCs w:val="11"/>
                <w:color w:val="auto"/>
                <w:w w:val="93"/>
              </w:rPr>
              <w:t>Identification No.)</w:t>
            </w:r>
          </w:p>
        </w:tc>
        <w:tc>
          <w:tcPr>
            <w:tcW w:w="0" w:type="dxa"/>
            <w:vAlign w:val="bottom"/>
          </w:tcPr>
          <w:p>
            <w:pPr>
              <w:spacing w:after="0"/>
              <w:rPr>
                <w:sz w:val="1"/>
                <w:szCs w:val="1"/>
                <w:color w:val="auto"/>
              </w:rPr>
            </w:pPr>
          </w:p>
        </w:tc>
      </w:tr>
      <w:tr>
        <w:trPr>
          <w:trHeight w:val="202"/>
        </w:trPr>
        <w:tc>
          <w:tcPr>
            <w:tcW w:w="3180" w:type="dxa"/>
            <w:vAlign w:val="bottom"/>
          </w:tcPr>
          <w:p>
            <w:pPr>
              <w:spacing w:after="0"/>
              <w:rPr>
                <w:sz w:val="17"/>
                <w:szCs w:val="17"/>
                <w:color w:val="auto"/>
              </w:rPr>
            </w:pPr>
          </w:p>
        </w:tc>
        <w:tc>
          <w:tcPr>
            <w:tcW w:w="3000" w:type="dxa"/>
            <w:vAlign w:val="bottom"/>
            <w:gridSpan w:val="2"/>
          </w:tcPr>
          <w:p>
            <w:pPr>
              <w:jc w:val="center"/>
              <w:ind w:right="981"/>
              <w:spacing w:after="0"/>
              <w:rPr>
                <w:sz w:val="20"/>
                <w:szCs w:val="20"/>
                <w:color w:val="auto"/>
              </w:rPr>
            </w:pPr>
            <w:r>
              <w:rPr>
                <w:rFonts w:ascii="Arial" w:cs="Arial" w:eastAsia="Arial" w:hAnsi="Arial"/>
                <w:sz w:val="14"/>
                <w:szCs w:val="14"/>
                <w:b w:val="1"/>
                <w:bCs w:val="1"/>
                <w:color w:val="auto"/>
                <w:w w:val="87"/>
              </w:rPr>
              <w:t>7000 Shoreline Court, Suite 275</w:t>
            </w:r>
          </w:p>
        </w:tc>
        <w:tc>
          <w:tcPr>
            <w:tcW w:w="5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80" w:type="dxa"/>
            <w:vAlign w:val="bottom"/>
          </w:tcPr>
          <w:p>
            <w:pPr>
              <w:spacing w:after="0"/>
              <w:rPr>
                <w:sz w:val="17"/>
                <w:szCs w:val="17"/>
                <w:color w:val="auto"/>
              </w:rPr>
            </w:pPr>
          </w:p>
        </w:tc>
        <w:tc>
          <w:tcPr>
            <w:tcW w:w="3000" w:type="dxa"/>
            <w:vAlign w:val="bottom"/>
            <w:gridSpan w:val="2"/>
          </w:tcPr>
          <w:p>
            <w:pPr>
              <w:jc w:val="center"/>
              <w:ind w:right="961"/>
              <w:spacing w:after="0"/>
              <w:rPr>
                <w:sz w:val="20"/>
                <w:szCs w:val="20"/>
                <w:color w:val="auto"/>
              </w:rPr>
            </w:pPr>
            <w:r>
              <w:rPr>
                <w:rFonts w:ascii="Arial" w:cs="Arial" w:eastAsia="Arial" w:hAnsi="Arial"/>
                <w:sz w:val="14"/>
                <w:szCs w:val="14"/>
                <w:b w:val="1"/>
                <w:bCs w:val="1"/>
                <w:color w:val="auto"/>
                <w:w w:val="87"/>
              </w:rPr>
              <w:t>South San Francisco, California</w:t>
            </w:r>
          </w:p>
        </w:tc>
        <w:tc>
          <w:tcPr>
            <w:tcW w:w="3820" w:type="dxa"/>
            <w:vAlign w:val="bottom"/>
            <w:gridSpan w:val="2"/>
          </w:tcPr>
          <w:p>
            <w:pPr>
              <w:jc w:val="right"/>
              <w:ind w:right="2802"/>
              <w:spacing w:after="0"/>
              <w:rPr>
                <w:sz w:val="20"/>
                <w:szCs w:val="20"/>
                <w:color w:val="auto"/>
              </w:rPr>
            </w:pPr>
            <w:r>
              <w:rPr>
                <w:rFonts w:ascii="Arial" w:cs="Arial" w:eastAsia="Arial" w:hAnsi="Arial"/>
                <w:sz w:val="14"/>
                <w:szCs w:val="14"/>
                <w:b w:val="1"/>
                <w:bCs w:val="1"/>
                <w:color w:val="auto"/>
              </w:rPr>
              <w:t>94080</w:t>
            </w:r>
          </w:p>
        </w:tc>
        <w:tc>
          <w:tcPr>
            <w:tcW w:w="0" w:type="dxa"/>
            <w:vAlign w:val="bottom"/>
          </w:tcPr>
          <w:p>
            <w:pPr>
              <w:spacing w:after="0"/>
              <w:rPr>
                <w:sz w:val="1"/>
                <w:szCs w:val="1"/>
                <w:color w:val="auto"/>
              </w:rPr>
            </w:pPr>
          </w:p>
        </w:tc>
      </w:tr>
      <w:tr>
        <w:trPr>
          <w:trHeight w:val="166"/>
        </w:trPr>
        <w:tc>
          <w:tcPr>
            <w:tcW w:w="3180" w:type="dxa"/>
            <w:vAlign w:val="bottom"/>
          </w:tcPr>
          <w:p>
            <w:pPr>
              <w:spacing w:after="0"/>
              <w:rPr>
                <w:sz w:val="14"/>
                <w:szCs w:val="14"/>
                <w:color w:val="auto"/>
              </w:rPr>
            </w:pPr>
          </w:p>
        </w:tc>
        <w:tc>
          <w:tcPr>
            <w:tcW w:w="3000" w:type="dxa"/>
            <w:vAlign w:val="bottom"/>
            <w:gridSpan w:val="2"/>
          </w:tcPr>
          <w:p>
            <w:pPr>
              <w:jc w:val="center"/>
              <w:ind w:right="961"/>
              <w:spacing w:after="0"/>
              <w:rPr>
                <w:sz w:val="20"/>
                <w:szCs w:val="20"/>
                <w:color w:val="auto"/>
              </w:rPr>
            </w:pPr>
            <w:r>
              <w:rPr>
                <w:rFonts w:ascii="Arial" w:cs="Arial" w:eastAsia="Arial" w:hAnsi="Arial"/>
                <w:sz w:val="11"/>
                <w:szCs w:val="11"/>
                <w:color w:val="auto"/>
                <w:w w:val="92"/>
              </w:rPr>
              <w:t>(Address of Principal Executive Offices)</w:t>
            </w:r>
          </w:p>
        </w:tc>
        <w:tc>
          <w:tcPr>
            <w:tcW w:w="540" w:type="dxa"/>
            <w:vAlign w:val="bottom"/>
          </w:tcPr>
          <w:p>
            <w:pPr>
              <w:spacing w:after="0"/>
              <w:rPr>
                <w:sz w:val="14"/>
                <w:szCs w:val="14"/>
                <w:color w:val="auto"/>
              </w:rPr>
            </w:pPr>
          </w:p>
        </w:tc>
        <w:tc>
          <w:tcPr>
            <w:tcW w:w="3280" w:type="dxa"/>
            <w:vAlign w:val="bottom"/>
          </w:tcPr>
          <w:p>
            <w:pPr>
              <w:jc w:val="center"/>
              <w:ind w:right="2742"/>
              <w:spacing w:after="0"/>
              <w:rPr>
                <w:sz w:val="20"/>
                <w:szCs w:val="20"/>
                <w:color w:val="auto"/>
              </w:rPr>
            </w:pPr>
            <w:r>
              <w:rPr>
                <w:rFonts w:ascii="Arial" w:cs="Arial" w:eastAsia="Arial" w:hAnsi="Arial"/>
                <w:sz w:val="11"/>
                <w:szCs w:val="11"/>
                <w:color w:val="auto"/>
                <w:w w:val="92"/>
              </w:rPr>
              <w:t>(Zip Code)</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p>
        </w:tc>
        <w:tc>
          <w:tcPr>
            <w:tcW w:w="6820" w:type="dxa"/>
            <w:vAlign w:val="bottom"/>
            <w:gridSpan w:val="4"/>
          </w:tcPr>
          <w:p>
            <w:pPr>
              <w:jc w:val="center"/>
              <w:ind w:right="2002"/>
              <w:spacing w:after="0"/>
              <w:rPr>
                <w:sz w:val="20"/>
                <w:szCs w:val="20"/>
                <w:color w:val="auto"/>
              </w:rPr>
            </w:pPr>
            <w:r>
              <w:rPr>
                <w:rFonts w:ascii="Arial" w:cs="Arial" w:eastAsia="Arial" w:hAnsi="Arial"/>
                <w:sz w:val="14"/>
                <w:szCs w:val="14"/>
                <w:b w:val="1"/>
                <w:bCs w:val="1"/>
                <w:color w:val="auto"/>
                <w:w w:val="87"/>
              </w:rPr>
              <w:t>Registrant’s telephone number, including area code: (415) 798-8589</w:t>
            </w: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6820" w:type="dxa"/>
            <w:vAlign w:val="bottom"/>
            <w:gridSpan w:val="4"/>
          </w:tcPr>
          <w:p>
            <w:pPr>
              <w:jc w:val="center"/>
              <w:ind w:right="1982"/>
              <w:spacing w:after="0"/>
              <w:rPr>
                <w:sz w:val="20"/>
                <w:szCs w:val="20"/>
                <w:color w:val="auto"/>
              </w:rPr>
            </w:pPr>
            <w:r>
              <w:rPr>
                <w:rFonts w:ascii="Arial" w:cs="Arial" w:eastAsia="Arial" w:hAnsi="Arial"/>
                <w:sz w:val="11"/>
                <w:szCs w:val="11"/>
                <w:b w:val="1"/>
                <w:bCs w:val="1"/>
                <w:color w:val="auto"/>
                <w:w w:val="90"/>
              </w:rPr>
              <w:t>(Former Name, Former Address and Former Fiscal Year, if Changed Since Last Report)</w:t>
            </w:r>
          </w:p>
        </w:tc>
        <w:tc>
          <w:tcPr>
            <w:tcW w:w="0" w:type="dxa"/>
            <w:vAlign w:val="bottom"/>
          </w:tcPr>
          <w:p>
            <w:pPr>
              <w:spacing w:after="0"/>
              <w:rPr>
                <w:sz w:val="1"/>
                <w:szCs w:val="1"/>
                <w:color w:val="auto"/>
              </w:rPr>
            </w:pPr>
          </w:p>
        </w:tc>
      </w:tr>
      <w:tr>
        <w:trPr>
          <w:trHeight w:val="70"/>
        </w:trPr>
        <w:tc>
          <w:tcPr>
            <w:tcW w:w="3180" w:type="dxa"/>
            <w:vAlign w:val="bottom"/>
            <w:vMerge w:val="restart"/>
          </w:tcPr>
          <w:p>
            <w:pPr>
              <w:spacing w:after="0"/>
              <w:rPr>
                <w:sz w:val="20"/>
                <w:szCs w:val="20"/>
                <w:color w:val="auto"/>
              </w:rPr>
            </w:pPr>
            <w:r>
              <w:rPr>
                <w:rFonts w:ascii="Arial" w:cs="Arial" w:eastAsia="Arial" w:hAnsi="Arial"/>
                <w:sz w:val="14"/>
                <w:szCs w:val="14"/>
                <w:color w:val="auto"/>
                <w:w w:val="88"/>
              </w:rPr>
              <w:t>Securities registered pursuant to Section 12(b) of the Act:</w:t>
            </w:r>
          </w:p>
        </w:tc>
        <w:tc>
          <w:tcPr>
            <w:tcW w:w="174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318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1"/>
                <w:szCs w:val="11"/>
                <w:b w:val="1"/>
                <w:bCs w:val="1"/>
                <w:color w:val="auto"/>
                <w:w w:val="94"/>
              </w:rPr>
              <w:t>Trading</w:t>
            </w:r>
          </w:p>
        </w:tc>
        <w:tc>
          <w:tcPr>
            <w:tcW w:w="540" w:type="dxa"/>
            <w:vAlign w:val="bottom"/>
          </w:tcPr>
          <w:p>
            <w:pPr>
              <w:spacing w:after="0"/>
              <w:rPr>
                <w:sz w:val="22"/>
                <w:szCs w:val="22"/>
                <w:color w:val="auto"/>
              </w:rPr>
            </w:pPr>
          </w:p>
        </w:tc>
        <w:tc>
          <w:tcPr>
            <w:tcW w:w="3280" w:type="dxa"/>
            <w:vAlign w:val="bottom"/>
          </w:tcPr>
          <w:p>
            <w:pPr>
              <w:jc w:val="center"/>
              <w:ind w:left="582"/>
              <w:spacing w:after="0"/>
              <w:rPr>
                <w:sz w:val="20"/>
                <w:szCs w:val="20"/>
                <w:color w:val="auto"/>
              </w:rPr>
            </w:pPr>
            <w:r>
              <w:rPr>
                <w:rFonts w:ascii="Arial" w:cs="Arial" w:eastAsia="Arial" w:hAnsi="Arial"/>
                <w:sz w:val="11"/>
                <w:szCs w:val="11"/>
                <w:b w:val="1"/>
                <w:bCs w:val="1"/>
                <w:color w:val="auto"/>
                <w:w w:val="86"/>
              </w:rPr>
              <w:t>Name of each exchange</w:t>
            </w:r>
          </w:p>
        </w:tc>
        <w:tc>
          <w:tcPr>
            <w:tcW w:w="0" w:type="dxa"/>
            <w:vAlign w:val="bottom"/>
          </w:tcPr>
          <w:p>
            <w:pPr>
              <w:spacing w:after="0"/>
              <w:rPr>
                <w:sz w:val="1"/>
                <w:szCs w:val="1"/>
                <w:color w:val="auto"/>
              </w:rPr>
            </w:pPr>
          </w:p>
        </w:tc>
      </w:tr>
      <w:tr>
        <w:trPr>
          <w:trHeight w:val="255"/>
        </w:trPr>
        <w:tc>
          <w:tcPr>
            <w:tcW w:w="3180" w:type="dxa"/>
            <w:vAlign w:val="bottom"/>
            <w:tcBorders>
              <w:bottom w:val="single" w:sz="8" w:color="auto"/>
            </w:tcBorders>
          </w:tcPr>
          <w:p>
            <w:pPr>
              <w:ind w:left="1480"/>
              <w:spacing w:after="0"/>
              <w:rPr>
                <w:sz w:val="20"/>
                <w:szCs w:val="20"/>
                <w:color w:val="auto"/>
              </w:rPr>
            </w:pPr>
            <w:r>
              <w:rPr>
                <w:rFonts w:ascii="Arial" w:cs="Arial" w:eastAsia="Arial" w:hAnsi="Arial"/>
                <w:sz w:val="11"/>
                <w:szCs w:val="11"/>
                <w:b w:val="1"/>
                <w:bCs w:val="1"/>
                <w:color w:val="auto"/>
              </w:rPr>
              <w:t>Title of each class</w:t>
            </w:r>
          </w:p>
        </w:tc>
        <w:tc>
          <w:tcPr>
            <w:tcW w:w="17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Symbol(s)</w:t>
            </w:r>
          </w:p>
        </w:tc>
        <w:tc>
          <w:tcPr>
            <w:tcW w:w="54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tcPr>
          <w:p>
            <w:pPr>
              <w:jc w:val="center"/>
              <w:ind w:left="562"/>
              <w:spacing w:after="0"/>
              <w:rPr>
                <w:sz w:val="20"/>
                <w:szCs w:val="20"/>
                <w:color w:val="auto"/>
              </w:rPr>
            </w:pPr>
            <w:r>
              <w:rPr>
                <w:rFonts w:ascii="Arial" w:cs="Arial" w:eastAsia="Arial" w:hAnsi="Arial"/>
                <w:sz w:val="11"/>
                <w:szCs w:val="11"/>
                <w:b w:val="1"/>
                <w:bCs w:val="1"/>
                <w:color w:val="auto"/>
                <w:w w:val="86"/>
              </w:rPr>
              <w:t>on which registered</w:t>
            </w:r>
          </w:p>
        </w:tc>
        <w:tc>
          <w:tcPr>
            <w:tcW w:w="0" w:type="dxa"/>
            <w:vAlign w:val="bottom"/>
          </w:tcPr>
          <w:p>
            <w:pPr>
              <w:spacing w:after="0"/>
              <w:rPr>
                <w:sz w:val="1"/>
                <w:szCs w:val="1"/>
                <w:color w:val="auto"/>
              </w:rPr>
            </w:pPr>
          </w:p>
        </w:tc>
      </w:tr>
      <w:tr>
        <w:trPr>
          <w:trHeight w:val="183"/>
        </w:trPr>
        <w:tc>
          <w:tcPr>
            <w:tcW w:w="3180" w:type="dxa"/>
            <w:vAlign w:val="bottom"/>
          </w:tcPr>
          <w:p>
            <w:pPr>
              <w:ind w:left="900"/>
              <w:spacing w:after="0"/>
              <w:rPr>
                <w:sz w:val="20"/>
                <w:szCs w:val="20"/>
                <w:color w:val="auto"/>
              </w:rPr>
            </w:pPr>
            <w:r>
              <w:rPr>
                <w:rFonts w:ascii="Arial" w:cs="Arial" w:eastAsia="Arial" w:hAnsi="Arial"/>
                <w:sz w:val="14"/>
                <w:szCs w:val="14"/>
                <w:color w:val="auto"/>
              </w:rPr>
              <w:t>Common Stock, $0.001 par value</w:t>
            </w:r>
          </w:p>
        </w:tc>
        <w:tc>
          <w:tcPr>
            <w:tcW w:w="1740" w:type="dxa"/>
            <w:vAlign w:val="bottom"/>
          </w:tcPr>
          <w:p>
            <w:pPr>
              <w:spacing w:after="0"/>
              <w:rPr>
                <w:sz w:val="15"/>
                <w:szCs w:val="15"/>
                <w:color w:val="auto"/>
              </w:rPr>
            </w:pPr>
          </w:p>
        </w:tc>
        <w:tc>
          <w:tcPr>
            <w:tcW w:w="1260" w:type="dxa"/>
            <w:vAlign w:val="bottom"/>
          </w:tcPr>
          <w:p>
            <w:pPr>
              <w:ind w:left="420"/>
              <w:spacing w:after="0"/>
              <w:rPr>
                <w:sz w:val="20"/>
                <w:szCs w:val="20"/>
                <w:color w:val="auto"/>
              </w:rPr>
            </w:pPr>
            <w:r>
              <w:rPr>
                <w:rFonts w:ascii="Arial" w:cs="Arial" w:eastAsia="Arial" w:hAnsi="Arial"/>
                <w:sz w:val="14"/>
                <w:szCs w:val="14"/>
                <w:color w:val="auto"/>
              </w:rPr>
              <w:t>TPST</w:t>
            </w:r>
          </w:p>
        </w:tc>
        <w:tc>
          <w:tcPr>
            <w:tcW w:w="540" w:type="dxa"/>
            <w:vAlign w:val="bottom"/>
          </w:tcPr>
          <w:p>
            <w:pPr>
              <w:spacing w:after="0"/>
              <w:rPr>
                <w:sz w:val="15"/>
                <w:szCs w:val="15"/>
                <w:color w:val="auto"/>
              </w:rPr>
            </w:pPr>
          </w:p>
        </w:tc>
        <w:tc>
          <w:tcPr>
            <w:tcW w:w="3280" w:type="dxa"/>
            <w:vAlign w:val="bottom"/>
          </w:tcPr>
          <w:p>
            <w:pPr>
              <w:jc w:val="center"/>
              <w:ind w:left="562"/>
              <w:spacing w:after="0"/>
              <w:rPr>
                <w:sz w:val="20"/>
                <w:szCs w:val="20"/>
                <w:color w:val="auto"/>
              </w:rPr>
            </w:pPr>
            <w:r>
              <w:rPr>
                <w:rFonts w:ascii="Arial" w:cs="Arial" w:eastAsia="Arial" w:hAnsi="Arial"/>
                <w:sz w:val="14"/>
                <w:szCs w:val="14"/>
                <w:color w:val="auto"/>
                <w:w w:val="88"/>
              </w:rPr>
              <w:t>The Nasdaq Capital Market</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80" w:right="260"/>
        <w:spacing w:after="0" w:line="24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w:t>
      </w:r>
    </w:p>
    <w:p>
      <w:pPr>
        <w:spacing w:after="0" w:line="1" w:lineRule="exact"/>
        <w:rPr>
          <w:sz w:val="24"/>
          <w:szCs w:val="24"/>
          <w:color w:val="auto"/>
        </w:rPr>
      </w:pPr>
    </w:p>
    <w:p>
      <w:pPr>
        <w:ind w:left="80"/>
        <w:spacing w:after="0" w:line="161" w:lineRule="exact"/>
        <w:rPr>
          <w:sz w:val="20"/>
          <w:szCs w:val="20"/>
          <w:color w:val="auto"/>
        </w:rPr>
      </w:pPr>
      <w:r>
        <w:rPr>
          <w:rFonts w:ascii="Arial" w:cs="Arial" w:eastAsia="Arial" w:hAnsi="Arial"/>
          <w:sz w:val="14"/>
          <w:szCs w:val="14"/>
          <w:color w:val="auto"/>
        </w:rPr>
        <w:t xml:space="preserve">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8" w:lineRule="exact"/>
        <w:rPr>
          <w:sz w:val="24"/>
          <w:szCs w:val="24"/>
          <w:color w:val="auto"/>
        </w:rPr>
      </w:pPr>
    </w:p>
    <w:p>
      <w:pPr>
        <w:ind w:left="80" w:right="340"/>
        <w:spacing w:after="0" w:line="19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left="80" w:right="3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6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1860"/>
              <w:spacing w:after="0"/>
              <w:rPr>
                <w:sz w:val="20"/>
                <w:szCs w:val="20"/>
                <w:color w:val="auto"/>
              </w:rPr>
            </w:pPr>
            <w:r>
              <w:rPr>
                <w:rFonts w:ascii="Arial" w:cs="Arial" w:eastAsia="Arial" w:hAnsi="Arial"/>
                <w:sz w:val="14"/>
                <w:szCs w:val="14"/>
                <w:color w:val="auto"/>
              </w:rPr>
              <w:t>Accelerated filer</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4"/>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246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1860"/>
              <w:spacing w:after="0"/>
              <w:rPr>
                <w:sz w:val="20"/>
                <w:szCs w:val="20"/>
                <w:color w:val="auto"/>
              </w:rPr>
            </w:pPr>
            <w:r>
              <w:rPr>
                <w:rFonts w:ascii="Arial" w:cs="Arial" w:eastAsia="Arial" w:hAnsi="Arial"/>
                <w:sz w:val="14"/>
                <w:szCs w:val="14"/>
                <w:color w:val="auto"/>
              </w:rPr>
              <w:t>Smaller reporting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4"/>
        </w:trPr>
        <w:tc>
          <w:tcPr>
            <w:tcW w:w="19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46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138" w:lineRule="exact"/>
        <w:rPr>
          <w:sz w:val="24"/>
          <w:szCs w:val="24"/>
          <w:color w:val="auto"/>
        </w:rPr>
      </w:pPr>
    </w:p>
    <w:p>
      <w:pPr>
        <w:ind w:left="80" w:right="26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61" w:lineRule="exact"/>
        <w:tabs>
          <w:tab w:leader="none" w:pos="5720" w:val="left"/>
          <w:tab w:leader="none" w:pos="62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50"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$0.001 par value per share, outstanding as of November 8, 2021 was 6,910,324.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377190</wp:posOffset>
            </wp:positionV>
            <wp:extent cx="719137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1375"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162560</wp:posOffset>
            </wp:positionV>
            <wp:extent cx="715899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137160</wp:posOffset>
            </wp:positionV>
            <wp:extent cx="715899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6350"/>
                    </a:xfrm>
                    <a:prstGeom prst="rect">
                      <a:avLst/>
                    </a:prstGeom>
                    <a:noFill/>
                  </pic:spPr>
                </pic:pic>
              </a:graphicData>
            </a:graphic>
          </wp:anchor>
        </w:drawing>
      </w:r>
    </w:p>
    <w:p>
      <w:pPr>
        <w:sectPr>
          <w:pgSz w:w="11900" w:h="16838" w:orient="portrait"/>
          <w:cols w:equalWidth="0" w:num="1">
            <w:col w:w="11360"/>
          </w:cols>
          <w:pgMar w:left="300" w:top="53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1020" w:type="dxa"/>
            <w:vAlign w:val="bottom"/>
            <w:gridSpan w:val="4"/>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700"/>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00" w:type="dxa"/>
            <w:vAlign w:val="bottom"/>
            <w:gridSpan w:val="6"/>
          </w:tcPr>
          <w:p>
            <w:pPr>
              <w:ind w:left="380"/>
              <w:spacing w:after="0"/>
              <w:rPr>
                <w:sz w:val="20"/>
                <w:szCs w:val="20"/>
                <w:color w:val="auto"/>
              </w:rPr>
            </w:pPr>
            <w:r>
              <w:rPr>
                <w:rFonts w:ascii="Arial" w:cs="Arial" w:eastAsia="Arial" w:hAnsi="Arial"/>
                <w:sz w:val="12"/>
                <w:szCs w:val="12"/>
                <w:b w:val="1"/>
                <w:bCs w:val="1"/>
                <w:color w:val="auto"/>
              </w:rPr>
              <w:t>INDEX TO FORM 10-Q</w:t>
            </w:r>
          </w:p>
        </w:tc>
        <w:tc>
          <w:tcPr>
            <w:tcW w:w="260" w:type="dxa"/>
            <w:vAlign w:val="bottom"/>
          </w:tcPr>
          <w:p>
            <w:pPr>
              <w:spacing w:after="0"/>
              <w:rPr>
                <w:sz w:val="24"/>
                <w:szCs w:val="24"/>
                <w:color w:val="auto"/>
              </w:rPr>
            </w:pPr>
          </w:p>
        </w:tc>
      </w:tr>
      <w:tr>
        <w:trPr>
          <w:trHeight w:val="34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3"/>
              </w:rPr>
              <w:t>Page</w:t>
            </w:r>
          </w:p>
        </w:tc>
      </w:tr>
      <w:tr>
        <w:trPr>
          <w:trHeight w:val="164"/>
        </w:trPr>
        <w:tc>
          <w:tcPr>
            <w:tcW w:w="20" w:type="dxa"/>
            <w:vAlign w:val="bottom"/>
          </w:tcPr>
          <w:p>
            <w:pPr>
              <w:spacing w:after="0"/>
              <w:rPr>
                <w:sz w:val="14"/>
                <w:szCs w:val="14"/>
                <w:color w:val="auto"/>
              </w:rPr>
            </w:pPr>
          </w:p>
        </w:tc>
        <w:tc>
          <w:tcPr>
            <w:tcW w:w="9860" w:type="dxa"/>
            <w:vAlign w:val="bottom"/>
            <w:gridSpan w:val="22"/>
          </w:tcPr>
          <w:p>
            <w:pPr>
              <w:spacing w:after="0"/>
              <w:rPr>
                <w:rFonts w:ascii="Arial" w:cs="Arial" w:eastAsia="Arial" w:hAnsi="Arial"/>
                <w:sz w:val="12"/>
                <w:szCs w:val="12"/>
                <w:color w:val="0000FF"/>
              </w:rPr>
            </w:pPr>
            <w:hyperlink w:anchor="page2">
              <w:r>
                <w:rPr>
                  <w:rFonts w:ascii="Arial" w:cs="Arial" w:eastAsia="Arial" w:hAnsi="Arial"/>
                  <w:sz w:val="12"/>
                  <w:szCs w:val="12"/>
                  <w:color w:val="0000FF"/>
                </w:rPr>
                <w:t>Special Note Regarding Forward-Looking Statements</w:t>
              </w:r>
            </w:hyperlink>
          </w:p>
        </w:tc>
        <w:tc>
          <w:tcPr>
            <w:tcW w:w="260" w:type="dxa"/>
            <w:vAlign w:val="bottom"/>
          </w:tcPr>
          <w:p>
            <w:pPr>
              <w:jc w:val="center"/>
              <w:spacing w:after="0"/>
              <w:rPr>
                <w:rFonts w:ascii="Arial" w:cs="Arial" w:eastAsia="Arial" w:hAnsi="Arial"/>
                <w:sz w:val="12"/>
                <w:szCs w:val="12"/>
                <w:color w:val="0000FF"/>
                <w:w w:val="89"/>
              </w:rPr>
            </w:pPr>
            <w:hyperlink w:anchor="page2">
              <w:r>
                <w:rPr>
                  <w:rFonts w:ascii="Arial" w:cs="Arial" w:eastAsia="Arial" w:hAnsi="Arial"/>
                  <w:sz w:val="12"/>
                  <w:szCs w:val="12"/>
                  <w:color w:val="0000FF"/>
                  <w:w w:val="89"/>
                </w:rPr>
                <w:t>3</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580" w:type="dxa"/>
            <w:vAlign w:val="bottom"/>
            <w:gridSpan w:val="12"/>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PART I — FINANCIAL INFORMATION</w:t>
              </w:r>
            </w:hyperlink>
          </w:p>
        </w:tc>
        <w:tc>
          <w:tcPr>
            <w:tcW w:w="260" w:type="dxa"/>
            <w:vAlign w:val="bottom"/>
          </w:tcPr>
          <w:p>
            <w:pPr>
              <w:jc w:val="center"/>
              <w:spacing w:after="0"/>
              <w:rPr>
                <w:rFonts w:ascii="Arial" w:cs="Arial" w:eastAsia="Arial" w:hAnsi="Arial"/>
                <w:sz w:val="12"/>
                <w:szCs w:val="12"/>
                <w:color w:val="0000FF"/>
                <w:w w:val="89"/>
              </w:rPr>
            </w:pPr>
            <w:hyperlink w:anchor="page4">
              <w:r>
                <w:rPr>
                  <w:rFonts w:ascii="Arial" w:cs="Arial" w:eastAsia="Arial" w:hAnsi="Arial"/>
                  <w:sz w:val="12"/>
                  <w:szCs w:val="12"/>
                  <w:color w:val="0000FF"/>
                  <w:w w:val="89"/>
                </w:rPr>
                <w:t>5</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2"/>
                <w:szCs w:val="12"/>
                <w:color w:val="auto"/>
              </w:rPr>
              <w:t>Item 1.</w:t>
            </w:r>
          </w:p>
        </w:tc>
        <w:tc>
          <w:tcPr>
            <w:tcW w:w="8860" w:type="dxa"/>
            <w:vAlign w:val="bottom"/>
            <w:gridSpan w:val="19"/>
          </w:tcPr>
          <w:p>
            <w:pPr>
              <w:spacing w:after="0"/>
              <w:rPr>
                <w:rFonts w:ascii="Arial" w:cs="Arial" w:eastAsia="Arial" w:hAnsi="Arial"/>
                <w:sz w:val="12"/>
                <w:szCs w:val="12"/>
                <w:color w:val="0000FF"/>
              </w:rPr>
            </w:pPr>
            <w:hyperlink w:anchor="page5">
              <w:r>
                <w:rPr>
                  <w:rFonts w:ascii="Arial" w:cs="Arial" w:eastAsia="Arial" w:hAnsi="Arial"/>
                  <w:sz w:val="12"/>
                  <w:szCs w:val="12"/>
                  <w:color w:val="0000FF"/>
                </w:rPr>
                <w:t>Financial Statements (unaudited):</w:t>
              </w:r>
            </w:hyperlink>
          </w:p>
        </w:tc>
        <w:tc>
          <w:tcPr>
            <w:tcW w:w="260" w:type="dxa"/>
            <w:vAlign w:val="bottom"/>
          </w:tcPr>
          <w:p>
            <w:pPr>
              <w:jc w:val="center"/>
              <w:spacing w:after="0"/>
              <w:rPr>
                <w:rFonts w:ascii="Arial" w:cs="Arial" w:eastAsia="Arial" w:hAnsi="Arial"/>
                <w:sz w:val="12"/>
                <w:szCs w:val="12"/>
                <w:color w:val="0000FF"/>
                <w:w w:val="89"/>
              </w:rPr>
            </w:pPr>
            <w:hyperlink w:anchor="page5">
              <w:r>
                <w:rPr>
                  <w:rFonts w:ascii="Arial" w:cs="Arial" w:eastAsia="Arial" w:hAnsi="Arial"/>
                  <w:sz w:val="12"/>
                  <w:szCs w:val="12"/>
                  <w:color w:val="0000FF"/>
                  <w:w w:val="89"/>
                </w:rPr>
                <w:t>5</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00" w:type="dxa"/>
            <w:vAlign w:val="bottom"/>
            <w:tcBorders>
              <w:bottom w:val="single" w:sz="8" w:color="0000FF"/>
            </w:tcBorders>
            <w:gridSpan w:val="14"/>
          </w:tcPr>
          <w:p>
            <w:pPr>
              <w:spacing w:after="0"/>
              <w:rPr>
                <w:rFonts w:ascii="Arial" w:cs="Arial" w:eastAsia="Arial" w:hAnsi="Arial"/>
                <w:sz w:val="12"/>
                <w:szCs w:val="12"/>
                <w:color w:val="0000FF"/>
                <w:w w:val="90"/>
              </w:rPr>
            </w:pPr>
            <w:hyperlink w:anchor="page5">
              <w:r>
                <w:rPr>
                  <w:rFonts w:ascii="Arial" w:cs="Arial" w:eastAsia="Arial" w:hAnsi="Arial"/>
                  <w:sz w:val="12"/>
                  <w:szCs w:val="12"/>
                  <w:color w:val="0000FF"/>
                  <w:w w:val="90"/>
                </w:rPr>
                <w:t>Consolidated Balance Sheets as of September 30, 2021 and December 31, 2020</w:t>
              </w:r>
            </w:hyperlink>
          </w:p>
        </w:tc>
        <w:tc>
          <w:tcPr>
            <w:tcW w:w="4960" w:type="dxa"/>
            <w:vAlign w:val="bottom"/>
            <w:gridSpan w:val="5"/>
          </w:tcPr>
          <w:p>
            <w:pPr>
              <w:spacing w:after="0"/>
              <w:rPr>
                <w:sz w:val="14"/>
                <w:szCs w:val="14"/>
                <w:color w:val="auto"/>
              </w:rPr>
            </w:pPr>
          </w:p>
        </w:tc>
        <w:tc>
          <w:tcPr>
            <w:tcW w:w="260" w:type="dxa"/>
            <w:vAlign w:val="bottom"/>
          </w:tcPr>
          <w:p>
            <w:pPr>
              <w:jc w:val="center"/>
              <w:spacing w:after="0"/>
              <w:rPr>
                <w:rFonts w:ascii="Arial" w:cs="Arial" w:eastAsia="Arial" w:hAnsi="Arial"/>
                <w:sz w:val="12"/>
                <w:szCs w:val="12"/>
                <w:color w:val="0000FF"/>
                <w:w w:val="89"/>
              </w:rPr>
            </w:pPr>
            <w:hyperlink w:anchor="page5">
              <w:r>
                <w:rPr>
                  <w:rFonts w:ascii="Arial" w:cs="Arial" w:eastAsia="Arial" w:hAnsi="Arial"/>
                  <w:sz w:val="12"/>
                  <w:szCs w:val="12"/>
                  <w:color w:val="0000FF"/>
                  <w:w w:val="89"/>
                </w:rPr>
                <w:t>5</w:t>
              </w:r>
            </w:hyperlink>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gridSpan w:val="19"/>
          </w:tcPr>
          <w:p>
            <w:pPr>
              <w:spacing w:after="0"/>
              <w:rPr>
                <w:rFonts w:ascii="Arial" w:cs="Arial" w:eastAsia="Arial" w:hAnsi="Arial"/>
                <w:sz w:val="12"/>
                <w:szCs w:val="12"/>
                <w:color w:val="0000FF"/>
              </w:rPr>
            </w:pPr>
            <w:hyperlink w:anchor="page5">
              <w:r>
                <w:rPr>
                  <w:rFonts w:ascii="Arial" w:cs="Arial" w:eastAsia="Arial" w:hAnsi="Arial"/>
                  <w:sz w:val="12"/>
                  <w:szCs w:val="12"/>
                  <w:color w:val="0000FF"/>
                </w:rPr>
                <w:t>Consolidated Statements of Operations and Comprehensive Loss for the Three and Nine Months Ended September 30, 2021 and 2020</w:t>
              </w:r>
            </w:hyperlink>
          </w:p>
        </w:tc>
        <w:tc>
          <w:tcPr>
            <w:tcW w:w="260" w:type="dxa"/>
            <w:vAlign w:val="bottom"/>
          </w:tcPr>
          <w:p>
            <w:pPr>
              <w:jc w:val="center"/>
              <w:spacing w:after="0"/>
              <w:rPr>
                <w:rFonts w:ascii="Arial" w:cs="Arial" w:eastAsia="Arial" w:hAnsi="Arial"/>
                <w:sz w:val="12"/>
                <w:szCs w:val="12"/>
                <w:color w:val="0000FF"/>
                <w:w w:val="89"/>
              </w:rPr>
            </w:pPr>
            <w:hyperlink w:anchor="page5">
              <w:r>
                <w:rPr>
                  <w:rFonts w:ascii="Arial" w:cs="Arial" w:eastAsia="Arial" w:hAnsi="Arial"/>
                  <w:sz w:val="12"/>
                  <w:szCs w:val="12"/>
                  <w:color w:val="0000FF"/>
                  <w:w w:val="89"/>
                </w:rPr>
                <w:t>5</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gridSpan w:val="19"/>
          </w:tcPr>
          <w:p>
            <w:pPr>
              <w:spacing w:after="0"/>
              <w:rPr>
                <w:rFonts w:ascii="Arial" w:cs="Arial" w:eastAsia="Arial" w:hAnsi="Arial"/>
                <w:sz w:val="12"/>
                <w:szCs w:val="12"/>
                <w:color w:val="0000FF"/>
              </w:rPr>
            </w:pPr>
            <w:hyperlink w:anchor="page6">
              <w:r>
                <w:rPr>
                  <w:rFonts w:ascii="Arial" w:cs="Arial" w:eastAsia="Arial" w:hAnsi="Arial"/>
                  <w:sz w:val="12"/>
                  <w:szCs w:val="12"/>
                  <w:color w:val="0000FF"/>
                </w:rPr>
                <w:t>Consolidated Statements of Convertible Preferred Stock and Stockholders’ Equity (Deficit) for the Three and Nine Months Ended September 30, 2021 and 2020</w:t>
              </w:r>
            </w:hyperlink>
          </w:p>
        </w:tc>
        <w:tc>
          <w:tcPr>
            <w:tcW w:w="260" w:type="dxa"/>
            <w:vAlign w:val="bottom"/>
          </w:tcPr>
          <w:p>
            <w:pPr>
              <w:jc w:val="center"/>
              <w:spacing w:after="0"/>
              <w:rPr>
                <w:rFonts w:ascii="Arial" w:cs="Arial" w:eastAsia="Arial" w:hAnsi="Arial"/>
                <w:sz w:val="12"/>
                <w:szCs w:val="12"/>
                <w:color w:val="0000FF"/>
                <w:w w:val="89"/>
              </w:rPr>
            </w:pPr>
            <w:hyperlink w:anchor="page6">
              <w:r>
                <w:rPr>
                  <w:rFonts w:ascii="Arial" w:cs="Arial" w:eastAsia="Arial" w:hAnsi="Arial"/>
                  <w:sz w:val="12"/>
                  <w:szCs w:val="12"/>
                  <w:color w:val="0000FF"/>
                  <w:w w:val="89"/>
                </w:rPr>
                <w:t>7</w:t>
              </w:r>
            </w:hyperlink>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20" w:type="dxa"/>
            <w:vAlign w:val="bottom"/>
            <w:tcBorders>
              <w:top w:val="single" w:sz="8" w:color="0000FF"/>
              <w:bottom w:val="single" w:sz="8" w:color="0000FF"/>
            </w:tcBorders>
            <w:gridSpan w:val="16"/>
          </w:tcPr>
          <w:p>
            <w:pPr>
              <w:spacing w:after="0"/>
              <w:rPr>
                <w:rFonts w:ascii="Arial" w:cs="Arial" w:eastAsia="Arial" w:hAnsi="Arial"/>
                <w:sz w:val="12"/>
                <w:szCs w:val="12"/>
                <w:color w:val="0000FF"/>
                <w:w w:val="91"/>
              </w:rPr>
            </w:pPr>
            <w:hyperlink w:anchor="page8">
              <w:r>
                <w:rPr>
                  <w:rFonts w:ascii="Arial" w:cs="Arial" w:eastAsia="Arial" w:hAnsi="Arial"/>
                  <w:sz w:val="12"/>
                  <w:szCs w:val="12"/>
                  <w:color w:val="0000FF"/>
                  <w:w w:val="91"/>
                </w:rPr>
                <w:t>Consolidated Statements of Cash Flows for the Nine Months Ended September 30, 2021 and 2020</w:t>
              </w:r>
            </w:hyperlink>
          </w:p>
        </w:tc>
        <w:tc>
          <w:tcPr>
            <w:tcW w:w="3040" w:type="dxa"/>
            <w:vAlign w:val="bottom"/>
            <w:tcBorders>
              <w:top w:val="single" w:sz="8" w:color="0000FF"/>
            </w:tcBorders>
            <w:gridSpan w:val="2"/>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jc w:val="center"/>
              <w:spacing w:after="0"/>
              <w:rPr>
                <w:rFonts w:ascii="Arial" w:cs="Arial" w:eastAsia="Arial" w:hAnsi="Arial"/>
                <w:sz w:val="12"/>
                <w:szCs w:val="12"/>
                <w:color w:val="0000FF"/>
                <w:w w:val="89"/>
              </w:rPr>
            </w:pPr>
            <w:hyperlink w:anchor="page8">
              <w:r>
                <w:rPr>
                  <w:rFonts w:ascii="Arial" w:cs="Arial" w:eastAsia="Arial" w:hAnsi="Arial"/>
                  <w:sz w:val="12"/>
                  <w:szCs w:val="12"/>
                  <w:color w:val="0000FF"/>
                  <w:w w:val="89"/>
                </w:rPr>
                <w:t>9</w:t>
              </w:r>
            </w:hyperlink>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gridSpan w:val="19"/>
          </w:tcPr>
          <w:p>
            <w:pPr>
              <w:spacing w:after="0"/>
              <w:rPr>
                <w:rFonts w:ascii="Arial" w:cs="Arial" w:eastAsia="Arial" w:hAnsi="Arial"/>
                <w:sz w:val="12"/>
                <w:szCs w:val="12"/>
                <w:color w:val="0000FF"/>
              </w:rPr>
            </w:pPr>
            <w:hyperlink w:anchor="page9">
              <w:r>
                <w:rPr>
                  <w:rFonts w:ascii="Arial" w:cs="Arial" w:eastAsia="Arial" w:hAnsi="Arial"/>
                  <w:sz w:val="12"/>
                  <w:szCs w:val="12"/>
                  <w:color w:val="0000FF"/>
                </w:rPr>
                <w:t>Notes to Unaudited Interim Consolidated Financial Statements</w:t>
              </w:r>
            </w:hyperlink>
          </w:p>
        </w:tc>
        <w:tc>
          <w:tcPr>
            <w:tcW w:w="260" w:type="dxa"/>
            <w:vAlign w:val="bottom"/>
          </w:tcPr>
          <w:p>
            <w:pPr>
              <w:jc w:val="center"/>
              <w:spacing w:after="0"/>
              <w:rPr>
                <w:rFonts w:ascii="Arial" w:cs="Arial" w:eastAsia="Arial" w:hAnsi="Arial"/>
                <w:sz w:val="12"/>
                <w:szCs w:val="12"/>
                <w:color w:val="0000FF"/>
                <w:w w:val="89"/>
              </w:rPr>
            </w:pPr>
            <w:hyperlink w:anchor="page9">
              <w:r>
                <w:rPr>
                  <w:rFonts w:ascii="Arial" w:cs="Arial" w:eastAsia="Arial" w:hAnsi="Arial"/>
                  <w:sz w:val="12"/>
                  <w:szCs w:val="12"/>
                  <w:color w:val="0000FF"/>
                  <w:w w:val="89"/>
                </w:rPr>
                <w:t>9</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gridSpan w:val="19"/>
          </w:tcPr>
          <w:p>
            <w:pPr>
              <w:spacing w:after="0"/>
              <w:rPr>
                <w:rFonts w:ascii="Arial" w:cs="Arial" w:eastAsia="Arial" w:hAnsi="Arial"/>
                <w:sz w:val="12"/>
                <w:szCs w:val="12"/>
                <w:color w:val="0000FF"/>
              </w:rPr>
            </w:pPr>
            <w:hyperlink w:anchor="page22">
              <w:r>
                <w:rPr>
                  <w:rFonts w:ascii="Arial" w:cs="Arial" w:eastAsia="Arial" w:hAnsi="Arial"/>
                  <w:sz w:val="12"/>
                  <w:szCs w:val="12"/>
                  <w:color w:val="0000FF"/>
                </w:rPr>
                <w:t>Management’s Discussion and Analysis of Financial Condition and Results of Operations</w:t>
              </w:r>
            </w:hyperlink>
          </w:p>
        </w:tc>
        <w:tc>
          <w:tcPr>
            <w:tcW w:w="260" w:type="dxa"/>
            <w:vAlign w:val="bottom"/>
          </w:tcPr>
          <w:p>
            <w:pPr>
              <w:jc w:val="center"/>
              <w:spacing w:after="0"/>
              <w:rPr>
                <w:rFonts w:ascii="Arial" w:cs="Arial" w:eastAsia="Arial" w:hAnsi="Arial"/>
                <w:sz w:val="12"/>
                <w:szCs w:val="12"/>
                <w:color w:val="0000FF"/>
                <w:w w:val="89"/>
              </w:rPr>
            </w:pPr>
            <w:hyperlink w:anchor="page22">
              <w:r>
                <w:rPr>
                  <w:rFonts w:ascii="Arial" w:cs="Arial" w:eastAsia="Arial" w:hAnsi="Arial"/>
                  <w:sz w:val="12"/>
                  <w:szCs w:val="12"/>
                  <w:color w:val="0000FF"/>
                  <w:w w:val="89"/>
                </w:rPr>
                <w:t>23</w:t>
              </w:r>
            </w:hyperlink>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tcBorders>
              <w:top w:val="single" w:sz="8" w:color="0000FF"/>
              <w:bottom w:val="single" w:sz="8" w:color="0000FF"/>
            </w:tcBorders>
            <w:gridSpan w:val="10"/>
          </w:tcPr>
          <w:p>
            <w:pPr>
              <w:spacing w:after="0"/>
              <w:rPr>
                <w:rFonts w:ascii="Arial" w:cs="Arial" w:eastAsia="Arial" w:hAnsi="Arial"/>
                <w:sz w:val="12"/>
                <w:szCs w:val="12"/>
                <w:color w:val="0000FF"/>
                <w:w w:val="94"/>
              </w:rPr>
            </w:pPr>
            <w:hyperlink w:anchor="page30">
              <w:r>
                <w:rPr>
                  <w:rFonts w:ascii="Arial" w:cs="Arial" w:eastAsia="Arial" w:hAnsi="Arial"/>
                  <w:sz w:val="12"/>
                  <w:szCs w:val="12"/>
                  <w:color w:val="0000FF"/>
                  <w:w w:val="94"/>
                </w:rPr>
                <w:t>Quantitative and Qualitative Disclosures About Market Risk</w:t>
              </w:r>
            </w:hyperlink>
          </w:p>
        </w:tc>
        <w:tc>
          <w:tcPr>
            <w:tcW w:w="1400" w:type="dxa"/>
            <w:vAlign w:val="bottom"/>
            <w:tcBorders>
              <w:top w:val="single" w:sz="8" w:color="0000FF"/>
            </w:tcBorders>
            <w:gridSpan w:val="5"/>
          </w:tcPr>
          <w:p>
            <w:pPr>
              <w:spacing w:after="0"/>
              <w:rPr>
                <w:sz w:val="14"/>
                <w:szCs w:val="14"/>
                <w:color w:val="auto"/>
              </w:rPr>
            </w:pPr>
          </w:p>
        </w:tc>
        <w:tc>
          <w:tcPr>
            <w:tcW w:w="4480" w:type="dxa"/>
            <w:vAlign w:val="bottom"/>
            <w:gridSpan w:val="4"/>
          </w:tcPr>
          <w:p>
            <w:pPr>
              <w:spacing w:after="0"/>
              <w:rPr>
                <w:sz w:val="14"/>
                <w:szCs w:val="14"/>
                <w:color w:val="auto"/>
              </w:rPr>
            </w:pPr>
          </w:p>
        </w:tc>
        <w:tc>
          <w:tcPr>
            <w:tcW w:w="260" w:type="dxa"/>
            <w:vAlign w:val="bottom"/>
          </w:tcPr>
          <w:p>
            <w:pPr>
              <w:jc w:val="center"/>
              <w:spacing w:after="0"/>
              <w:rPr>
                <w:rFonts w:ascii="Arial" w:cs="Arial" w:eastAsia="Arial" w:hAnsi="Arial"/>
                <w:sz w:val="12"/>
                <w:szCs w:val="12"/>
                <w:color w:val="0000FF"/>
                <w:w w:val="89"/>
              </w:rPr>
            </w:pPr>
            <w:hyperlink w:anchor="page29">
              <w:r>
                <w:rPr>
                  <w:rFonts w:ascii="Arial" w:cs="Arial" w:eastAsia="Arial" w:hAnsi="Arial"/>
                  <w:sz w:val="12"/>
                  <w:szCs w:val="12"/>
                  <w:color w:val="0000FF"/>
                  <w:w w:val="89"/>
                </w:rPr>
                <w:t>29</w:t>
              </w:r>
            </w:hyperlink>
          </w:p>
        </w:tc>
      </w:tr>
      <w:tr>
        <w:trPr>
          <w:trHeight w:val="164"/>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gridSpan w:val="19"/>
          </w:tcPr>
          <w:p>
            <w:pPr>
              <w:spacing w:after="0"/>
              <w:rPr>
                <w:rFonts w:ascii="Arial" w:cs="Arial" w:eastAsia="Arial" w:hAnsi="Arial"/>
                <w:sz w:val="12"/>
                <w:szCs w:val="12"/>
                <w:color w:val="0000FF"/>
              </w:rPr>
            </w:pPr>
            <w:hyperlink w:anchor="page30">
              <w:r>
                <w:rPr>
                  <w:rFonts w:ascii="Arial" w:cs="Arial" w:eastAsia="Arial" w:hAnsi="Arial"/>
                  <w:sz w:val="12"/>
                  <w:szCs w:val="12"/>
                  <w:color w:val="0000FF"/>
                </w:rPr>
                <w:t>Controls and Procedures</w:t>
              </w:r>
            </w:hyperlink>
          </w:p>
        </w:tc>
        <w:tc>
          <w:tcPr>
            <w:tcW w:w="260" w:type="dxa"/>
            <w:vAlign w:val="bottom"/>
          </w:tcPr>
          <w:p>
            <w:pPr>
              <w:jc w:val="center"/>
              <w:spacing w:after="0"/>
              <w:rPr>
                <w:rFonts w:ascii="Arial" w:cs="Arial" w:eastAsia="Arial" w:hAnsi="Arial"/>
                <w:sz w:val="12"/>
                <w:szCs w:val="12"/>
                <w:color w:val="0000FF"/>
                <w:w w:val="89"/>
              </w:rPr>
            </w:pPr>
            <w:hyperlink w:anchor="page30">
              <w:r>
                <w:rPr>
                  <w:rFonts w:ascii="Arial" w:cs="Arial" w:eastAsia="Arial" w:hAnsi="Arial"/>
                  <w:sz w:val="12"/>
                  <w:szCs w:val="12"/>
                  <w:color w:val="0000FF"/>
                  <w:w w:val="89"/>
                </w:rPr>
                <w:t>31</w:t>
              </w:r>
            </w:hyperlink>
          </w:p>
        </w:tc>
      </w:tr>
      <w:tr>
        <w:trPr>
          <w:trHeight w:val="205"/>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7620" w:type="dxa"/>
            <w:vAlign w:val="bottom"/>
            <w:gridSpan w:val="13"/>
          </w:tcPr>
          <w:p>
            <w:pPr>
              <w:spacing w:after="0"/>
              <w:rPr>
                <w:rFonts w:ascii="Arial" w:cs="Arial" w:eastAsia="Arial" w:hAnsi="Arial"/>
                <w:sz w:val="12"/>
                <w:szCs w:val="12"/>
                <w:color w:val="0000FF"/>
              </w:rPr>
            </w:pPr>
            <w:hyperlink w:anchor="page32">
              <w:r>
                <w:rPr>
                  <w:rFonts w:ascii="Arial" w:cs="Arial" w:eastAsia="Arial" w:hAnsi="Arial"/>
                  <w:sz w:val="12"/>
                  <w:szCs w:val="12"/>
                  <w:color w:val="0000FF"/>
                </w:rPr>
                <w:t>PART II — OTHER INFORMATION</w:t>
              </w:r>
            </w:hyperlink>
          </w:p>
        </w:tc>
        <w:tc>
          <w:tcPr>
            <w:tcW w:w="260" w:type="dxa"/>
            <w:vAlign w:val="bottom"/>
          </w:tcPr>
          <w:p>
            <w:pPr>
              <w:jc w:val="center"/>
              <w:spacing w:after="0"/>
              <w:rPr>
                <w:rFonts w:ascii="Arial" w:cs="Arial" w:eastAsia="Arial" w:hAnsi="Arial"/>
                <w:sz w:val="12"/>
                <w:szCs w:val="12"/>
                <w:color w:val="0000FF"/>
                <w:w w:val="89"/>
              </w:rPr>
            </w:pPr>
            <w:hyperlink w:anchor="page32">
              <w:r>
                <w:rPr>
                  <w:rFonts w:ascii="Arial" w:cs="Arial" w:eastAsia="Arial" w:hAnsi="Arial"/>
                  <w:sz w:val="12"/>
                  <w:szCs w:val="12"/>
                  <w:color w:val="0000FF"/>
                  <w:w w:val="89"/>
                </w:rPr>
                <w:t>33</w:t>
              </w:r>
            </w:hyperlink>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2"/>
                <w:szCs w:val="12"/>
                <w:color w:val="auto"/>
              </w:rPr>
              <w:t>Item 1.</w:t>
            </w:r>
          </w:p>
        </w:tc>
        <w:tc>
          <w:tcPr>
            <w:tcW w:w="900" w:type="dxa"/>
            <w:vAlign w:val="bottom"/>
            <w:tcBorders>
              <w:bottom w:val="single" w:sz="8" w:color="0000FF"/>
            </w:tcBorders>
            <w:gridSpan w:val="4"/>
          </w:tcPr>
          <w:p>
            <w:pPr>
              <w:spacing w:after="0"/>
              <w:rPr>
                <w:rFonts w:ascii="Arial" w:cs="Arial" w:eastAsia="Arial" w:hAnsi="Arial"/>
                <w:sz w:val="12"/>
                <w:szCs w:val="12"/>
                <w:color w:val="0000FF"/>
                <w:w w:val="88"/>
              </w:rPr>
            </w:pPr>
            <w:hyperlink w:anchor="page33">
              <w:r>
                <w:rPr>
                  <w:rFonts w:ascii="Arial" w:cs="Arial" w:eastAsia="Arial" w:hAnsi="Arial"/>
                  <w:sz w:val="12"/>
                  <w:szCs w:val="12"/>
                  <w:color w:val="0000FF"/>
                  <w:w w:val="88"/>
                </w:rPr>
                <w:t>Legal Proceedings</w:t>
              </w:r>
            </w:hyperlink>
          </w:p>
        </w:tc>
        <w:tc>
          <w:tcPr>
            <w:tcW w:w="340" w:type="dxa"/>
            <w:vAlign w:val="bottom"/>
            <w:gridSpan w:val="2"/>
          </w:tcPr>
          <w:p>
            <w:pPr>
              <w:spacing w:after="0"/>
              <w:rPr>
                <w:sz w:val="14"/>
                <w:szCs w:val="14"/>
                <w:color w:val="auto"/>
              </w:rPr>
            </w:pPr>
          </w:p>
        </w:tc>
        <w:tc>
          <w:tcPr>
            <w:tcW w:w="1880" w:type="dxa"/>
            <w:vAlign w:val="bottom"/>
            <w:tcBorders>
              <w:top w:val="single" w:sz="8" w:color="0000FF"/>
            </w:tcBorders>
            <w:gridSpan w:val="6"/>
          </w:tcPr>
          <w:p>
            <w:pPr>
              <w:spacing w:after="0"/>
              <w:rPr>
                <w:sz w:val="14"/>
                <w:szCs w:val="14"/>
                <w:color w:val="auto"/>
              </w:rPr>
            </w:pPr>
          </w:p>
        </w:tc>
        <w:tc>
          <w:tcPr>
            <w:tcW w:w="5740" w:type="dxa"/>
            <w:vAlign w:val="bottom"/>
            <w:gridSpan w:val="7"/>
          </w:tcPr>
          <w:p>
            <w:pPr>
              <w:spacing w:after="0"/>
              <w:rPr>
                <w:sz w:val="14"/>
                <w:szCs w:val="14"/>
                <w:color w:val="auto"/>
              </w:rPr>
            </w:pPr>
          </w:p>
        </w:tc>
        <w:tc>
          <w:tcPr>
            <w:tcW w:w="260" w:type="dxa"/>
            <w:vAlign w:val="bottom"/>
          </w:tcPr>
          <w:p>
            <w:pPr>
              <w:jc w:val="center"/>
              <w:spacing w:after="0"/>
              <w:rPr>
                <w:rFonts w:ascii="Arial" w:cs="Arial" w:eastAsia="Arial" w:hAnsi="Arial"/>
                <w:sz w:val="12"/>
                <w:szCs w:val="12"/>
                <w:color w:val="0000FF"/>
                <w:w w:val="89"/>
              </w:rPr>
            </w:pPr>
            <w:hyperlink w:anchor="page33">
              <w:r>
                <w:rPr>
                  <w:rFonts w:ascii="Arial" w:cs="Arial" w:eastAsia="Arial" w:hAnsi="Arial"/>
                  <w:sz w:val="12"/>
                  <w:szCs w:val="12"/>
                  <w:color w:val="0000FF"/>
                  <w:w w:val="89"/>
                </w:rPr>
                <w:t>33</w:t>
              </w:r>
            </w:hyperlink>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2"/>
                <w:szCs w:val="12"/>
                <w:color w:val="auto"/>
              </w:rPr>
              <w:t>Item 1A.</w:t>
            </w:r>
          </w:p>
        </w:tc>
        <w:tc>
          <w:tcPr>
            <w:tcW w:w="8860" w:type="dxa"/>
            <w:vAlign w:val="bottom"/>
            <w:gridSpan w:val="19"/>
          </w:tcPr>
          <w:p>
            <w:pPr>
              <w:spacing w:after="0"/>
              <w:rPr>
                <w:rFonts w:ascii="Arial" w:cs="Arial" w:eastAsia="Arial" w:hAnsi="Arial"/>
                <w:sz w:val="12"/>
                <w:szCs w:val="12"/>
                <w:color w:val="0000FF"/>
              </w:rPr>
            </w:pPr>
            <w:hyperlink w:anchor="page33">
              <w:r>
                <w:rPr>
                  <w:rFonts w:ascii="Arial" w:cs="Arial" w:eastAsia="Arial" w:hAnsi="Arial"/>
                  <w:sz w:val="12"/>
                  <w:szCs w:val="12"/>
                  <w:color w:val="0000FF"/>
                </w:rPr>
                <w:t>Risk Factors</w:t>
              </w:r>
            </w:hyperlink>
          </w:p>
        </w:tc>
        <w:tc>
          <w:tcPr>
            <w:tcW w:w="260" w:type="dxa"/>
            <w:vAlign w:val="bottom"/>
          </w:tcPr>
          <w:p>
            <w:pPr>
              <w:jc w:val="center"/>
              <w:spacing w:after="0"/>
              <w:rPr>
                <w:rFonts w:ascii="Arial" w:cs="Arial" w:eastAsia="Arial" w:hAnsi="Arial"/>
                <w:sz w:val="12"/>
                <w:szCs w:val="12"/>
                <w:color w:val="0000FF"/>
                <w:w w:val="89"/>
              </w:rPr>
            </w:pPr>
            <w:hyperlink w:anchor="page33">
              <w:r>
                <w:rPr>
                  <w:rFonts w:ascii="Arial" w:cs="Arial" w:eastAsia="Arial" w:hAnsi="Arial"/>
                  <w:sz w:val="12"/>
                  <w:szCs w:val="12"/>
                  <w:color w:val="0000FF"/>
                  <w:w w:val="89"/>
                </w:rPr>
                <w:t>33</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900" w:type="dxa"/>
            <w:vAlign w:val="bottom"/>
            <w:gridSpan w:val="1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2"/>
                <w:szCs w:val="12"/>
                <w:color w:val="auto"/>
              </w:rPr>
              <w:t>Item 2.</w:t>
            </w:r>
          </w:p>
        </w:tc>
        <w:tc>
          <w:tcPr>
            <w:tcW w:w="2960" w:type="dxa"/>
            <w:vAlign w:val="bottom"/>
            <w:tcBorders>
              <w:bottom w:val="single" w:sz="8" w:color="0000FF"/>
            </w:tcBorders>
            <w:gridSpan w:val="9"/>
          </w:tcPr>
          <w:p>
            <w:pPr>
              <w:spacing w:after="0"/>
              <w:rPr>
                <w:rFonts w:ascii="Arial" w:cs="Arial" w:eastAsia="Arial" w:hAnsi="Arial"/>
                <w:sz w:val="12"/>
                <w:szCs w:val="12"/>
                <w:color w:val="0000FF"/>
                <w:w w:val="90"/>
              </w:rPr>
            </w:pPr>
            <w:hyperlink w:anchor="page75">
              <w:r>
                <w:rPr>
                  <w:rFonts w:ascii="Arial" w:cs="Arial" w:eastAsia="Arial" w:hAnsi="Arial"/>
                  <w:sz w:val="12"/>
                  <w:szCs w:val="12"/>
                  <w:color w:val="0000FF"/>
                  <w:w w:val="90"/>
                </w:rPr>
                <w:t>Unregistered Sales of Equity Securities and Use of Proceeds</w:t>
              </w:r>
            </w:hyperlink>
          </w:p>
        </w:tc>
        <w:tc>
          <w:tcPr>
            <w:tcW w:w="5900" w:type="dxa"/>
            <w:vAlign w:val="bottom"/>
            <w:gridSpan w:val="10"/>
          </w:tcPr>
          <w:p>
            <w:pPr>
              <w:spacing w:after="0"/>
              <w:rPr>
                <w:sz w:val="14"/>
                <w:szCs w:val="14"/>
                <w:color w:val="auto"/>
              </w:rPr>
            </w:pPr>
          </w:p>
        </w:tc>
        <w:tc>
          <w:tcPr>
            <w:tcW w:w="260" w:type="dxa"/>
            <w:vAlign w:val="bottom"/>
          </w:tcPr>
          <w:p>
            <w:pPr>
              <w:jc w:val="center"/>
              <w:spacing w:after="0"/>
              <w:rPr>
                <w:rFonts w:ascii="Arial" w:cs="Arial" w:eastAsia="Arial" w:hAnsi="Arial"/>
                <w:sz w:val="12"/>
                <w:szCs w:val="12"/>
                <w:color w:val="0000FF"/>
                <w:w w:val="89"/>
              </w:rPr>
            </w:pPr>
            <w:hyperlink w:anchor="page75">
              <w:r>
                <w:rPr>
                  <w:rFonts w:ascii="Arial" w:cs="Arial" w:eastAsia="Arial" w:hAnsi="Arial"/>
                  <w:sz w:val="12"/>
                  <w:szCs w:val="12"/>
                  <w:color w:val="0000FF"/>
                  <w:w w:val="89"/>
                </w:rPr>
                <w:t>75</w:t>
              </w:r>
            </w:hyperlink>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2"/>
                <w:szCs w:val="12"/>
                <w:color w:val="auto"/>
              </w:rPr>
              <w:t>Item 3.</w:t>
            </w:r>
          </w:p>
        </w:tc>
        <w:tc>
          <w:tcPr>
            <w:tcW w:w="1640" w:type="dxa"/>
            <w:vAlign w:val="bottom"/>
            <w:tcBorders>
              <w:bottom w:val="single" w:sz="8" w:color="0000FF"/>
            </w:tcBorders>
            <w:gridSpan w:val="8"/>
          </w:tcPr>
          <w:p>
            <w:pPr>
              <w:spacing w:after="0"/>
              <w:rPr>
                <w:rFonts w:ascii="Arial" w:cs="Arial" w:eastAsia="Arial" w:hAnsi="Arial"/>
                <w:sz w:val="12"/>
                <w:szCs w:val="12"/>
                <w:color w:val="0000FF"/>
                <w:w w:val="94"/>
              </w:rPr>
            </w:pPr>
            <w:hyperlink w:anchor="page75">
              <w:r>
                <w:rPr>
                  <w:rFonts w:ascii="Arial" w:cs="Arial" w:eastAsia="Arial" w:hAnsi="Arial"/>
                  <w:sz w:val="12"/>
                  <w:szCs w:val="12"/>
                  <w:color w:val="0000FF"/>
                  <w:w w:val="94"/>
                </w:rPr>
                <w:t>Defaults Upon Senior Securities</w:t>
              </w:r>
            </w:hyperlink>
          </w:p>
        </w:tc>
        <w:tc>
          <w:tcPr>
            <w:tcW w:w="7220" w:type="dxa"/>
            <w:vAlign w:val="bottom"/>
            <w:gridSpan w:val="11"/>
          </w:tcPr>
          <w:p>
            <w:pPr>
              <w:spacing w:after="0"/>
              <w:rPr>
                <w:sz w:val="14"/>
                <w:szCs w:val="14"/>
                <w:color w:val="auto"/>
              </w:rPr>
            </w:pPr>
          </w:p>
        </w:tc>
        <w:tc>
          <w:tcPr>
            <w:tcW w:w="260" w:type="dxa"/>
            <w:vAlign w:val="bottom"/>
          </w:tcPr>
          <w:p>
            <w:pPr>
              <w:jc w:val="center"/>
              <w:spacing w:after="0"/>
              <w:rPr>
                <w:rFonts w:ascii="Arial" w:cs="Arial" w:eastAsia="Arial" w:hAnsi="Arial"/>
                <w:sz w:val="12"/>
                <w:szCs w:val="12"/>
                <w:color w:val="0000FF"/>
                <w:w w:val="89"/>
              </w:rPr>
            </w:pPr>
            <w:hyperlink w:anchor="page75">
              <w:r>
                <w:rPr>
                  <w:rFonts w:ascii="Arial" w:cs="Arial" w:eastAsia="Arial" w:hAnsi="Arial"/>
                  <w:sz w:val="12"/>
                  <w:szCs w:val="12"/>
                  <w:color w:val="0000FF"/>
                  <w:w w:val="89"/>
                </w:rPr>
                <w:t>75</w:t>
              </w:r>
            </w:hyperlink>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2"/>
                <w:szCs w:val="12"/>
                <w:color w:val="auto"/>
              </w:rPr>
              <w:t>Item 4.</w:t>
            </w:r>
          </w:p>
        </w:tc>
        <w:tc>
          <w:tcPr>
            <w:tcW w:w="1200" w:type="dxa"/>
            <w:vAlign w:val="bottom"/>
            <w:tcBorders>
              <w:bottom w:val="single" w:sz="8" w:color="0000FF"/>
            </w:tcBorders>
            <w:gridSpan w:val="5"/>
          </w:tcPr>
          <w:p>
            <w:pPr>
              <w:spacing w:after="0"/>
              <w:rPr>
                <w:rFonts w:ascii="Arial" w:cs="Arial" w:eastAsia="Arial" w:hAnsi="Arial"/>
                <w:sz w:val="12"/>
                <w:szCs w:val="12"/>
                <w:color w:val="0000FF"/>
                <w:w w:val="91"/>
              </w:rPr>
            </w:pPr>
            <w:hyperlink w:anchor="page75">
              <w:r>
                <w:rPr>
                  <w:rFonts w:ascii="Arial" w:cs="Arial" w:eastAsia="Arial" w:hAnsi="Arial"/>
                  <w:sz w:val="12"/>
                  <w:szCs w:val="12"/>
                  <w:color w:val="0000FF"/>
                  <w:w w:val="91"/>
                </w:rPr>
                <w:t>Mine Safety Disclosures</w:t>
              </w:r>
            </w:hyperlink>
          </w:p>
        </w:tc>
        <w:tc>
          <w:tcPr>
            <w:tcW w:w="7660" w:type="dxa"/>
            <w:vAlign w:val="bottom"/>
            <w:gridSpan w:val="14"/>
          </w:tcPr>
          <w:p>
            <w:pPr>
              <w:spacing w:after="0"/>
              <w:rPr>
                <w:sz w:val="14"/>
                <w:szCs w:val="14"/>
                <w:color w:val="auto"/>
              </w:rPr>
            </w:pPr>
          </w:p>
        </w:tc>
        <w:tc>
          <w:tcPr>
            <w:tcW w:w="260" w:type="dxa"/>
            <w:vAlign w:val="bottom"/>
          </w:tcPr>
          <w:p>
            <w:pPr>
              <w:jc w:val="center"/>
              <w:spacing w:after="0"/>
              <w:rPr>
                <w:rFonts w:ascii="Arial" w:cs="Arial" w:eastAsia="Arial" w:hAnsi="Arial"/>
                <w:sz w:val="12"/>
                <w:szCs w:val="12"/>
                <w:color w:val="0000FF"/>
                <w:w w:val="89"/>
              </w:rPr>
            </w:pPr>
            <w:hyperlink w:anchor="page75">
              <w:r>
                <w:rPr>
                  <w:rFonts w:ascii="Arial" w:cs="Arial" w:eastAsia="Arial" w:hAnsi="Arial"/>
                  <w:sz w:val="12"/>
                  <w:szCs w:val="12"/>
                  <w:color w:val="0000FF"/>
                  <w:w w:val="89"/>
                </w:rPr>
                <w:t>75</w:t>
              </w:r>
            </w:hyperlink>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2"/>
                <w:szCs w:val="12"/>
                <w:color w:val="auto"/>
              </w:rPr>
              <w:t>Item 5.</w:t>
            </w:r>
          </w:p>
        </w:tc>
        <w:tc>
          <w:tcPr>
            <w:tcW w:w="8860" w:type="dxa"/>
            <w:vAlign w:val="bottom"/>
            <w:gridSpan w:val="19"/>
          </w:tcPr>
          <w:p>
            <w:pPr>
              <w:spacing w:after="0"/>
              <w:rPr>
                <w:rFonts w:ascii="Arial" w:cs="Arial" w:eastAsia="Arial" w:hAnsi="Arial"/>
                <w:sz w:val="12"/>
                <w:szCs w:val="12"/>
                <w:color w:val="0000FF"/>
              </w:rPr>
            </w:pPr>
            <w:hyperlink w:anchor="page75">
              <w:r>
                <w:rPr>
                  <w:rFonts w:ascii="Arial" w:cs="Arial" w:eastAsia="Arial" w:hAnsi="Arial"/>
                  <w:sz w:val="12"/>
                  <w:szCs w:val="12"/>
                  <w:color w:val="0000FF"/>
                </w:rPr>
                <w:t>Other Information</w:t>
              </w:r>
            </w:hyperlink>
          </w:p>
        </w:tc>
        <w:tc>
          <w:tcPr>
            <w:tcW w:w="260" w:type="dxa"/>
            <w:vAlign w:val="bottom"/>
          </w:tcPr>
          <w:p>
            <w:pPr>
              <w:jc w:val="center"/>
              <w:spacing w:after="0"/>
              <w:rPr>
                <w:rFonts w:ascii="Arial" w:cs="Arial" w:eastAsia="Arial" w:hAnsi="Arial"/>
                <w:sz w:val="12"/>
                <w:szCs w:val="12"/>
                <w:color w:val="0000FF"/>
                <w:w w:val="89"/>
              </w:rPr>
            </w:pPr>
            <w:hyperlink w:anchor="page75">
              <w:r>
                <w:rPr>
                  <w:rFonts w:ascii="Arial" w:cs="Arial" w:eastAsia="Arial" w:hAnsi="Arial"/>
                  <w:sz w:val="12"/>
                  <w:szCs w:val="12"/>
                  <w:color w:val="0000FF"/>
                  <w:w w:val="89"/>
                </w:rPr>
                <w:t>75</w:t>
              </w:r>
            </w:hyperlink>
          </w:p>
        </w:tc>
      </w:tr>
      <w:tr>
        <w:trPr>
          <w:trHeight w:val="164"/>
        </w:trPr>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2"/>
                <w:szCs w:val="12"/>
                <w:color w:val="auto"/>
              </w:rPr>
              <w:t>Item 6.</w:t>
            </w:r>
          </w:p>
        </w:tc>
        <w:tc>
          <w:tcPr>
            <w:tcW w:w="880" w:type="dxa"/>
            <w:vAlign w:val="bottom"/>
            <w:tcBorders>
              <w:top w:val="single" w:sz="8" w:color="0000FF"/>
            </w:tcBorders>
            <w:gridSpan w:val="3"/>
          </w:tcPr>
          <w:p>
            <w:pPr>
              <w:spacing w:after="0"/>
              <w:rPr>
                <w:rFonts w:ascii="Arial" w:cs="Arial" w:eastAsia="Arial" w:hAnsi="Arial"/>
                <w:sz w:val="12"/>
                <w:szCs w:val="12"/>
                <w:color w:val="0000FF"/>
              </w:rPr>
            </w:pPr>
            <w:hyperlink w:anchor="page75">
              <w:r>
                <w:rPr>
                  <w:rFonts w:ascii="Arial" w:cs="Arial" w:eastAsia="Arial" w:hAnsi="Arial"/>
                  <w:sz w:val="12"/>
                  <w:szCs w:val="12"/>
                  <w:color w:val="0000FF"/>
                </w:rPr>
                <w:t>Exhibits</w:t>
              </w:r>
            </w:hyperlink>
          </w:p>
        </w:tc>
        <w:tc>
          <w:tcPr>
            <w:tcW w:w="7980" w:type="dxa"/>
            <w:vAlign w:val="bottom"/>
            <w:gridSpan w:val="16"/>
          </w:tcPr>
          <w:p>
            <w:pPr>
              <w:spacing w:after="0"/>
              <w:rPr>
                <w:sz w:val="14"/>
                <w:szCs w:val="14"/>
                <w:color w:val="auto"/>
              </w:rPr>
            </w:pPr>
          </w:p>
        </w:tc>
        <w:tc>
          <w:tcPr>
            <w:tcW w:w="260" w:type="dxa"/>
            <w:vAlign w:val="bottom"/>
          </w:tcPr>
          <w:p>
            <w:pPr>
              <w:jc w:val="center"/>
              <w:spacing w:after="0"/>
              <w:rPr>
                <w:rFonts w:ascii="Arial" w:cs="Arial" w:eastAsia="Arial" w:hAnsi="Arial"/>
                <w:sz w:val="12"/>
                <w:szCs w:val="12"/>
                <w:color w:val="0000FF"/>
                <w:w w:val="89"/>
              </w:rPr>
            </w:pPr>
            <w:hyperlink w:anchor="page75">
              <w:r>
                <w:rPr>
                  <w:rFonts w:ascii="Arial" w:cs="Arial" w:eastAsia="Arial" w:hAnsi="Arial"/>
                  <w:sz w:val="12"/>
                  <w:szCs w:val="12"/>
                  <w:color w:val="0000FF"/>
                  <w:w w:val="89"/>
                </w:rPr>
                <w:t>80</w:t>
              </w:r>
            </w:hyperlink>
          </w:p>
        </w:tc>
      </w:tr>
      <w:tr>
        <w:trPr>
          <w:trHeight w:val="164"/>
        </w:trPr>
        <w:tc>
          <w:tcPr>
            <w:tcW w:w="20" w:type="dxa"/>
            <w:vAlign w:val="bottom"/>
          </w:tcPr>
          <w:p>
            <w:pPr>
              <w:spacing w:after="0"/>
              <w:rPr>
                <w:sz w:val="14"/>
                <w:szCs w:val="14"/>
                <w:color w:val="auto"/>
              </w:rPr>
            </w:pPr>
          </w:p>
        </w:tc>
        <w:tc>
          <w:tcPr>
            <w:tcW w:w="520" w:type="dxa"/>
            <w:vAlign w:val="bottom"/>
            <w:tcBorders>
              <w:bottom w:val="single" w:sz="8" w:color="0000FF"/>
            </w:tcBorders>
          </w:tcPr>
          <w:p>
            <w:pPr>
              <w:spacing w:after="0"/>
              <w:rPr>
                <w:rFonts w:ascii="Arial" w:cs="Arial" w:eastAsia="Arial" w:hAnsi="Arial"/>
                <w:sz w:val="12"/>
                <w:szCs w:val="12"/>
                <w:color w:val="0000FF"/>
                <w:w w:val="87"/>
              </w:rPr>
            </w:pPr>
            <w:hyperlink w:anchor="page76">
              <w:r>
                <w:rPr>
                  <w:rFonts w:ascii="Arial" w:cs="Arial" w:eastAsia="Arial" w:hAnsi="Arial"/>
                  <w:sz w:val="12"/>
                  <w:szCs w:val="12"/>
                  <w:color w:val="0000FF"/>
                  <w:w w:val="87"/>
                </w:rPr>
                <w:t>Signatures</w:t>
              </w:r>
            </w:hyperlink>
          </w:p>
        </w:tc>
        <w:tc>
          <w:tcPr>
            <w:tcW w:w="480" w:type="dxa"/>
            <w:vAlign w:val="bottom"/>
            <w:gridSpan w:val="2"/>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jc w:val="center"/>
              <w:spacing w:after="0"/>
              <w:rPr>
                <w:rFonts w:ascii="Arial" w:cs="Arial" w:eastAsia="Arial" w:hAnsi="Arial"/>
                <w:sz w:val="12"/>
                <w:szCs w:val="12"/>
                <w:color w:val="0000FF"/>
                <w:w w:val="89"/>
              </w:rPr>
            </w:pPr>
            <w:hyperlink w:anchor="page76">
              <w:r>
                <w:rPr>
                  <w:rFonts w:ascii="Arial" w:cs="Arial" w:eastAsia="Arial" w:hAnsi="Arial"/>
                  <w:sz w:val="12"/>
                  <w:szCs w:val="12"/>
                  <w:color w:val="0000FF"/>
                  <w:w w:val="89"/>
                </w:rPr>
                <w:t>81</w:t>
              </w:r>
            </w:hyperlink>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3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47625</wp:posOffset>
            </wp:positionV>
            <wp:extent cx="719137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140"/>
          </w:cols>
          <w:pgMar w:left="540" w:top="308" w:right="1219" w:bottom="1440" w:gutter="0" w:footer="0" w:header="0"/>
        </w:sectPr>
      </w:pPr>
    </w:p>
    <w:bookmarkStart w:id="2" w:name="page3"/>
    <w:bookmarkEnd w:id="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1"/>
          <w:szCs w:val="11"/>
          <w:color w:val="auto"/>
        </w:rPr>
        <w:t>Unless the context suggests otherwise, references in this Quarterly Report on Form 10-Q to “Tempest,” “the Company,” “we,” “us,” and “our” refer to Tempest Therapeutics, Inc. and, where appropriate, its subsidiaries.</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1"/>
          <w:szCs w:val="11"/>
          <w:color w:val="auto"/>
        </w:rPr>
        <w:t>This Quarterly Report on Form 10-Q contains forward-looking statements (including within the meaning of Section 21E of the Securities Exchange Act of 1934, as amended, and Section 27A of the Securities Act of 1933, as amended (the Securities Act)) about us and our industry that involve substantial risks and uncertainties. These statements may discuss goals, intentions and expectations as to future plans, trends, events, results of operations or financial condition, or otherwise, based on current beliefs of our management, as well as assumptions made by, and information currently available to, our management. Forward-looking statements generally include statements that are predictive in nature and depend upon or refer to future events or conditions, and include words such as “may,” “will,” “should,” “would,” “could”, “expect,” “anticipate,” “plan,” “likely,” “believe,” “estimate,”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our strategies, prospects, plans, expectations or objectives for future operations; the progress, scope or timing of the development of our product candidates; the benefits that may be derived from any future products or the commercial or market opportunity with respect to any of our future products; our ability to protect our intellectual property rights; our anticipated operations, financial position, ability to raise capital to fund operations, revenues, costs or expenses; statements regarding future economic conditions or performance; statements of belief and any statement of assumptions underlying any of the foregoing. These risks and uncertainties include, but are not limited to, the risks included in this Quarterly Report on Form 10-Q under Part II, Item 1A, “Risk Factors.” Other sections of this Quarterly Report on Form 10-Q, as well as our other disclosures and filings,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update or revise any forward-looking statements contained in this report, whether as a result of new information, future events or otherwise.</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Forward-looking statements contained in this Quarterly Report on Form 10-Q include, but are not limited to, statements about:</w:t>
      </w:r>
    </w:p>
    <w:p>
      <w:pPr>
        <w:spacing w:after="0" w:line="185" w:lineRule="exact"/>
        <w:rPr>
          <w:sz w:val="20"/>
          <w:szCs w:val="20"/>
          <w:color w:val="auto"/>
        </w:rPr>
      </w:pPr>
    </w:p>
    <w:p>
      <w:pPr>
        <w:ind w:left="740" w:hanging="243"/>
        <w:spacing w:after="0"/>
        <w:tabs>
          <w:tab w:leader="none" w:pos="740" w:val="left"/>
        </w:tabs>
        <w:numPr>
          <w:ilvl w:val="0"/>
          <w:numId w:val="1"/>
        </w:numPr>
        <w:rPr>
          <w:rFonts w:ascii="Arial" w:cs="Arial" w:eastAsia="Arial" w:hAnsi="Arial"/>
          <w:sz w:val="14"/>
          <w:szCs w:val="14"/>
          <w:color w:val="auto"/>
        </w:rPr>
      </w:pPr>
      <w:r>
        <w:rPr>
          <w:rFonts w:ascii="Arial" w:cs="Arial" w:eastAsia="Arial" w:hAnsi="Arial"/>
          <w:sz w:val="12"/>
          <w:szCs w:val="12"/>
          <w:color w:val="auto"/>
        </w:rPr>
        <w:t>our expected future gr</w:t>
      </w:r>
      <w:r>
        <w:rPr>
          <w:rFonts w:ascii="Arial" w:cs="Arial" w:eastAsia="Arial" w:hAnsi="Arial"/>
          <w:sz w:val="13"/>
          <w:szCs w:val="13"/>
          <w:color w:val="auto"/>
        </w:rPr>
        <w:t>owth and our ability to manage such growth;</w:t>
      </w:r>
    </w:p>
    <w:p>
      <w:pPr>
        <w:spacing w:after="0" w:line="186" w:lineRule="exact"/>
        <w:rPr>
          <w:rFonts w:ascii="Arial" w:cs="Arial" w:eastAsia="Arial" w:hAnsi="Arial"/>
          <w:sz w:val="14"/>
          <w:szCs w:val="14"/>
          <w:color w:val="auto"/>
        </w:rPr>
      </w:pPr>
    </w:p>
    <w:p>
      <w:pPr>
        <w:ind w:left="740" w:hanging="243"/>
        <w:spacing w:after="0"/>
        <w:tabs>
          <w:tab w:leader="none" w:pos="740" w:val="left"/>
        </w:tabs>
        <w:numPr>
          <w:ilvl w:val="0"/>
          <w:numId w:val="1"/>
        </w:numPr>
        <w:rPr>
          <w:rFonts w:ascii="Arial" w:cs="Arial" w:eastAsia="Arial" w:hAnsi="Arial"/>
          <w:sz w:val="14"/>
          <w:szCs w:val="14"/>
          <w:color w:val="auto"/>
        </w:rPr>
      </w:pPr>
      <w:r>
        <w:rPr>
          <w:rFonts w:ascii="Arial" w:cs="Arial" w:eastAsia="Arial" w:hAnsi="Arial"/>
          <w:sz w:val="12"/>
          <w:szCs w:val="12"/>
          <w:color w:val="auto"/>
        </w:rPr>
        <w:t>our ability to develop, obtain re</w:t>
      </w:r>
      <w:r>
        <w:rPr>
          <w:rFonts w:ascii="Arial" w:cs="Arial" w:eastAsia="Arial" w:hAnsi="Arial"/>
          <w:sz w:val="13"/>
          <w:szCs w:val="13"/>
          <w:color w:val="auto"/>
        </w:rPr>
        <w:t>gulatory approval for and commercialize TPST-1495 and TPST-1120 and our future product candidates;</w:t>
      </w:r>
    </w:p>
    <w:p>
      <w:pPr>
        <w:spacing w:after="0" w:line="186" w:lineRule="exact"/>
        <w:rPr>
          <w:rFonts w:ascii="Arial" w:cs="Arial" w:eastAsia="Arial" w:hAnsi="Arial"/>
          <w:sz w:val="14"/>
          <w:szCs w:val="14"/>
          <w:color w:val="auto"/>
        </w:rPr>
      </w:pPr>
    </w:p>
    <w:p>
      <w:pPr>
        <w:ind w:left="740" w:hanging="243"/>
        <w:spacing w:after="0"/>
        <w:tabs>
          <w:tab w:leader="none" w:pos="740" w:val="left"/>
        </w:tabs>
        <w:numPr>
          <w:ilvl w:val="0"/>
          <w:numId w:val="1"/>
        </w:numPr>
        <w:rPr>
          <w:rFonts w:ascii="Arial" w:cs="Arial" w:eastAsia="Arial" w:hAnsi="Arial"/>
          <w:sz w:val="14"/>
          <w:szCs w:val="14"/>
          <w:color w:val="auto"/>
        </w:rPr>
      </w:pPr>
      <w:r>
        <w:rPr>
          <w:rFonts w:ascii="Arial" w:cs="Arial" w:eastAsia="Arial" w:hAnsi="Arial"/>
          <w:sz w:val="12"/>
          <w:szCs w:val="12"/>
          <w:color w:val="auto"/>
        </w:rPr>
        <w:t>the size and growth potential of t</w:t>
      </w:r>
      <w:r>
        <w:rPr>
          <w:rFonts w:ascii="Arial" w:cs="Arial" w:eastAsia="Arial" w:hAnsi="Arial"/>
          <w:sz w:val="13"/>
          <w:szCs w:val="13"/>
          <w:color w:val="auto"/>
        </w:rPr>
        <w:t>he markets for our product candidates, and our ability to serve those markets;</w:t>
      </w:r>
    </w:p>
    <w:p>
      <w:pPr>
        <w:spacing w:after="0" w:line="186" w:lineRule="exact"/>
        <w:rPr>
          <w:rFonts w:ascii="Arial" w:cs="Arial" w:eastAsia="Arial" w:hAnsi="Arial"/>
          <w:sz w:val="14"/>
          <w:szCs w:val="14"/>
          <w:color w:val="auto"/>
        </w:rPr>
      </w:pPr>
    </w:p>
    <w:p>
      <w:pPr>
        <w:ind w:left="740" w:hanging="243"/>
        <w:spacing w:after="0"/>
        <w:tabs>
          <w:tab w:leader="none" w:pos="740" w:val="left"/>
        </w:tabs>
        <w:numPr>
          <w:ilvl w:val="0"/>
          <w:numId w:val="1"/>
        </w:numPr>
        <w:rPr>
          <w:rFonts w:ascii="Arial" w:cs="Arial" w:eastAsia="Arial" w:hAnsi="Arial"/>
          <w:sz w:val="14"/>
          <w:szCs w:val="14"/>
          <w:color w:val="auto"/>
        </w:rPr>
      </w:pPr>
      <w:r>
        <w:rPr>
          <w:rFonts w:ascii="Arial" w:cs="Arial" w:eastAsia="Arial" w:hAnsi="Arial"/>
          <w:sz w:val="12"/>
          <w:szCs w:val="12"/>
          <w:color w:val="auto"/>
        </w:rPr>
        <w:t>the development, regulatory appr</w:t>
      </w:r>
      <w:r>
        <w:rPr>
          <w:rFonts w:ascii="Arial" w:cs="Arial" w:eastAsia="Arial" w:hAnsi="Arial"/>
          <w:sz w:val="13"/>
          <w:szCs w:val="13"/>
          <w:color w:val="auto"/>
        </w:rPr>
        <w:t>oval, efficacy and commercialization of competing products;</w:t>
      </w:r>
    </w:p>
    <w:p>
      <w:pPr>
        <w:spacing w:after="0" w:line="186" w:lineRule="exact"/>
        <w:rPr>
          <w:rFonts w:ascii="Arial" w:cs="Arial" w:eastAsia="Arial" w:hAnsi="Arial"/>
          <w:sz w:val="14"/>
          <w:szCs w:val="14"/>
          <w:color w:val="auto"/>
        </w:rPr>
      </w:pPr>
    </w:p>
    <w:p>
      <w:pPr>
        <w:ind w:left="740" w:hanging="243"/>
        <w:spacing w:after="0"/>
        <w:tabs>
          <w:tab w:leader="none" w:pos="740" w:val="left"/>
        </w:tabs>
        <w:numPr>
          <w:ilvl w:val="0"/>
          <w:numId w:val="1"/>
        </w:numPr>
        <w:rPr>
          <w:rFonts w:ascii="Arial" w:cs="Arial" w:eastAsia="Arial" w:hAnsi="Arial"/>
          <w:sz w:val="14"/>
          <w:szCs w:val="14"/>
          <w:color w:val="auto"/>
        </w:rPr>
      </w:pPr>
      <w:r>
        <w:rPr>
          <w:rFonts w:ascii="Arial" w:cs="Arial" w:eastAsia="Arial" w:hAnsi="Arial"/>
          <w:sz w:val="12"/>
          <w:szCs w:val="12"/>
          <w:color w:val="auto"/>
        </w:rPr>
        <w:t>our ability to establish sales an</w:t>
      </w:r>
      <w:r>
        <w:rPr>
          <w:rFonts w:ascii="Arial" w:cs="Arial" w:eastAsia="Arial" w:hAnsi="Arial"/>
          <w:sz w:val="13"/>
          <w:szCs w:val="13"/>
          <w:color w:val="auto"/>
        </w:rPr>
        <w:t>d marketing capabilities or enter into agreements with third parties to market and sell our product</w:t>
      </w:r>
      <w:r>
        <w:rPr>
          <w:rFonts w:ascii="Arial" w:cs="Arial" w:eastAsia="Arial" w:hAnsi="Arial"/>
          <w:sz w:val="12"/>
          <w:szCs w:val="12"/>
          <w:color w:val="auto"/>
        </w:rPr>
        <w:t xml:space="preserve"> candidates;</w:t>
      </w:r>
    </w:p>
    <w:p>
      <w:pPr>
        <w:spacing w:after="0" w:line="186" w:lineRule="exact"/>
        <w:rPr>
          <w:rFonts w:ascii="Arial" w:cs="Arial" w:eastAsia="Arial" w:hAnsi="Arial"/>
          <w:sz w:val="14"/>
          <w:szCs w:val="14"/>
          <w:color w:val="auto"/>
        </w:rPr>
      </w:pPr>
    </w:p>
    <w:p>
      <w:pPr>
        <w:ind w:left="740" w:hanging="243"/>
        <w:spacing w:after="0"/>
        <w:tabs>
          <w:tab w:leader="none" w:pos="740" w:val="left"/>
        </w:tabs>
        <w:numPr>
          <w:ilvl w:val="0"/>
          <w:numId w:val="1"/>
        </w:numPr>
        <w:rPr>
          <w:rFonts w:ascii="Arial" w:cs="Arial" w:eastAsia="Arial" w:hAnsi="Arial"/>
          <w:sz w:val="13"/>
          <w:szCs w:val="13"/>
          <w:color w:val="auto"/>
        </w:rPr>
      </w:pPr>
      <w:r>
        <w:rPr>
          <w:rFonts w:ascii="Arial" w:cs="Arial" w:eastAsia="Arial" w:hAnsi="Arial"/>
          <w:sz w:val="11"/>
          <w:szCs w:val="11"/>
          <w:color w:val="auto"/>
        </w:rPr>
        <w:t>our ability to retain regulatory a</w:t>
      </w:r>
      <w:r>
        <w:rPr>
          <w:rFonts w:ascii="Arial" w:cs="Arial" w:eastAsia="Arial" w:hAnsi="Arial"/>
          <w:sz w:val="12"/>
          <w:szCs w:val="12"/>
          <w:color w:val="auto"/>
        </w:rPr>
        <w:t>pproval for our product candidates or future product candidates in the United States and in any foreign countries in which we make seek to do business;</w:t>
      </w:r>
    </w:p>
    <w:p>
      <w:pPr>
        <w:spacing w:after="0" w:line="197" w:lineRule="exact"/>
        <w:rPr>
          <w:rFonts w:ascii="Arial" w:cs="Arial" w:eastAsia="Arial" w:hAnsi="Arial"/>
          <w:sz w:val="13"/>
          <w:szCs w:val="13"/>
          <w:color w:val="auto"/>
        </w:rPr>
      </w:pPr>
    </w:p>
    <w:p>
      <w:pPr>
        <w:ind w:left="740" w:hanging="243"/>
        <w:spacing w:after="0"/>
        <w:tabs>
          <w:tab w:leader="none" w:pos="740" w:val="left"/>
        </w:tabs>
        <w:numPr>
          <w:ilvl w:val="0"/>
          <w:numId w:val="1"/>
        </w:numPr>
        <w:rPr>
          <w:rFonts w:ascii="Arial" w:cs="Arial" w:eastAsia="Arial" w:hAnsi="Arial"/>
          <w:sz w:val="14"/>
          <w:szCs w:val="14"/>
          <w:color w:val="auto"/>
        </w:rPr>
      </w:pPr>
      <w:r>
        <w:rPr>
          <w:rFonts w:ascii="Arial" w:cs="Arial" w:eastAsia="Arial" w:hAnsi="Arial"/>
          <w:sz w:val="12"/>
          <w:szCs w:val="12"/>
          <w:color w:val="auto"/>
        </w:rPr>
        <w:t xml:space="preserve">our ability to retain and hire </w:t>
      </w:r>
      <w:r>
        <w:rPr>
          <w:rFonts w:ascii="Arial" w:cs="Arial" w:eastAsia="Arial" w:hAnsi="Arial"/>
          <w:sz w:val="13"/>
          <w:szCs w:val="13"/>
          <w:color w:val="auto"/>
        </w:rPr>
        <w:t>our board of directors, senior management, or operational personnel;</w:t>
      </w:r>
    </w:p>
    <w:p>
      <w:pPr>
        <w:spacing w:after="0" w:line="186" w:lineRule="exact"/>
        <w:rPr>
          <w:rFonts w:ascii="Arial" w:cs="Arial" w:eastAsia="Arial" w:hAnsi="Arial"/>
          <w:sz w:val="14"/>
          <w:szCs w:val="14"/>
          <w:color w:val="auto"/>
        </w:rPr>
      </w:pPr>
    </w:p>
    <w:p>
      <w:pPr>
        <w:ind w:left="740" w:hanging="243"/>
        <w:spacing w:after="0"/>
        <w:tabs>
          <w:tab w:leader="none" w:pos="740" w:val="left"/>
        </w:tabs>
        <w:numPr>
          <w:ilvl w:val="0"/>
          <w:numId w:val="1"/>
        </w:numPr>
        <w:rPr>
          <w:rFonts w:ascii="Arial" w:cs="Arial" w:eastAsia="Arial" w:hAnsi="Arial"/>
          <w:sz w:val="13"/>
          <w:szCs w:val="13"/>
          <w:color w:val="auto"/>
        </w:rPr>
      </w:pPr>
      <w:r>
        <w:rPr>
          <w:rFonts w:ascii="Arial" w:cs="Arial" w:eastAsia="Arial" w:hAnsi="Arial"/>
          <w:sz w:val="11"/>
          <w:szCs w:val="11"/>
          <w:color w:val="auto"/>
        </w:rPr>
        <w:t>our ability to integrate TempestTx, Inc. and Millendo Therapeutics, Inc. (now the Company) successfully and realize the anticipated benefits of the merger of the two enti</w:t>
      </w:r>
      <w:r>
        <w:rPr>
          <w:rFonts w:ascii="Arial" w:cs="Arial" w:eastAsia="Arial" w:hAnsi="Arial"/>
          <w:sz w:val="12"/>
          <w:szCs w:val="12"/>
          <w:color w:val="auto"/>
        </w:rPr>
        <w:t>ties, which closed in July 2021;</w:t>
      </w:r>
    </w:p>
    <w:p>
      <w:pPr>
        <w:spacing w:after="0" w:line="197" w:lineRule="exact"/>
        <w:rPr>
          <w:rFonts w:ascii="Arial" w:cs="Arial" w:eastAsia="Arial" w:hAnsi="Arial"/>
          <w:sz w:val="13"/>
          <w:szCs w:val="13"/>
          <w:color w:val="auto"/>
        </w:rPr>
      </w:pPr>
    </w:p>
    <w:p>
      <w:pPr>
        <w:ind w:left="740" w:hanging="243"/>
        <w:spacing w:after="0"/>
        <w:tabs>
          <w:tab w:leader="none" w:pos="740" w:val="left"/>
        </w:tabs>
        <w:numPr>
          <w:ilvl w:val="0"/>
          <w:numId w:val="1"/>
        </w:numPr>
        <w:rPr>
          <w:rFonts w:ascii="Arial" w:cs="Arial" w:eastAsia="Arial" w:hAnsi="Arial"/>
          <w:sz w:val="14"/>
          <w:szCs w:val="14"/>
          <w:color w:val="auto"/>
        </w:rPr>
      </w:pPr>
      <w:r>
        <w:rPr>
          <w:rFonts w:ascii="Arial" w:cs="Arial" w:eastAsia="Arial" w:hAnsi="Arial"/>
          <w:sz w:val="12"/>
          <w:szCs w:val="12"/>
          <w:color w:val="auto"/>
        </w:rPr>
        <w:t>our expectation regarding the pe</w:t>
      </w:r>
      <w:r>
        <w:rPr>
          <w:rFonts w:ascii="Arial" w:cs="Arial" w:eastAsia="Arial" w:hAnsi="Arial"/>
          <w:sz w:val="13"/>
          <w:szCs w:val="13"/>
          <w:color w:val="auto"/>
        </w:rPr>
        <w:t>riod during which we will qualify as a smaller reporting company under the federal securities laws:</w:t>
      </w:r>
    </w:p>
    <w:p>
      <w:pPr>
        <w:spacing w:after="0" w:line="186" w:lineRule="exact"/>
        <w:rPr>
          <w:rFonts w:ascii="Arial" w:cs="Arial" w:eastAsia="Arial" w:hAnsi="Arial"/>
          <w:sz w:val="14"/>
          <w:szCs w:val="14"/>
          <w:color w:val="auto"/>
        </w:rPr>
      </w:pPr>
    </w:p>
    <w:p>
      <w:pPr>
        <w:ind w:left="740" w:hanging="243"/>
        <w:spacing w:after="0" w:line="280" w:lineRule="auto"/>
        <w:tabs>
          <w:tab w:leader="none" w:pos="737" w:val="left"/>
        </w:tabs>
        <w:numPr>
          <w:ilvl w:val="0"/>
          <w:numId w:val="1"/>
        </w:numPr>
        <w:rPr>
          <w:rFonts w:ascii="Arial" w:cs="Arial" w:eastAsia="Arial" w:hAnsi="Arial"/>
          <w:sz w:val="14"/>
          <w:szCs w:val="14"/>
          <w:color w:val="auto"/>
        </w:rPr>
      </w:pPr>
      <w:r>
        <w:rPr>
          <w:rFonts w:ascii="Arial" w:cs="Arial" w:eastAsia="Arial" w:hAnsi="Arial"/>
          <w:sz w:val="12"/>
          <w:szCs w:val="12"/>
          <w:color w:val="auto"/>
        </w:rPr>
        <w:t>our ability to develop and maint</w:t>
      </w:r>
      <w:r>
        <w:rPr>
          <w:rFonts w:ascii="Arial" w:cs="Arial" w:eastAsia="Arial" w:hAnsi="Arial"/>
          <w:sz w:val="13"/>
          <w:szCs w:val="13"/>
          <w:color w:val="auto"/>
        </w:rPr>
        <w:t>ain our corporate infrastructure, including our ability to remediate our existing material w</w:t>
      </w:r>
      <w:r>
        <w:rPr>
          <w:rFonts w:ascii="Arial" w:cs="Arial" w:eastAsia="Arial" w:hAnsi="Arial"/>
          <w:sz w:val="12"/>
          <w:szCs w:val="12"/>
          <w:color w:val="auto"/>
        </w:rPr>
        <w:t>eakness and to design and maintain an effective system of internal controls;</w:t>
      </w:r>
    </w:p>
    <w:p>
      <w:pPr>
        <w:spacing w:after="0" w:line="141" w:lineRule="exact"/>
        <w:rPr>
          <w:rFonts w:ascii="Arial" w:cs="Arial" w:eastAsia="Arial" w:hAnsi="Arial"/>
          <w:sz w:val="14"/>
          <w:szCs w:val="14"/>
          <w:color w:val="auto"/>
        </w:rPr>
      </w:pPr>
    </w:p>
    <w:p>
      <w:pPr>
        <w:ind w:left="740" w:hanging="243"/>
        <w:spacing w:after="0"/>
        <w:tabs>
          <w:tab w:leader="none" w:pos="740" w:val="left"/>
        </w:tabs>
        <w:numPr>
          <w:ilvl w:val="0"/>
          <w:numId w:val="1"/>
        </w:numPr>
        <w:rPr>
          <w:rFonts w:ascii="Arial" w:cs="Arial" w:eastAsia="Arial" w:hAnsi="Arial"/>
          <w:sz w:val="14"/>
          <w:szCs w:val="14"/>
          <w:color w:val="auto"/>
        </w:rPr>
      </w:pPr>
      <w:r>
        <w:rPr>
          <w:rFonts w:ascii="Arial" w:cs="Arial" w:eastAsia="Arial" w:hAnsi="Arial"/>
          <w:sz w:val="12"/>
          <w:szCs w:val="12"/>
          <w:color w:val="auto"/>
        </w:rPr>
        <w:t>our financial performance and c</w:t>
      </w:r>
      <w:r>
        <w:rPr>
          <w:rFonts w:ascii="Arial" w:cs="Arial" w:eastAsia="Arial" w:hAnsi="Arial"/>
          <w:sz w:val="13"/>
          <w:szCs w:val="13"/>
          <w:color w:val="auto"/>
        </w:rPr>
        <w:t>apital requirements;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47625</wp:posOffset>
            </wp:positionV>
            <wp:extent cx="719137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6" w:right="559" w:bottom="1440" w:gutter="0" w:footer="0" w:header="0"/>
        </w:sectPr>
      </w:pPr>
    </w:p>
    <w:bookmarkStart w:id="3" w:name="page4"/>
    <w:bookmarkEnd w:id="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5" w:lineRule="exact"/>
        <w:rPr>
          <w:sz w:val="20"/>
          <w:szCs w:val="20"/>
          <w:color w:val="auto"/>
        </w:rPr>
      </w:pPr>
    </w:p>
    <w:p>
      <w:pPr>
        <w:ind w:left="740" w:hanging="243"/>
        <w:spacing w:after="0" w:line="282" w:lineRule="auto"/>
        <w:tabs>
          <w:tab w:leader="none" w:pos="737" w:val="left"/>
        </w:tabs>
        <w:numPr>
          <w:ilvl w:val="0"/>
          <w:numId w:val="2"/>
        </w:numPr>
        <w:rPr>
          <w:rFonts w:ascii="Arial" w:cs="Arial" w:eastAsia="Arial" w:hAnsi="Arial"/>
          <w:sz w:val="14"/>
          <w:szCs w:val="14"/>
          <w:color w:val="auto"/>
        </w:rPr>
      </w:pPr>
      <w:r>
        <w:rPr>
          <w:rFonts w:ascii="Arial" w:cs="Arial" w:eastAsia="Arial" w:hAnsi="Arial"/>
          <w:sz w:val="12"/>
          <w:szCs w:val="12"/>
          <w:color w:val="auto"/>
        </w:rPr>
        <w:t>our expectations regarding our ability to obtain, maintain and enforce intellectual property protection for our products and technology, as well as our ability to operate our busine</w:t>
      </w:r>
      <w:r>
        <w:rPr>
          <w:rFonts w:ascii="Arial" w:cs="Arial" w:eastAsia="Arial" w:hAnsi="Arial"/>
          <w:sz w:val="13"/>
          <w:szCs w:val="13"/>
          <w:color w:val="auto"/>
        </w:rPr>
        <w:t>ss without infringing,</w:t>
      </w:r>
      <w:r>
        <w:rPr>
          <w:rFonts w:ascii="Arial" w:cs="Arial" w:eastAsia="Arial" w:hAnsi="Arial"/>
          <w:sz w:val="12"/>
          <w:szCs w:val="12"/>
          <w:color w:val="auto"/>
        </w:rPr>
        <w:t xml:space="preserve"> </w:t>
      </w:r>
      <w:r>
        <w:rPr>
          <w:rFonts w:ascii="Arial" w:cs="Arial" w:eastAsia="Arial" w:hAnsi="Arial"/>
          <w:sz w:val="13"/>
          <w:szCs w:val="13"/>
          <w:color w:val="auto"/>
        </w:rPr>
        <w:t>misappropriating or otherwise violating the intellectual property rights of others</w:t>
      </w:r>
    </w:p>
    <w:p>
      <w:pPr>
        <w:spacing w:after="0" w:line="150"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You should read this Quarterly Report on Form 10-Q as well as the documents that we reference in,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47625</wp:posOffset>
            </wp:positionV>
            <wp:extent cx="719137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6" w:right="559" w:bottom="1440" w:gutter="0" w:footer="0" w:header="0"/>
        </w:sectPr>
      </w:pPr>
    </w:p>
    <w:bookmarkStart w:id="4" w:name="page5"/>
    <w:bookmarkEnd w:id="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PART I – FINANCIAL INFORMATION</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Item 1 – Financial Statements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TEMPEST THERAPEUTICS, INC.</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Consolidated Balance Sheets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7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(Unaudited) September 30,</w:t>
            </w:r>
          </w:p>
        </w:tc>
        <w:tc>
          <w:tcPr>
            <w:tcW w:w="240" w:type="dxa"/>
            <w:vAlign w:val="bottom"/>
          </w:tcPr>
          <w:p>
            <w:pPr>
              <w:spacing w:after="0"/>
              <w:rPr>
                <w:sz w:val="10"/>
                <w:szCs w:val="10"/>
                <w:color w:val="auto"/>
              </w:rPr>
            </w:pPr>
          </w:p>
        </w:tc>
        <w:tc>
          <w:tcPr>
            <w:tcW w:w="1180" w:type="dxa"/>
            <w:vAlign w:val="bottom"/>
          </w:tcPr>
          <w:p>
            <w:pPr>
              <w:jc w:val="right"/>
              <w:ind w:right="333"/>
              <w:spacing w:after="0"/>
              <w:rPr>
                <w:sz w:val="20"/>
                <w:szCs w:val="20"/>
                <w:color w:val="auto"/>
              </w:rPr>
            </w:pPr>
            <w:r>
              <w:rPr>
                <w:rFonts w:ascii="Arial" w:cs="Arial" w:eastAsia="Arial" w:hAnsi="Arial"/>
                <w:sz w:val="11"/>
                <w:szCs w:val="11"/>
                <w:b w:val="1"/>
                <w:bCs w:val="1"/>
                <w:color w:val="auto"/>
              </w:rPr>
              <w:t>December 31,</w:t>
            </w:r>
          </w:p>
        </w:tc>
      </w:tr>
      <w:tr>
        <w:trPr>
          <w:trHeight w:val="151"/>
        </w:trPr>
        <w:tc>
          <w:tcPr>
            <w:tcW w:w="7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ind w:right="533"/>
              <w:spacing w:after="0"/>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ind w:right="533"/>
              <w:spacing w:after="0"/>
              <w:rPr>
                <w:sz w:val="20"/>
                <w:szCs w:val="20"/>
                <w:color w:val="auto"/>
              </w:rPr>
            </w:pPr>
            <w:r>
              <w:rPr>
                <w:rFonts w:ascii="Arial" w:cs="Arial" w:eastAsia="Arial" w:hAnsi="Arial"/>
                <w:sz w:val="11"/>
                <w:szCs w:val="11"/>
                <w:b w:val="1"/>
                <w:bCs w:val="1"/>
                <w:color w:val="auto"/>
              </w:rPr>
              <w:t>2020</w:t>
            </w:r>
          </w:p>
        </w:tc>
      </w:tr>
      <w:tr>
        <w:trPr>
          <w:trHeight w:val="19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
        </w:trPr>
        <w:tc>
          <w:tcPr>
            <w:tcW w:w="7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59,716</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18,820</w:t>
            </w:r>
          </w:p>
        </w:tc>
      </w:tr>
      <w:tr>
        <w:trPr>
          <w:trHeight w:val="183"/>
        </w:trPr>
        <w:tc>
          <w:tcPr>
            <w:tcW w:w="7720" w:type="dxa"/>
            <w:vAlign w:val="bottom"/>
          </w:tcPr>
          <w:p>
            <w:pPr>
              <w:ind w:left="180"/>
              <w:spacing w:after="0"/>
              <w:rPr>
                <w:sz w:val="20"/>
                <w:szCs w:val="20"/>
                <w:color w:val="auto"/>
              </w:rPr>
            </w:pPr>
            <w:r>
              <w:rPr>
                <w:rFonts w:ascii="Arial" w:cs="Arial" w:eastAsia="Arial" w:hAnsi="Arial"/>
                <w:sz w:val="14"/>
                <w:szCs w:val="14"/>
                <w:color w:val="auto"/>
              </w:rPr>
              <w:t>Restricted cash</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7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4"/>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1,005</w:t>
            </w:r>
          </w:p>
        </w:tc>
      </w:tr>
      <w:tr>
        <w:trPr>
          <w:trHeight w:val="173"/>
        </w:trPr>
        <w:tc>
          <w:tcPr>
            <w:tcW w:w="7720" w:type="dxa"/>
            <w:vAlign w:val="bottom"/>
          </w:tcPr>
          <w:p>
            <w:pPr>
              <w:ind w:left="260"/>
              <w:spacing w:after="0"/>
              <w:rPr>
                <w:sz w:val="20"/>
                <w:szCs w:val="20"/>
                <w:color w:val="auto"/>
              </w:rPr>
            </w:pPr>
            <w:r>
              <w:rPr>
                <w:rFonts w:ascii="Arial" w:cs="Arial" w:eastAsia="Arial" w:hAnsi="Arial"/>
                <w:sz w:val="14"/>
                <w:szCs w:val="14"/>
                <w:color w:val="auto"/>
              </w:rPr>
              <w:t>Total current assets</w:t>
            </w: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62,557</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19,825</w:t>
            </w:r>
          </w:p>
        </w:tc>
      </w:tr>
      <w:tr>
        <w:trPr>
          <w:trHeight w:val="21"/>
        </w:trPr>
        <w:tc>
          <w:tcPr>
            <w:tcW w:w="7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 net</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1,110</w:t>
            </w: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3,357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1,877</w:t>
            </w:r>
          </w:p>
        </w:tc>
      </w:tr>
      <w:tr>
        <w:trPr>
          <w:trHeight w:val="21"/>
        </w:trPr>
        <w:tc>
          <w:tcPr>
            <w:tcW w:w="7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94"/>
        </w:trPr>
        <w:tc>
          <w:tcPr>
            <w:tcW w:w="772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67,142</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22,863</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45"/>
        </w:trPr>
        <w:tc>
          <w:tcPr>
            <w:tcW w:w="772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4"/>
                <w:szCs w:val="14"/>
                <w:b w:val="1"/>
                <w:bCs w:val="1"/>
                <w:color w:val="auto"/>
              </w:rPr>
              <w:t>Liabilities and stockholders’ equity (deficit)</w:t>
            </w:r>
          </w:p>
        </w:tc>
        <w:tc>
          <w:tcPr>
            <w:tcW w:w="8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
        </w:trPr>
        <w:tc>
          <w:tcPr>
            <w:tcW w:w="7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1,071</w:t>
            </w:r>
          </w:p>
        </w:tc>
      </w:tr>
      <w:tr>
        <w:trPr>
          <w:trHeight w:val="183"/>
        </w:trPr>
        <w:tc>
          <w:tcPr>
            <w:tcW w:w="7720" w:type="dxa"/>
            <w:vAlign w:val="bottom"/>
          </w:tcPr>
          <w:p>
            <w:pPr>
              <w:ind w:left="180"/>
              <w:spacing w:after="0"/>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1,658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665</w:t>
            </w:r>
          </w:p>
        </w:tc>
      </w:tr>
      <w:tr>
        <w:trPr>
          <w:trHeight w:val="21"/>
        </w:trPr>
        <w:tc>
          <w:tcPr>
            <w:tcW w:w="7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Current operating lease liabilities</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712</w:t>
            </w:r>
          </w:p>
        </w:tc>
      </w:tr>
      <w:tr>
        <w:trPr>
          <w:trHeight w:val="183"/>
        </w:trPr>
        <w:tc>
          <w:tcPr>
            <w:tcW w:w="7720" w:type="dxa"/>
            <w:vAlign w:val="bottom"/>
          </w:tcPr>
          <w:p>
            <w:pPr>
              <w:ind w:left="180"/>
              <w:spacing w:after="0"/>
              <w:rPr>
                <w:sz w:val="20"/>
                <w:szCs w:val="20"/>
                <w:color w:val="auto"/>
              </w:rPr>
            </w:pPr>
            <w:r>
              <w:rPr>
                <w:rFonts w:ascii="Arial" w:cs="Arial" w:eastAsia="Arial" w:hAnsi="Arial"/>
                <w:sz w:val="14"/>
                <w:szCs w:val="14"/>
                <w:color w:val="auto"/>
              </w:rPr>
              <w:t>Accrued compensation</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664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695</w:t>
            </w:r>
          </w:p>
        </w:tc>
      </w:tr>
      <w:tr>
        <w:trPr>
          <w:trHeight w:val="21"/>
        </w:trPr>
        <w:tc>
          <w:tcPr>
            <w:tcW w:w="7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 payable</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720" w:type="dxa"/>
            <w:vAlign w:val="bottom"/>
          </w:tcPr>
          <w:p>
            <w:pPr>
              <w:ind w:left="180"/>
              <w:spacing w:after="0"/>
              <w:rPr>
                <w:sz w:val="20"/>
                <w:szCs w:val="20"/>
                <w:color w:val="auto"/>
              </w:rPr>
            </w:pPr>
            <w:r>
              <w:rPr>
                <w:rFonts w:ascii="Arial" w:cs="Arial" w:eastAsia="Arial" w:hAnsi="Arial"/>
                <w:sz w:val="14"/>
                <w:szCs w:val="14"/>
                <w:color w:val="auto"/>
              </w:rPr>
              <w:t>Early option exercise liability</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1"/>
        </w:trPr>
        <w:tc>
          <w:tcPr>
            <w:tcW w:w="7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4"/>
        </w:trPr>
        <w:tc>
          <w:tcPr>
            <w:tcW w:w="7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current liabilities</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3,222</w:t>
            </w: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Loan payable (net of discount and issuance costs of $820)</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15,005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7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1,727</w:t>
            </w:r>
          </w:p>
        </w:tc>
      </w:tr>
      <w:tr>
        <w:trPr>
          <w:trHeight w:val="173"/>
        </w:trPr>
        <w:tc>
          <w:tcPr>
            <w:tcW w:w="7720" w:type="dxa"/>
            <w:vAlign w:val="bottom"/>
          </w:tcPr>
          <w:p>
            <w:pPr>
              <w:ind w:left="180"/>
              <w:spacing w:after="0"/>
              <w:rPr>
                <w:sz w:val="20"/>
                <w:szCs w:val="20"/>
                <w:color w:val="auto"/>
              </w:rPr>
            </w:pPr>
            <w:r>
              <w:rPr>
                <w:rFonts w:ascii="Arial" w:cs="Arial" w:eastAsia="Arial" w:hAnsi="Arial"/>
                <w:sz w:val="14"/>
                <w:szCs w:val="14"/>
                <w:color w:val="auto"/>
              </w:rPr>
              <w:t>Total liabilities</w:t>
            </w: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23,606</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4,949</w:t>
            </w:r>
          </w:p>
        </w:tc>
      </w:tr>
      <w:tr>
        <w:trPr>
          <w:trHeight w:val="21"/>
        </w:trPr>
        <w:tc>
          <w:tcPr>
            <w:tcW w:w="7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8)</w:t>
            </w:r>
          </w:p>
        </w:tc>
        <w:tc>
          <w:tcPr>
            <w:tcW w:w="8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r>
      <w:tr>
        <w:trPr>
          <w:trHeight w:val="173"/>
        </w:trPr>
        <w:tc>
          <w:tcPr>
            <w:tcW w:w="7720" w:type="dxa"/>
            <w:vAlign w:val="bottom"/>
          </w:tcPr>
          <w:p>
            <w:pPr>
              <w:ind w:left="20"/>
              <w:spacing w:after="0"/>
              <w:rPr>
                <w:sz w:val="20"/>
                <w:szCs w:val="20"/>
                <w:color w:val="auto"/>
              </w:rPr>
            </w:pPr>
            <w:r>
              <w:rPr>
                <w:rFonts w:ascii="Arial" w:cs="Arial" w:eastAsia="Arial" w:hAnsi="Arial"/>
                <w:sz w:val="14"/>
                <w:szCs w:val="14"/>
                <w:color w:val="auto"/>
                <w:w w:val="86"/>
              </w:rPr>
              <w:t>Convertible preferred stock, $0.001 par value; shares 5,000,000 and 135,936,731 shares authorized at September 30, 2021 and December 31,</w:t>
            </w: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63"/>
        </w:trPr>
        <w:tc>
          <w:tcPr>
            <w:tcW w:w="7720" w:type="dxa"/>
            <w:vAlign w:val="bottom"/>
          </w:tcPr>
          <w:p>
            <w:pPr>
              <w:ind w:left="20"/>
              <w:spacing w:after="0"/>
              <w:rPr>
                <w:sz w:val="20"/>
                <w:szCs w:val="20"/>
                <w:color w:val="auto"/>
              </w:rPr>
            </w:pPr>
            <w:r>
              <w:rPr>
                <w:rFonts w:ascii="Arial" w:cs="Arial" w:eastAsia="Arial" w:hAnsi="Arial"/>
                <w:sz w:val="14"/>
                <w:szCs w:val="14"/>
                <w:color w:val="auto"/>
                <w:w w:val="87"/>
              </w:rPr>
              <w:t>2020; nil and 114,686,731 shares issued and outstanding at September 30, 2021 and December 31, 2020, respectively; liquidation preference</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3"/>
        </w:trPr>
        <w:tc>
          <w:tcPr>
            <w:tcW w:w="7720" w:type="dxa"/>
            <w:vAlign w:val="bottom"/>
          </w:tcPr>
          <w:p>
            <w:pPr>
              <w:ind w:left="20"/>
              <w:spacing w:after="0"/>
              <w:rPr>
                <w:sz w:val="20"/>
                <w:szCs w:val="20"/>
                <w:color w:val="auto"/>
              </w:rPr>
            </w:pPr>
            <w:r>
              <w:rPr>
                <w:rFonts w:ascii="Arial" w:cs="Arial" w:eastAsia="Arial" w:hAnsi="Arial"/>
                <w:sz w:val="14"/>
                <w:szCs w:val="14"/>
                <w:color w:val="auto"/>
              </w:rPr>
              <w:t>of $0 and $100,186,832 at September 30, 2021 and December 31, 2020, respectively</w:t>
            </w:r>
          </w:p>
        </w:tc>
        <w:tc>
          <w:tcPr>
            <w:tcW w:w="80" w:type="dxa"/>
            <w:vAlign w:val="bottom"/>
          </w:tcPr>
          <w:p>
            <w:pPr>
              <w:spacing w:after="0"/>
              <w:rPr>
                <w:sz w:val="15"/>
                <w:szCs w:val="15"/>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86,707</w:t>
            </w:r>
          </w:p>
        </w:tc>
      </w:tr>
      <w:tr>
        <w:trPr>
          <w:trHeight w:val="21"/>
        </w:trPr>
        <w:tc>
          <w:tcPr>
            <w:tcW w:w="7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 (deficit):</w:t>
            </w:r>
          </w:p>
        </w:tc>
        <w:tc>
          <w:tcPr>
            <w:tcW w:w="8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r>
      <w:tr>
        <w:trPr>
          <w:trHeight w:val="173"/>
        </w:trPr>
        <w:tc>
          <w:tcPr>
            <w:tcW w:w="7720" w:type="dxa"/>
            <w:vAlign w:val="bottom"/>
          </w:tcPr>
          <w:p>
            <w:pPr>
              <w:ind w:left="180"/>
              <w:spacing w:after="0"/>
              <w:rPr>
                <w:sz w:val="20"/>
                <w:szCs w:val="20"/>
                <w:color w:val="auto"/>
              </w:rPr>
            </w:pPr>
            <w:r>
              <w:rPr>
                <w:rFonts w:ascii="Arial" w:cs="Arial" w:eastAsia="Arial" w:hAnsi="Arial"/>
                <w:sz w:val="14"/>
                <w:szCs w:val="14"/>
                <w:color w:val="auto"/>
                <w:w w:val="86"/>
              </w:rPr>
              <w:t>Common stock, $0.001 par value; 100,000,000 shares and 196,000,000 shares authorized at September 30, 2021 and December 31, 2020;</w:t>
            </w: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63"/>
        </w:trPr>
        <w:tc>
          <w:tcPr>
            <w:tcW w:w="7720" w:type="dxa"/>
            <w:vAlign w:val="bottom"/>
          </w:tcPr>
          <w:p>
            <w:pPr>
              <w:ind w:left="180"/>
              <w:spacing w:after="0"/>
              <w:rPr>
                <w:sz w:val="20"/>
                <w:szCs w:val="20"/>
                <w:color w:val="auto"/>
              </w:rPr>
            </w:pPr>
            <w:r>
              <w:rPr>
                <w:rFonts w:ascii="Arial" w:cs="Arial" w:eastAsia="Arial" w:hAnsi="Arial"/>
                <w:sz w:val="14"/>
                <w:szCs w:val="14"/>
                <w:color w:val="auto"/>
                <w:w w:val="88"/>
              </w:rPr>
              <w:t>6,900,731 and 527,265 shares issued and outstanding, 136 and 29,041 subject to repurchase at September 30, 2021 and December 31,</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3"/>
        </w:trPr>
        <w:tc>
          <w:tcPr>
            <w:tcW w:w="7720" w:type="dxa"/>
            <w:vAlign w:val="bottom"/>
          </w:tcPr>
          <w:p>
            <w:pPr>
              <w:ind w:left="180"/>
              <w:spacing w:after="0"/>
              <w:rPr>
                <w:sz w:val="20"/>
                <w:szCs w:val="20"/>
                <w:color w:val="auto"/>
              </w:rPr>
            </w:pPr>
            <w:r>
              <w:rPr>
                <w:rFonts w:ascii="Arial" w:cs="Arial" w:eastAsia="Arial" w:hAnsi="Arial"/>
                <w:sz w:val="14"/>
                <w:szCs w:val="14"/>
                <w:color w:val="auto"/>
              </w:rPr>
              <w:t>2020, respectively</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1"/>
        </w:trPr>
        <w:tc>
          <w:tcPr>
            <w:tcW w:w="7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4"/>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135,902</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2,953</w:t>
            </w:r>
          </w:p>
        </w:tc>
      </w:tr>
      <w:tr>
        <w:trPr>
          <w:trHeight w:val="183"/>
        </w:trPr>
        <w:tc>
          <w:tcPr>
            <w:tcW w:w="7720" w:type="dxa"/>
            <w:vAlign w:val="bottom"/>
          </w:tcPr>
          <w:p>
            <w:pPr>
              <w:ind w:left="180"/>
              <w:spacing w:after="0"/>
              <w:rPr>
                <w:sz w:val="20"/>
                <w:szCs w:val="20"/>
                <w:color w:val="auto"/>
              </w:rPr>
            </w:pPr>
            <w:r>
              <w:rPr>
                <w:rFonts w:ascii="Arial" w:cs="Arial" w:eastAsia="Arial" w:hAnsi="Arial"/>
                <w:sz w:val="14"/>
                <w:szCs w:val="14"/>
                <w:color w:val="auto"/>
              </w:rPr>
              <w:t>Accumulated other comprehensive loss</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7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4"/>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Accumulated deficit</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(92,284)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(71,761)</w:t>
            </w:r>
          </w:p>
        </w:tc>
      </w:tr>
      <w:tr>
        <w:trPr>
          <w:trHeight w:val="173"/>
        </w:trPr>
        <w:tc>
          <w:tcPr>
            <w:tcW w:w="7720" w:type="dxa"/>
            <w:vAlign w:val="bottom"/>
          </w:tcPr>
          <w:p>
            <w:pPr>
              <w:ind w:left="180"/>
              <w:spacing w:after="0"/>
              <w:rPr>
                <w:sz w:val="20"/>
                <w:szCs w:val="20"/>
                <w:color w:val="auto"/>
              </w:rPr>
            </w:pPr>
            <w:r>
              <w:rPr>
                <w:rFonts w:ascii="Arial" w:cs="Arial" w:eastAsia="Arial" w:hAnsi="Arial"/>
                <w:sz w:val="14"/>
                <w:szCs w:val="14"/>
                <w:color w:val="auto"/>
              </w:rPr>
              <w:t>Total stockholders’ equity (deficit)</w:t>
            </w: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43,536</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(68,793)</w:t>
            </w:r>
          </w:p>
        </w:tc>
      </w:tr>
      <w:tr>
        <w:trPr>
          <w:trHeight w:val="21"/>
        </w:trPr>
        <w:tc>
          <w:tcPr>
            <w:tcW w:w="7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9"/>
        </w:trPr>
        <w:tc>
          <w:tcPr>
            <w:tcW w:w="7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liabilities, convertible preferred stock and stockholders’ equity (deficit)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67,142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22,863</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See accompanying Notes to unaudited Interim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47625</wp:posOffset>
            </wp:positionV>
            <wp:extent cx="719137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740"/>
          </w:cols>
          <w:pgMar w:left="540" w:top="316" w:right="619" w:bottom="1440" w:gutter="0" w:footer="0" w:header="0"/>
        </w:sectPr>
      </w:pPr>
    </w:p>
    <w:bookmarkStart w:id="5" w:name="page6"/>
    <w:bookmarkEnd w:id="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5" w:lineRule="exact"/>
        <w:rPr>
          <w:sz w:val="20"/>
          <w:szCs w:val="20"/>
          <w:color w:val="auto"/>
        </w:rPr>
      </w:pPr>
    </w:p>
    <w:p>
      <w:pPr>
        <w:jc w:val="center"/>
        <w:ind w:right="-419"/>
        <w:spacing w:after="0"/>
        <w:rPr>
          <w:sz w:val="20"/>
          <w:szCs w:val="20"/>
          <w:color w:val="auto"/>
        </w:rPr>
      </w:pPr>
      <w:r>
        <w:rPr>
          <w:rFonts w:ascii="Arial" w:cs="Arial" w:eastAsia="Arial" w:hAnsi="Arial"/>
          <w:sz w:val="12"/>
          <w:szCs w:val="12"/>
          <w:b w:val="1"/>
          <w:bCs w:val="1"/>
          <w:color w:val="auto"/>
        </w:rPr>
        <w:t>TEMPEST THERAPEUTICS, INC.</w:t>
      </w:r>
    </w:p>
    <w:p>
      <w:pPr>
        <w:spacing w:after="0" w:line="19" w:lineRule="exact"/>
        <w:rPr>
          <w:sz w:val="20"/>
          <w:szCs w:val="20"/>
          <w:color w:val="auto"/>
        </w:rPr>
      </w:pPr>
    </w:p>
    <w:p>
      <w:pPr>
        <w:jc w:val="center"/>
        <w:ind w:right="-419"/>
        <w:spacing w:after="0"/>
        <w:rPr>
          <w:sz w:val="20"/>
          <w:szCs w:val="20"/>
          <w:color w:val="auto"/>
        </w:rPr>
      </w:pPr>
      <w:r>
        <w:rPr>
          <w:rFonts w:ascii="Arial" w:cs="Arial" w:eastAsia="Arial" w:hAnsi="Arial"/>
          <w:sz w:val="12"/>
          <w:szCs w:val="12"/>
          <w:b w:val="1"/>
          <w:bCs w:val="1"/>
          <w:color w:val="auto"/>
        </w:rPr>
        <w:t>Consolidated Statements of Operations and Comprehensive Loss</w:t>
      </w:r>
    </w:p>
    <w:p>
      <w:pPr>
        <w:spacing w:after="0" w:line="5" w:lineRule="exact"/>
        <w:rPr>
          <w:sz w:val="20"/>
          <w:szCs w:val="20"/>
          <w:color w:val="auto"/>
        </w:rPr>
      </w:pPr>
    </w:p>
    <w:p>
      <w:pPr>
        <w:jc w:val="center"/>
        <w:ind w:right="-419"/>
        <w:spacing w:after="0"/>
        <w:rPr>
          <w:sz w:val="20"/>
          <w:szCs w:val="20"/>
          <w:color w:val="auto"/>
        </w:rPr>
      </w:pPr>
      <w:r>
        <w:rPr>
          <w:rFonts w:ascii="Arial" w:cs="Arial" w:eastAsia="Arial" w:hAnsi="Arial"/>
          <w:sz w:val="12"/>
          <w:szCs w:val="12"/>
          <w:b w:val="1"/>
          <w:bCs w:val="1"/>
          <w:color w:val="auto"/>
        </w:rPr>
        <w:t>(Unaudited)</w:t>
      </w:r>
    </w:p>
    <w:p>
      <w:pPr>
        <w:spacing w:after="0" w:line="5" w:lineRule="exact"/>
        <w:rPr>
          <w:sz w:val="20"/>
          <w:szCs w:val="20"/>
          <w:color w:val="auto"/>
        </w:rPr>
      </w:pPr>
    </w:p>
    <w:p>
      <w:pPr>
        <w:jc w:val="center"/>
        <w:ind w:right="-419"/>
        <w:spacing w:after="0"/>
        <w:rPr>
          <w:sz w:val="20"/>
          <w:szCs w:val="20"/>
          <w:color w:val="auto"/>
        </w:rPr>
      </w:pPr>
      <w:r>
        <w:rPr>
          <w:rFonts w:ascii="Arial" w:cs="Arial" w:eastAsia="Arial" w:hAnsi="Arial"/>
          <w:sz w:val="12"/>
          <w:szCs w:val="12"/>
          <w:b w:val="1"/>
          <w:bCs w:val="1"/>
          <w:color w:val="auto"/>
        </w:rPr>
        <w:t>(in thousands except share and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60" w:type="dxa"/>
            <w:vAlign w:val="bottom"/>
            <w:gridSpan w:val="4"/>
          </w:tcPr>
          <w:p>
            <w:pPr>
              <w:jc w:val="right"/>
              <w:ind w:right="453"/>
              <w:spacing w:after="0"/>
              <w:rPr>
                <w:sz w:val="20"/>
                <w:szCs w:val="20"/>
                <w:color w:val="auto"/>
              </w:rPr>
            </w:pPr>
            <w:r>
              <w:rPr>
                <w:rFonts w:ascii="Arial" w:cs="Arial" w:eastAsia="Arial" w:hAnsi="Arial"/>
                <w:sz w:val="11"/>
                <w:szCs w:val="11"/>
                <w:b w:val="1"/>
                <w:bCs w:val="1"/>
                <w:color w:val="auto"/>
              </w:rPr>
              <w:t>Nine Months Ended</w:t>
            </w:r>
          </w:p>
        </w:tc>
      </w:tr>
      <w:tr>
        <w:trPr>
          <w:trHeight w:val="151"/>
        </w:trPr>
        <w:tc>
          <w:tcPr>
            <w:tcW w:w="6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5"/>
          </w:tcPr>
          <w:p>
            <w:pPr>
              <w:ind w:left="40"/>
              <w:spacing w:after="0"/>
              <w:rPr>
                <w:sz w:val="20"/>
                <w:szCs w:val="20"/>
                <w:color w:val="auto"/>
              </w:rPr>
            </w:pPr>
            <w:r>
              <w:rPr>
                <w:rFonts w:ascii="Arial" w:cs="Arial" w:eastAsia="Arial" w:hAnsi="Arial"/>
                <w:sz w:val="11"/>
                <w:szCs w:val="11"/>
                <w:b w:val="1"/>
                <w:bCs w:val="1"/>
                <w:color w:val="auto"/>
              </w:rPr>
              <w:t>Three Months Ended September 30,</w:t>
            </w:r>
          </w:p>
        </w:tc>
        <w:tc>
          <w:tcPr>
            <w:tcW w:w="20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620" w:type="dxa"/>
            <w:vAlign w:val="bottom"/>
          </w:tcPr>
          <w:p>
            <w:pPr>
              <w:spacing w:after="0"/>
              <w:rPr>
                <w:sz w:val="13"/>
                <w:szCs w:val="13"/>
                <w:color w:val="auto"/>
              </w:rPr>
            </w:pPr>
          </w:p>
        </w:tc>
      </w:tr>
      <w:tr>
        <w:trPr>
          <w:trHeight w:val="154"/>
        </w:trPr>
        <w:tc>
          <w:tcPr>
            <w:tcW w:w="63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1"/>
                <w:szCs w:val="11"/>
                <w:b w:val="1"/>
                <w:bCs w:val="1"/>
                <w:color w:val="auto"/>
                <w:w w:val="97"/>
              </w:rPr>
              <w:t>2020</w:t>
            </w:r>
          </w:p>
        </w:tc>
      </w:tr>
      <w:tr>
        <w:trPr>
          <w:trHeight w:val="17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r>
      <w:tr>
        <w:trPr>
          <w:trHeight w:val="183"/>
        </w:trPr>
        <w:tc>
          <w:tcPr>
            <w:tcW w:w="636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4,630</w:t>
            </w:r>
          </w:p>
        </w:tc>
        <w:tc>
          <w:tcPr>
            <w:tcW w:w="100" w:type="dxa"/>
            <w:vAlign w:val="bottom"/>
          </w:tcPr>
          <w:p>
            <w:pPr>
              <w:spacing w:after="0"/>
              <w:rPr>
                <w:sz w:val="15"/>
                <w:szCs w:val="15"/>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4,271</w:t>
            </w:r>
          </w:p>
        </w:tc>
        <w:tc>
          <w:tcPr>
            <w:tcW w:w="8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12,451</w:t>
            </w:r>
          </w:p>
        </w:tc>
        <w:tc>
          <w:tcPr>
            <w:tcW w:w="80" w:type="dxa"/>
            <w:vAlign w:val="bottom"/>
          </w:tcPr>
          <w:p>
            <w:pPr>
              <w:spacing w:after="0"/>
              <w:rPr>
                <w:sz w:val="15"/>
                <w:szCs w:val="15"/>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11,392</w:t>
            </w:r>
          </w:p>
        </w:tc>
      </w:tr>
      <w:tr>
        <w:trPr>
          <w:trHeight w:val="21"/>
        </w:trPr>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4"/>
        </w:trPr>
        <w:tc>
          <w:tcPr>
            <w:tcW w:w="6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3,583</w:t>
            </w:r>
          </w:p>
        </w:tc>
      </w:tr>
      <w:tr>
        <w:trPr>
          <w:trHeight w:val="173"/>
        </w:trPr>
        <w:tc>
          <w:tcPr>
            <w:tcW w:w="6360" w:type="dxa"/>
            <w:vAlign w:val="bottom"/>
          </w:tcPr>
          <w:p>
            <w:pPr>
              <w:ind w:left="520"/>
              <w:spacing w:after="0"/>
              <w:rPr>
                <w:sz w:val="20"/>
                <w:szCs w:val="20"/>
                <w:color w:val="auto"/>
              </w:rPr>
            </w:pPr>
            <w:r>
              <w:rPr>
                <w:rFonts w:ascii="Arial" w:cs="Arial" w:eastAsia="Arial" w:hAnsi="Arial"/>
                <w:sz w:val="14"/>
                <w:szCs w:val="14"/>
                <w:color w:val="auto"/>
              </w:rPr>
              <w:t>Loss from operations</w:t>
            </w: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7,736</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5,434</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19,648</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14,975</w:t>
            </w:r>
          </w:p>
        </w:tc>
      </w:tr>
      <w:tr>
        <w:trPr>
          <w:trHeight w:val="21"/>
        </w:trPr>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r>
      <w:tr>
        <w:trPr>
          <w:trHeight w:val="183"/>
        </w:trPr>
        <w:tc>
          <w:tcPr>
            <w:tcW w:w="6360" w:type="dxa"/>
            <w:vAlign w:val="bottom"/>
          </w:tcPr>
          <w:p>
            <w:pPr>
              <w:ind w:left="260"/>
              <w:spacing w:after="0"/>
              <w:rPr>
                <w:sz w:val="20"/>
                <w:szCs w:val="20"/>
                <w:color w:val="auto"/>
              </w:rPr>
            </w:pPr>
            <w:r>
              <w:rPr>
                <w:rFonts w:ascii="Arial" w:cs="Arial" w:eastAsia="Arial" w:hAnsi="Arial"/>
                <w:sz w:val="14"/>
                <w:szCs w:val="14"/>
                <w:color w:val="auto"/>
              </w:rPr>
              <w:t>Interest expense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5"/>
                <w:szCs w:val="15"/>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(944)</w:t>
            </w:r>
          </w:p>
        </w:tc>
        <w:tc>
          <w:tcPr>
            <w:tcW w:w="80" w:type="dxa"/>
            <w:vAlign w:val="bottom"/>
          </w:tcPr>
          <w:p>
            <w:pPr>
              <w:spacing w:after="0"/>
              <w:rPr>
                <w:sz w:val="15"/>
                <w:szCs w:val="15"/>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4"/>
        </w:trPr>
        <w:tc>
          <w:tcPr>
            <w:tcW w:w="6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Interest income and other income (expense), net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194"/>
        </w:trPr>
        <w:tc>
          <w:tcPr>
            <w:tcW w:w="63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(8,110)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(5,431)</w:t>
            </w:r>
          </w:p>
        </w:tc>
        <w:tc>
          <w:tcPr>
            <w:tcW w:w="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(20,523)</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(14,888)</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of common stock,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6360" w:type="dxa"/>
            <w:vAlign w:val="bottom"/>
          </w:tcPr>
          <w:p>
            <w:pPr>
              <w:ind w:left="20"/>
              <w:spacing w:after="0"/>
              <w:rPr>
                <w:sz w:val="20"/>
                <w:szCs w:val="20"/>
                <w:color w:val="auto"/>
              </w:rPr>
            </w:pPr>
            <w:r>
              <w:rPr>
                <w:rFonts w:ascii="Arial" w:cs="Arial" w:eastAsia="Arial" w:hAnsi="Arial"/>
                <w:sz w:val="14"/>
                <w:szCs w:val="14"/>
                <w:color w:val="auto"/>
              </w:rPr>
              <w:t>Weighted-average shares of common stock outstanding, basic and diluted</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6,717,655</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484,085</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2,739,602</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466,495</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5"/>
        </w:trPr>
        <w:tc>
          <w:tcPr>
            <w:tcW w:w="636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4"/>
                <w:szCs w:val="14"/>
                <w:color w:val="auto"/>
              </w:rPr>
              <w:t>Other comprehensive income (loss):</w:t>
            </w: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r>
      <w:tr>
        <w:trPr>
          <w:trHeight w:val="183"/>
        </w:trPr>
        <w:tc>
          <w:tcPr>
            <w:tcW w:w="6360" w:type="dxa"/>
            <w:vAlign w:val="bottom"/>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6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1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(5,431)</w:t>
            </w: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(20,612)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(14,888)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400"/>
        <w:spacing w:after="0"/>
        <w:rPr>
          <w:sz w:val="20"/>
          <w:szCs w:val="20"/>
          <w:color w:val="auto"/>
        </w:rPr>
      </w:pPr>
      <w:r>
        <w:rPr>
          <w:rFonts w:ascii="Arial" w:cs="Arial" w:eastAsia="Arial" w:hAnsi="Arial"/>
          <w:sz w:val="12"/>
          <w:szCs w:val="12"/>
          <w:color w:val="auto"/>
        </w:rPr>
        <w:t>See accompanying Notes to unaudited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47625</wp:posOffset>
            </wp:positionV>
            <wp:extent cx="719137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380"/>
          </w:cols>
          <w:pgMar w:left="540" w:top="316" w:right="979" w:bottom="1440" w:gutter="0" w:footer="0" w:header="0"/>
        </w:sectPr>
      </w:pPr>
    </w:p>
    <w:bookmarkStart w:id="6" w:name="page7"/>
    <w:bookmarkEnd w:id="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99" w:lineRule="exact"/>
        <w:rPr>
          <w:sz w:val="20"/>
          <w:szCs w:val="20"/>
          <w:color w:val="auto"/>
        </w:rPr>
      </w:pPr>
    </w:p>
    <w:p>
      <w:pPr>
        <w:ind w:left="4460"/>
        <w:spacing w:after="0"/>
        <w:rPr>
          <w:sz w:val="20"/>
          <w:szCs w:val="20"/>
          <w:color w:val="auto"/>
        </w:rPr>
      </w:pPr>
      <w:r>
        <w:rPr>
          <w:rFonts w:ascii="Arial" w:cs="Arial" w:eastAsia="Arial" w:hAnsi="Arial"/>
          <w:sz w:val="12"/>
          <w:szCs w:val="12"/>
          <w:b w:val="1"/>
          <w:bCs w:val="1"/>
          <w:color w:val="auto"/>
        </w:rPr>
        <w:t>TEMPEST THERAPEUTICS, INC.</w:t>
      </w:r>
    </w:p>
    <w:p>
      <w:pPr>
        <w:spacing w:after="0" w:line="46" w:lineRule="exact"/>
        <w:rPr>
          <w:sz w:val="20"/>
          <w:szCs w:val="20"/>
          <w:color w:val="auto"/>
        </w:rPr>
      </w:pPr>
    </w:p>
    <w:p>
      <w:pPr>
        <w:ind w:left="3020"/>
        <w:spacing w:after="0"/>
        <w:rPr>
          <w:sz w:val="20"/>
          <w:szCs w:val="20"/>
          <w:color w:val="auto"/>
        </w:rPr>
      </w:pPr>
      <w:r>
        <w:rPr>
          <w:rFonts w:ascii="Arial" w:cs="Arial" w:eastAsia="Arial" w:hAnsi="Arial"/>
          <w:sz w:val="12"/>
          <w:szCs w:val="12"/>
          <w:b w:val="1"/>
          <w:bCs w:val="1"/>
          <w:color w:val="auto"/>
        </w:rPr>
        <w:t>Consolidated Statements of Convertible Preferred Stock and Stockholders’ Equity (Deficit)</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share amounts)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Three Months Ended September 30, 2021</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5"/>
            <w:vMerge w:val="restart"/>
          </w:tcPr>
          <w:p>
            <w:pPr>
              <w:ind w:left="40"/>
              <w:spacing w:after="0"/>
              <w:rPr>
                <w:sz w:val="20"/>
                <w:szCs w:val="20"/>
                <w:color w:val="auto"/>
              </w:rPr>
            </w:pPr>
            <w:r>
              <w:rPr>
                <w:rFonts w:ascii="Arial" w:cs="Arial" w:eastAsia="Arial" w:hAnsi="Arial"/>
                <w:sz w:val="11"/>
                <w:szCs w:val="11"/>
                <w:b w:val="1"/>
                <w:bCs w:val="1"/>
                <w:color w:val="auto"/>
              </w:rPr>
              <w:t>Series A Convertible</w:t>
            </w:r>
          </w:p>
        </w:tc>
        <w:tc>
          <w:tcPr>
            <w:tcW w:w="1400" w:type="dxa"/>
            <w:vAlign w:val="bottom"/>
            <w:gridSpan w:val="9"/>
            <w:vMerge w:val="restart"/>
          </w:tcPr>
          <w:p>
            <w:pPr>
              <w:jc w:val="right"/>
              <w:ind w:right="340"/>
              <w:spacing w:after="0"/>
              <w:rPr>
                <w:sz w:val="20"/>
                <w:szCs w:val="20"/>
                <w:color w:val="auto"/>
              </w:rPr>
            </w:pPr>
            <w:r>
              <w:rPr>
                <w:rFonts w:ascii="Arial" w:cs="Arial" w:eastAsia="Arial" w:hAnsi="Arial"/>
                <w:sz w:val="11"/>
                <w:szCs w:val="11"/>
                <w:b w:val="1"/>
                <w:bCs w:val="1"/>
                <w:color w:val="auto"/>
                <w:w w:val="96"/>
              </w:rPr>
              <w:t>Series B Convertible</w:t>
            </w:r>
          </w:p>
        </w:tc>
        <w:tc>
          <w:tcPr>
            <w:tcW w:w="1380" w:type="dxa"/>
            <w:vAlign w:val="bottom"/>
            <w:gridSpan w:val="6"/>
            <w:vMerge w:val="restart"/>
          </w:tcPr>
          <w:p>
            <w:pPr>
              <w:ind w:left="40"/>
              <w:spacing w:after="0"/>
              <w:rPr>
                <w:sz w:val="20"/>
                <w:szCs w:val="20"/>
                <w:color w:val="auto"/>
              </w:rPr>
            </w:pPr>
            <w:r>
              <w:rPr>
                <w:rFonts w:ascii="Arial" w:cs="Arial" w:eastAsia="Arial" w:hAnsi="Arial"/>
                <w:sz w:val="11"/>
                <w:szCs w:val="11"/>
                <w:b w:val="1"/>
                <w:bCs w:val="1"/>
                <w:color w:val="auto"/>
              </w:rPr>
              <w:t>Series B-1 Convertible</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66"/>
              <w:spacing w:after="0"/>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20" w:type="dxa"/>
            <w:vAlign w:val="bottom"/>
            <w:gridSpan w:val="5"/>
            <w:vMerge w:val="continue"/>
          </w:tcPr>
          <w:p>
            <w:pPr>
              <w:spacing w:after="0"/>
              <w:rPr>
                <w:sz w:val="6"/>
                <w:szCs w:val="6"/>
                <w:color w:val="auto"/>
              </w:rPr>
            </w:pPr>
          </w:p>
        </w:tc>
        <w:tc>
          <w:tcPr>
            <w:tcW w:w="1400" w:type="dxa"/>
            <w:vAlign w:val="bottom"/>
            <w:gridSpan w:val="9"/>
            <w:vMerge w:val="continue"/>
          </w:tcPr>
          <w:p>
            <w:pPr>
              <w:spacing w:after="0"/>
              <w:rPr>
                <w:sz w:val="6"/>
                <w:szCs w:val="6"/>
                <w:color w:val="auto"/>
              </w:rPr>
            </w:pPr>
          </w:p>
        </w:tc>
        <w:tc>
          <w:tcPr>
            <w:tcW w:w="1380" w:type="dxa"/>
            <w:vAlign w:val="bottom"/>
            <w:gridSpan w:val="6"/>
            <w:vMerge w:val="continue"/>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4"/>
            <w:vMerge w:val="restart"/>
          </w:tcPr>
          <w:p>
            <w:pPr>
              <w:ind w:left="40"/>
              <w:spacing w:after="0" w:line="123" w:lineRule="exact"/>
              <w:rPr>
                <w:sz w:val="20"/>
                <w:szCs w:val="20"/>
                <w:color w:val="auto"/>
              </w:rPr>
            </w:pPr>
            <w:r>
              <w:rPr>
                <w:rFonts w:ascii="Arial" w:cs="Arial" w:eastAsia="Arial" w:hAnsi="Arial"/>
                <w:sz w:val="11"/>
                <w:szCs w:val="11"/>
                <w:b w:val="1"/>
                <w:bCs w:val="1"/>
                <w:color w:val="auto"/>
              </w:rPr>
              <w:t>Additional</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vMerge w:val="restart"/>
          </w:tcPr>
          <w:p>
            <w:pPr>
              <w:jc w:val="center"/>
              <w:ind w:right="86"/>
              <w:spacing w:after="0" w:line="123"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Preferred Stock</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gridSpan w:val="5"/>
            <w:vMerge w:val="restart"/>
          </w:tcPr>
          <w:p>
            <w:pPr>
              <w:jc w:val="right"/>
              <w:ind w:right="166"/>
              <w:spacing w:after="0"/>
              <w:rPr>
                <w:sz w:val="20"/>
                <w:szCs w:val="20"/>
                <w:color w:val="auto"/>
              </w:rPr>
            </w:pPr>
            <w:r>
              <w:rPr>
                <w:rFonts w:ascii="Arial" w:cs="Arial" w:eastAsia="Arial" w:hAnsi="Arial"/>
                <w:sz w:val="11"/>
                <w:szCs w:val="11"/>
                <w:b w:val="1"/>
                <w:bCs w:val="1"/>
                <w:color w:val="auto"/>
                <w:w w:val="95"/>
              </w:rPr>
              <w:t>Preferred Stock</w:t>
            </w:r>
          </w:p>
        </w:tc>
        <w:tc>
          <w:tcPr>
            <w:tcW w:w="10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Preferred Stock</w:t>
            </w:r>
          </w:p>
        </w:tc>
        <w:tc>
          <w:tcPr>
            <w:tcW w:w="80" w:type="dxa"/>
            <w:vAlign w:val="bottom"/>
            <w:gridSpan w:val="2"/>
            <w:vMerge w:val="restart"/>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gridSpan w:val="3"/>
            <w:vMerge w:val="restart"/>
          </w:tcPr>
          <w:p>
            <w:pPr>
              <w:jc w:val="right"/>
              <w:ind w:right="126"/>
              <w:spacing w:after="0"/>
              <w:rPr>
                <w:sz w:val="20"/>
                <w:szCs w:val="20"/>
                <w:color w:val="auto"/>
              </w:rPr>
            </w:pPr>
            <w:r>
              <w:rPr>
                <w:rFonts w:ascii="Arial" w:cs="Arial" w:eastAsia="Arial" w:hAnsi="Arial"/>
                <w:sz w:val="11"/>
                <w:szCs w:val="11"/>
                <w:b w:val="1"/>
                <w:bCs w:val="1"/>
                <w:color w:val="auto"/>
              </w:rPr>
              <w:t>Common Stock</w:t>
            </w:r>
          </w:p>
        </w:tc>
        <w:tc>
          <w:tcPr>
            <w:tcW w:w="100" w:type="dxa"/>
            <w:vAlign w:val="bottom"/>
            <w:gridSpan w:val="2"/>
            <w:vMerge w:val="restart"/>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20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3"/>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5"/>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3"/>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3"/>
            <w:vMerge w:val="continue"/>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tcPr>
          <w:p>
            <w:pPr>
              <w:ind w:left="40"/>
              <w:spacing w:after="0" w:line="89" w:lineRule="exact"/>
              <w:rPr>
                <w:sz w:val="20"/>
                <w:szCs w:val="20"/>
                <w:color w:val="auto"/>
              </w:rPr>
            </w:pPr>
            <w:r>
              <w:rPr>
                <w:rFonts w:ascii="Arial" w:cs="Arial" w:eastAsia="Arial" w:hAnsi="Arial"/>
                <w:sz w:val="10"/>
                <w:szCs w:val="10"/>
                <w:b w:val="1"/>
                <w:bCs w:val="1"/>
                <w:color w:val="auto"/>
              </w:rPr>
              <w:t>Paid-In</w:t>
            </w:r>
          </w:p>
        </w:tc>
        <w:tc>
          <w:tcPr>
            <w:tcW w:w="40" w:type="dxa"/>
            <w:vAlign w:val="bottom"/>
          </w:tcPr>
          <w:p>
            <w:pPr>
              <w:spacing w:after="0"/>
              <w:rPr>
                <w:sz w:val="9"/>
                <w:szCs w:val="9"/>
                <w:color w:val="auto"/>
              </w:rPr>
            </w:pPr>
          </w:p>
        </w:tc>
        <w:tc>
          <w:tcPr>
            <w:tcW w:w="900" w:type="dxa"/>
            <w:vAlign w:val="bottom"/>
            <w:gridSpan w:val="2"/>
          </w:tcPr>
          <w:p>
            <w:pPr>
              <w:jc w:val="center"/>
              <w:ind w:right="6"/>
              <w:spacing w:after="0" w:line="89" w:lineRule="exact"/>
              <w:rPr>
                <w:sz w:val="20"/>
                <w:szCs w:val="20"/>
                <w:color w:val="auto"/>
              </w:rPr>
            </w:pPr>
            <w:r>
              <w:rPr>
                <w:rFonts w:ascii="Arial" w:cs="Arial" w:eastAsia="Arial" w:hAnsi="Arial"/>
                <w:sz w:val="10"/>
                <w:szCs w:val="10"/>
                <w:b w:val="1"/>
                <w:bCs w:val="1"/>
                <w:color w:val="auto"/>
                <w:w w:val="95"/>
              </w:rPr>
              <w:t>Comprehensive</w:t>
            </w:r>
          </w:p>
        </w:tc>
        <w:tc>
          <w:tcPr>
            <w:tcW w:w="80" w:type="dxa"/>
            <w:vAlign w:val="bottom"/>
          </w:tcPr>
          <w:p>
            <w:pPr>
              <w:spacing w:after="0"/>
              <w:rPr>
                <w:sz w:val="9"/>
                <w:szCs w:val="9"/>
                <w:color w:val="auto"/>
              </w:rPr>
            </w:pPr>
          </w:p>
        </w:tc>
        <w:tc>
          <w:tcPr>
            <w:tcW w:w="740" w:type="dxa"/>
            <w:vAlign w:val="bottom"/>
          </w:tcPr>
          <w:p>
            <w:pPr>
              <w:jc w:val="center"/>
              <w:ind w:right="46"/>
              <w:spacing w:after="0" w:line="89" w:lineRule="exact"/>
              <w:rPr>
                <w:sz w:val="20"/>
                <w:szCs w:val="20"/>
                <w:color w:val="auto"/>
              </w:rPr>
            </w:pPr>
            <w:r>
              <w:rPr>
                <w:rFonts w:ascii="Arial" w:cs="Arial" w:eastAsia="Arial" w:hAnsi="Arial"/>
                <w:sz w:val="10"/>
                <w:szCs w:val="10"/>
                <w:b w:val="1"/>
                <w:bCs w:val="1"/>
                <w:color w:val="auto"/>
              </w:rPr>
              <w:t>Deficit</w:t>
            </w:r>
          </w:p>
        </w:tc>
        <w:tc>
          <w:tcPr>
            <w:tcW w:w="940" w:type="dxa"/>
            <w:vAlign w:val="bottom"/>
            <w:gridSpan w:val="2"/>
          </w:tcPr>
          <w:p>
            <w:pPr>
              <w:ind w:left="20"/>
              <w:spacing w:after="0" w:line="89" w:lineRule="exact"/>
              <w:rPr>
                <w:sz w:val="20"/>
                <w:szCs w:val="20"/>
                <w:color w:val="auto"/>
              </w:rPr>
            </w:pPr>
            <w:r>
              <w:rPr>
                <w:rFonts w:ascii="Arial" w:cs="Arial" w:eastAsia="Arial" w:hAnsi="Arial"/>
                <w:sz w:val="10"/>
                <w:szCs w:val="10"/>
                <w:b w:val="1"/>
                <w:bCs w:val="1"/>
                <w:color w:val="auto"/>
                <w:w w:val="97"/>
              </w:rPr>
              <w:t>Total Stockholders'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00" w:type="dxa"/>
            <w:vAlign w:val="bottom"/>
            <w:gridSpan w:val="4"/>
          </w:tcPr>
          <w:p>
            <w:pPr>
              <w:ind w:left="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2"/>
                <w:szCs w:val="12"/>
                <w:color w:val="auto"/>
              </w:rPr>
            </w:pPr>
          </w:p>
        </w:tc>
        <w:tc>
          <w:tcPr>
            <w:tcW w:w="340" w:type="dxa"/>
            <w:vAlign w:val="bottom"/>
            <w:gridSpan w:val="3"/>
          </w:tcPr>
          <w:p>
            <w:pPr>
              <w:ind w:left="20"/>
              <w:spacing w:after="0"/>
              <w:rPr>
                <w:sz w:val="20"/>
                <w:szCs w:val="20"/>
                <w:color w:val="auto"/>
              </w:rPr>
            </w:pPr>
            <w:r>
              <w:rPr>
                <w:rFonts w:ascii="Arial" w:cs="Arial" w:eastAsia="Arial" w:hAnsi="Arial"/>
                <w:sz w:val="11"/>
                <w:szCs w:val="11"/>
                <w:b w:val="1"/>
                <w:bCs w:val="1"/>
                <w:color w:val="auto"/>
                <w:w w:val="81"/>
              </w:rPr>
              <w:t>Shares</w:t>
            </w:r>
          </w:p>
        </w:tc>
        <w:tc>
          <w:tcPr>
            <w:tcW w:w="920" w:type="dxa"/>
            <w:vAlign w:val="bottom"/>
            <w:gridSpan w:val="5"/>
          </w:tcPr>
          <w:p>
            <w:pPr>
              <w:ind w:left="24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00" w:type="dxa"/>
            <w:vAlign w:val="bottom"/>
            <w:gridSpan w:val="4"/>
          </w:tcPr>
          <w:p>
            <w:pPr>
              <w:ind w:left="4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Shares</w:t>
            </w:r>
          </w:p>
        </w:tc>
        <w:tc>
          <w:tcPr>
            <w:tcW w:w="640" w:type="dxa"/>
            <w:vAlign w:val="bottom"/>
            <w:gridSpan w:val="4"/>
          </w:tcPr>
          <w:p>
            <w:pPr>
              <w:ind w:left="8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40"/>
              <w:spacing w:after="0"/>
              <w:rPr>
                <w:sz w:val="20"/>
                <w:szCs w:val="20"/>
                <w:color w:val="auto"/>
              </w:rPr>
            </w:pPr>
            <w:r>
              <w:rPr>
                <w:rFonts w:ascii="Arial" w:cs="Arial" w:eastAsia="Arial" w:hAnsi="Arial"/>
                <w:sz w:val="11"/>
                <w:szCs w:val="11"/>
                <w:b w:val="1"/>
                <w:bCs w:val="1"/>
                <w:color w:val="auto"/>
              </w:rPr>
              <w:t>Capital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66"/>
              <w:spacing w:after="0"/>
              <w:rPr>
                <w:sz w:val="20"/>
                <w:szCs w:val="20"/>
                <w:color w:val="auto"/>
              </w:rPr>
            </w:pPr>
            <w:r>
              <w:rPr>
                <w:rFonts w:ascii="Arial" w:cs="Arial" w:eastAsia="Arial" w:hAnsi="Arial"/>
                <w:sz w:val="11"/>
                <w:szCs w:val="11"/>
                <w:b w:val="1"/>
                <w:bCs w:val="1"/>
                <w:color w:val="auto"/>
                <w:w w:val="85"/>
              </w:rPr>
              <w:t>Loss</w:t>
            </w:r>
          </w:p>
        </w:tc>
        <w:tc>
          <w:tcPr>
            <w:tcW w:w="80" w:type="dxa"/>
            <w:vAlign w:val="bottom"/>
          </w:tcPr>
          <w:p>
            <w:pPr>
              <w:spacing w:after="0"/>
              <w:rPr>
                <w:sz w:val="12"/>
                <w:szCs w:val="12"/>
                <w:color w:val="auto"/>
              </w:rPr>
            </w:pPr>
          </w:p>
        </w:tc>
        <w:tc>
          <w:tcPr>
            <w:tcW w:w="740" w:type="dxa"/>
            <w:vAlign w:val="bottom"/>
          </w:tcPr>
          <w:p>
            <w:pPr>
              <w:jc w:val="center"/>
              <w:ind w:right="26"/>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2"/>
                <w:szCs w:val="12"/>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b w:val="1"/>
                <w:bCs w:val="1"/>
                <w:color w:val="auto"/>
                <w:w w:val="92"/>
              </w:rPr>
              <w:t>Equity (Deficit)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 June 30, 2021</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1"/>
                <w:szCs w:val="11"/>
                <w:color w:val="auto"/>
              </w:rPr>
              <w:t>— $</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1"/>
                <w:szCs w:val="11"/>
                <w:color w:val="auto"/>
              </w:rPr>
              <w:t>— $</w:t>
            </w:r>
          </w:p>
        </w:tc>
        <w:tc>
          <w:tcPr>
            <w:tcW w:w="10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 $</w:t>
            </w:r>
          </w:p>
        </w:tc>
        <w:tc>
          <w:tcPr>
            <w:tcW w:w="520" w:type="dxa"/>
            <w:vAlign w:val="bottom"/>
            <w:gridSpan w:val="3"/>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w w:val="97"/>
              </w:rPr>
              <w:t>6,628,314</w:t>
            </w:r>
          </w:p>
        </w:tc>
        <w:tc>
          <w:tcPr>
            <w:tcW w:w="120" w:type="dxa"/>
            <w:vAlign w:val="bottom"/>
            <w:shd w:val="clear" w:color="auto" w:fill="CCEEFF"/>
          </w:tcPr>
          <w:p>
            <w:pPr>
              <w:jc w:val="center"/>
              <w:ind w:right="6"/>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132,281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(84,174)</w:t>
            </w: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48,114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60" w:type="dxa"/>
            <w:vAlign w:val="bottom"/>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60" w:type="dxa"/>
            <w:vAlign w:val="bottom"/>
          </w:tcPr>
          <w:p>
            <w:pPr>
              <w:spacing w:after="0"/>
              <w:rPr>
                <w:sz w:val="13"/>
                <w:szCs w:val="13"/>
                <w:color w:val="auto"/>
              </w:rPr>
            </w:pPr>
          </w:p>
        </w:tc>
        <w:tc>
          <w:tcPr>
            <w:tcW w:w="620" w:type="dxa"/>
            <w:vAlign w:val="bottom"/>
          </w:tcPr>
          <w:p>
            <w:pPr>
              <w:ind w:left="3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3"/>
          </w:tcPr>
          <w:p>
            <w:pPr>
              <w:ind w:left="2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ind w:left="620"/>
              <w:spacing w:after="0"/>
              <w:rPr>
                <w:sz w:val="20"/>
                <w:szCs w:val="20"/>
                <w:color w:val="auto"/>
              </w:rPr>
            </w:pPr>
            <w:r>
              <w:rPr>
                <w:rFonts w:ascii="Arial" w:cs="Arial" w:eastAsia="Arial" w:hAnsi="Arial"/>
                <w:sz w:val="11"/>
                <w:szCs w:val="11"/>
                <w:color w:val="auto"/>
                <w:w w:val="91"/>
              </w:rPr>
              <w:t>(89)</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 of stock options</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15,226</w:t>
            </w:r>
          </w:p>
        </w:tc>
        <w:tc>
          <w:tcPr>
            <w:tcW w:w="12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60" w:type="dxa"/>
            <w:vAlign w:val="bottom"/>
          </w:tcPr>
          <w:p>
            <w:pPr>
              <w:ind w:left="20"/>
              <w:spacing w:after="0"/>
              <w:rPr>
                <w:sz w:val="20"/>
                <w:szCs w:val="20"/>
                <w:color w:val="auto"/>
              </w:rPr>
            </w:pPr>
            <w:r>
              <w:rPr>
                <w:rFonts w:ascii="Arial" w:cs="Arial" w:eastAsia="Arial" w:hAnsi="Arial"/>
                <w:sz w:val="11"/>
                <w:szCs w:val="11"/>
                <w:color w:val="auto"/>
              </w:rPr>
              <w:t>Vesting of early exercised stock options</w:t>
            </w:r>
          </w:p>
        </w:tc>
        <w:tc>
          <w:tcPr>
            <w:tcW w:w="60" w:type="dxa"/>
            <w:vAlign w:val="bottom"/>
          </w:tcPr>
          <w:p>
            <w:pPr>
              <w:spacing w:after="0"/>
              <w:rPr>
                <w:sz w:val="13"/>
                <w:szCs w:val="13"/>
                <w:color w:val="auto"/>
              </w:rPr>
            </w:pPr>
          </w:p>
        </w:tc>
        <w:tc>
          <w:tcPr>
            <w:tcW w:w="620" w:type="dxa"/>
            <w:vAlign w:val="bottom"/>
          </w:tcPr>
          <w:p>
            <w:pPr>
              <w:ind w:left="3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3"/>
          </w:tcPr>
          <w:p>
            <w:pPr>
              <w:ind w:left="28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6"/>
              <w:spacing w:after="0"/>
              <w:rPr>
                <w:sz w:val="20"/>
                <w:szCs w:val="20"/>
                <w:color w:val="auto"/>
              </w:rPr>
            </w:pPr>
            <w:r>
              <w:rPr>
                <w:rFonts w:ascii="Arial" w:cs="Arial" w:eastAsia="Arial" w:hAnsi="Arial"/>
                <w:sz w:val="11"/>
                <w:szCs w:val="11"/>
                <w:color w:val="auto"/>
              </w:rPr>
              <w:t>8,631</w:t>
            </w:r>
          </w:p>
        </w:tc>
        <w:tc>
          <w:tcPr>
            <w:tcW w:w="120" w:type="dxa"/>
            <w:vAlign w:val="bottom"/>
          </w:tcPr>
          <w:p>
            <w:pPr>
              <w:spacing w:after="0"/>
              <w:rPr>
                <w:sz w:val="13"/>
                <w:szCs w:val="13"/>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37</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ind w:left="6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60" w:type="dxa"/>
            <w:vAlign w:val="bottom"/>
            <w:shd w:val="clear" w:color="auto" w:fill="CCEEFF"/>
          </w:tcPr>
          <w:p>
            <w:pPr>
              <w:ind w:left="20"/>
              <w:spacing w:after="0"/>
              <w:rPr>
                <w:sz w:val="20"/>
                <w:szCs w:val="20"/>
                <w:color w:val="auto"/>
              </w:rPr>
            </w:pPr>
            <w:r>
              <w:rPr>
                <w:rFonts w:ascii="Arial" w:cs="Arial" w:eastAsia="Arial" w:hAnsi="Arial"/>
                <w:sz w:val="11"/>
                <w:szCs w:val="11"/>
                <w:color w:val="auto"/>
                <w:w w:val="98"/>
              </w:rPr>
              <w:t>Issuance of common stock for cash, net of</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cost of $349</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248,424</w:t>
            </w:r>
          </w:p>
        </w:tc>
        <w:tc>
          <w:tcPr>
            <w:tcW w:w="12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3,513</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60" w:type="dxa"/>
            <w:vAlign w:val="bottom"/>
          </w:tcPr>
          <w:p>
            <w:pPr>
              <w:ind w:left="20"/>
              <w:spacing w:after="0"/>
              <w:rPr>
                <w:sz w:val="20"/>
                <w:szCs w:val="20"/>
                <w:color w:val="auto"/>
              </w:rPr>
            </w:pPr>
            <w:r>
              <w:rPr>
                <w:rFonts w:ascii="Arial" w:cs="Arial" w:eastAsia="Arial" w:hAnsi="Arial"/>
                <w:sz w:val="11"/>
                <w:szCs w:val="11"/>
                <w:color w:val="auto"/>
              </w:rPr>
              <w:t>Share-based compensation</w:t>
            </w:r>
          </w:p>
        </w:tc>
        <w:tc>
          <w:tcPr>
            <w:tcW w:w="60" w:type="dxa"/>
            <w:vAlign w:val="bottom"/>
          </w:tcPr>
          <w:p>
            <w:pPr>
              <w:spacing w:after="0"/>
              <w:rPr>
                <w:sz w:val="13"/>
                <w:szCs w:val="13"/>
                <w:color w:val="auto"/>
              </w:rPr>
            </w:pPr>
          </w:p>
        </w:tc>
        <w:tc>
          <w:tcPr>
            <w:tcW w:w="620" w:type="dxa"/>
            <w:vAlign w:val="bottom"/>
          </w:tcPr>
          <w:p>
            <w:pPr>
              <w:ind w:left="3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3"/>
          </w:tcPr>
          <w:p>
            <w:pPr>
              <w:ind w:left="2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ind w:left="6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60" w:type="dxa"/>
            <w:vAlign w:val="bottom"/>
            <w:shd w:val="clear" w:color="auto" w:fill="CCEEFF"/>
          </w:tcPr>
          <w:p>
            <w:pPr>
              <w:ind w:left="20"/>
              <w:spacing w:after="0"/>
              <w:rPr>
                <w:sz w:val="20"/>
                <w:szCs w:val="20"/>
                <w:color w:val="auto"/>
              </w:rPr>
            </w:pPr>
            <w:r>
              <w:rPr>
                <w:rFonts w:ascii="Arial" w:cs="Arial" w:eastAsia="Arial" w:hAnsi="Arial"/>
                <w:sz w:val="11"/>
                <w:szCs w:val="11"/>
                <w:color w:val="auto"/>
                <w:w w:val="99"/>
              </w:rPr>
              <w:t>Reverse recapitalization transaction costs</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60" w:type="dxa"/>
            <w:vAlign w:val="bottom"/>
          </w:tcPr>
          <w:p>
            <w:pPr>
              <w:ind w:left="20"/>
              <w:spacing w:after="0"/>
              <w:rPr>
                <w:sz w:val="20"/>
                <w:szCs w:val="20"/>
                <w:color w:val="auto"/>
              </w:rPr>
            </w:pPr>
            <w:r>
              <w:rPr>
                <w:rFonts w:ascii="Arial" w:cs="Arial" w:eastAsia="Arial" w:hAnsi="Arial"/>
                <w:sz w:val="11"/>
                <w:szCs w:val="11"/>
                <w:color w:val="auto"/>
              </w:rPr>
              <w:t>Issuance of common stock warrants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ind w:left="6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80" w:type="dxa"/>
            <w:vAlign w:val="bottom"/>
            <w:gridSpan w:val="2"/>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gridSpan w:val="2"/>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gridSpan w:val="2"/>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(8,110)</w:t>
            </w: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(8,110)</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tcPr>
          <w:p>
            <w:pPr>
              <w:ind w:left="20"/>
              <w:spacing w:after="0"/>
              <w:rPr>
                <w:sz w:val="20"/>
                <w:szCs w:val="20"/>
                <w:color w:val="auto"/>
              </w:rPr>
            </w:pPr>
            <w:r>
              <w:rPr>
                <w:rFonts w:ascii="Arial" w:cs="Arial" w:eastAsia="Arial" w:hAnsi="Arial"/>
                <w:sz w:val="11"/>
                <w:szCs w:val="11"/>
                <w:color w:val="auto"/>
              </w:rPr>
              <w:t>BALANCE — September 30, 2021</w:t>
            </w: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1"/>
                <w:szCs w:val="11"/>
                <w:color w:val="auto"/>
              </w:rPr>
              <w:t>— $</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 $</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500"/>
              <w:spacing w:after="0"/>
              <w:rPr>
                <w:sz w:val="20"/>
                <w:szCs w:val="20"/>
                <w:color w:val="auto"/>
              </w:rPr>
            </w:pPr>
            <w:r>
              <w:rPr>
                <w:rFonts w:ascii="Arial" w:cs="Arial" w:eastAsia="Arial" w:hAnsi="Arial"/>
                <w:sz w:val="11"/>
                <w:szCs w:val="11"/>
                <w:color w:val="auto"/>
              </w:rPr>
              <w:t>— $</w:t>
            </w: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1"/>
                <w:szCs w:val="11"/>
                <w:color w:val="auto"/>
              </w:rPr>
              <w:t>—</w:t>
            </w:r>
          </w:p>
        </w:tc>
        <w:tc>
          <w:tcPr>
            <w:tcW w:w="80" w:type="dxa"/>
            <w:vAlign w:val="bottom"/>
            <w:gridSpan w:val="2"/>
          </w:tcPr>
          <w:p>
            <w:pPr>
              <w:spacing w:after="0"/>
              <w:rPr>
                <w:sz w:val="14"/>
                <w:szCs w:val="14"/>
                <w:color w:val="auto"/>
              </w:rPr>
            </w:pPr>
          </w:p>
        </w:tc>
        <w:tc>
          <w:tcPr>
            <w:tcW w:w="56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color w:val="auto"/>
                <w:w w:val="97"/>
              </w:rPr>
              <w:t>6,900,595</w:t>
            </w:r>
          </w:p>
        </w:tc>
        <w:tc>
          <w:tcPr>
            <w:tcW w:w="12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135,902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1"/>
                <w:szCs w:val="11"/>
                <w:color w:val="auto"/>
                <w:w w:val="91"/>
              </w:rPr>
              <w:t>(89)</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(92,284)</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43,536</w:t>
            </w:r>
          </w:p>
        </w:tc>
        <w:tc>
          <w:tcPr>
            <w:tcW w:w="20" w:type="dxa"/>
            <w:vAlign w:val="bottom"/>
            <w:tcBorders>
              <w:bottom w:val="single" w:sz="8" w:color="auto"/>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2740" w:type="dxa"/>
            <w:vAlign w:val="bottom"/>
            <w:gridSpan w:val="3"/>
          </w:tcPr>
          <w:p>
            <w:pPr>
              <w:spacing w:after="0"/>
              <w:rPr>
                <w:sz w:val="20"/>
                <w:szCs w:val="20"/>
                <w:color w:val="auto"/>
              </w:rPr>
            </w:pPr>
            <w:r>
              <w:rPr>
                <w:rFonts w:ascii="Arial" w:cs="Arial" w:eastAsia="Arial" w:hAnsi="Arial"/>
                <w:sz w:val="12"/>
                <w:szCs w:val="12"/>
                <w:b w:val="1"/>
                <w:bCs w:val="1"/>
                <w:color w:val="auto"/>
              </w:rPr>
              <w:t>Three Months Ended September 30, 2020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5"/>
            <w:vMerge w:val="restart"/>
          </w:tcPr>
          <w:p>
            <w:pPr>
              <w:ind w:left="200"/>
              <w:spacing w:after="0"/>
              <w:rPr>
                <w:sz w:val="20"/>
                <w:szCs w:val="20"/>
                <w:color w:val="auto"/>
              </w:rPr>
            </w:pPr>
            <w:r>
              <w:rPr>
                <w:rFonts w:ascii="Arial" w:cs="Arial" w:eastAsia="Arial" w:hAnsi="Arial"/>
                <w:sz w:val="11"/>
                <w:szCs w:val="11"/>
                <w:b w:val="1"/>
                <w:bCs w:val="1"/>
                <w:color w:val="auto"/>
                <w:w w:val="92"/>
              </w:rPr>
              <w:t>Series A Convertible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6"/>
            <w:vMerge w:val="restart"/>
          </w:tcPr>
          <w:p>
            <w:pPr>
              <w:jc w:val="right"/>
              <w:ind w:right="120"/>
              <w:spacing w:after="0"/>
              <w:rPr>
                <w:sz w:val="20"/>
                <w:szCs w:val="20"/>
                <w:color w:val="auto"/>
              </w:rPr>
            </w:pPr>
            <w:r>
              <w:rPr>
                <w:rFonts w:ascii="Arial" w:cs="Arial" w:eastAsia="Arial" w:hAnsi="Arial"/>
                <w:sz w:val="11"/>
                <w:szCs w:val="11"/>
                <w:b w:val="1"/>
                <w:bCs w:val="1"/>
                <w:color w:val="auto"/>
                <w:w w:val="92"/>
              </w:rPr>
              <w:t>Series B Convertible</w:t>
            </w:r>
          </w:p>
        </w:tc>
        <w:tc>
          <w:tcPr>
            <w:tcW w:w="80" w:type="dxa"/>
            <w:vAlign w:val="bottom"/>
          </w:tcPr>
          <w:p>
            <w:pPr>
              <w:spacing w:after="0"/>
              <w:rPr>
                <w:sz w:val="24"/>
                <w:szCs w:val="24"/>
                <w:color w:val="auto"/>
              </w:rPr>
            </w:pPr>
          </w:p>
        </w:tc>
        <w:tc>
          <w:tcPr>
            <w:tcW w:w="1300" w:type="dxa"/>
            <w:vAlign w:val="bottom"/>
            <w:gridSpan w:val="5"/>
            <w:vMerge w:val="restart"/>
          </w:tcPr>
          <w:p>
            <w:pPr>
              <w:ind w:left="100"/>
              <w:spacing w:after="0"/>
              <w:rPr>
                <w:sz w:val="20"/>
                <w:szCs w:val="20"/>
                <w:color w:val="auto"/>
              </w:rPr>
            </w:pPr>
            <w:r>
              <w:rPr>
                <w:rFonts w:ascii="Arial" w:cs="Arial" w:eastAsia="Arial" w:hAnsi="Arial"/>
                <w:sz w:val="11"/>
                <w:szCs w:val="11"/>
                <w:b w:val="1"/>
                <w:bCs w:val="1"/>
                <w:color w:val="auto"/>
              </w:rPr>
              <w:t>Series B-1 Convertible</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center"/>
              <w:ind w:right="26"/>
              <w:spacing w:after="0"/>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20" w:type="dxa"/>
            <w:vAlign w:val="bottom"/>
            <w:gridSpan w:val="5"/>
            <w:vMerge w:val="continue"/>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gridSpan w:val="3"/>
            <w:vMerge w:val="restart"/>
          </w:tcPr>
          <w:p>
            <w:pPr>
              <w:jc w:val="center"/>
              <w:ind w:right="140"/>
              <w:spacing w:after="0" w:line="123" w:lineRule="exact"/>
              <w:rPr>
                <w:sz w:val="20"/>
                <w:szCs w:val="20"/>
                <w:color w:val="auto"/>
              </w:rPr>
            </w:pPr>
            <w:r>
              <w:rPr>
                <w:rFonts w:ascii="Arial" w:cs="Arial" w:eastAsia="Arial" w:hAnsi="Arial"/>
                <w:sz w:val="11"/>
                <w:szCs w:val="11"/>
                <w:b w:val="1"/>
                <w:bCs w:val="1"/>
                <w:color w:val="auto"/>
                <w:w w:val="89"/>
              </w:rPr>
              <w:t>Additional</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vMerge w:val="restart"/>
          </w:tcPr>
          <w:p>
            <w:pPr>
              <w:jc w:val="center"/>
              <w:ind w:right="26"/>
              <w:spacing w:after="0" w:line="123" w:lineRule="exact"/>
              <w:rPr>
                <w:sz w:val="20"/>
                <w:szCs w:val="20"/>
                <w:color w:val="auto"/>
              </w:rPr>
            </w:pPr>
            <w:r>
              <w:rPr>
                <w:rFonts w:ascii="Arial" w:cs="Arial" w:eastAsia="Arial" w:hAnsi="Arial"/>
                <w:sz w:val="11"/>
                <w:szCs w:val="11"/>
                <w:b w:val="1"/>
                <w:bCs w:val="1"/>
                <w:color w:val="auto"/>
                <w:w w:val="88"/>
              </w:rPr>
              <w:t>Other</w:t>
            </w: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gridSpan w:val="5"/>
            <w:vMerge w:val="restart"/>
          </w:tcPr>
          <w:p>
            <w:pPr>
              <w:ind w:left="320"/>
              <w:spacing w:after="0"/>
              <w:rPr>
                <w:sz w:val="20"/>
                <w:szCs w:val="20"/>
                <w:color w:val="auto"/>
              </w:rPr>
            </w:pPr>
            <w:r>
              <w:rPr>
                <w:rFonts w:ascii="Arial" w:cs="Arial" w:eastAsia="Arial" w:hAnsi="Arial"/>
                <w:sz w:val="11"/>
                <w:szCs w:val="11"/>
                <w:b w:val="1"/>
                <w:bCs w:val="1"/>
                <w:color w:val="auto"/>
              </w:rPr>
              <w:t>Preferred Stock</w:t>
            </w: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6"/>
            <w:vMerge w:val="restart"/>
          </w:tcPr>
          <w:p>
            <w:pPr>
              <w:jc w:val="right"/>
              <w:ind w:right="200"/>
              <w:spacing w:after="0"/>
              <w:rPr>
                <w:sz w:val="20"/>
                <w:szCs w:val="20"/>
                <w:color w:val="auto"/>
              </w:rPr>
            </w:pPr>
            <w:r>
              <w:rPr>
                <w:rFonts w:ascii="Arial" w:cs="Arial" w:eastAsia="Arial" w:hAnsi="Arial"/>
                <w:sz w:val="11"/>
                <w:szCs w:val="11"/>
                <w:b w:val="1"/>
                <w:bCs w:val="1"/>
                <w:color w:val="auto"/>
              </w:rPr>
              <w:t>Preferred Stock</w:t>
            </w:r>
          </w:p>
        </w:tc>
        <w:tc>
          <w:tcPr>
            <w:tcW w:w="80" w:type="dxa"/>
            <w:vAlign w:val="bottom"/>
          </w:tcPr>
          <w:p>
            <w:pPr>
              <w:spacing w:after="0"/>
              <w:rPr>
                <w:sz w:val="4"/>
                <w:szCs w:val="4"/>
                <w:color w:val="auto"/>
              </w:rPr>
            </w:pPr>
          </w:p>
        </w:tc>
        <w:tc>
          <w:tcPr>
            <w:tcW w:w="1260" w:type="dxa"/>
            <w:vAlign w:val="bottom"/>
            <w:gridSpan w:val="4"/>
            <w:vMerge w:val="restart"/>
          </w:tcPr>
          <w:p>
            <w:pPr>
              <w:ind w:left="260"/>
              <w:spacing w:after="0"/>
              <w:rPr>
                <w:sz w:val="20"/>
                <w:szCs w:val="20"/>
                <w:color w:val="auto"/>
              </w:rPr>
            </w:pPr>
            <w:r>
              <w:rPr>
                <w:rFonts w:ascii="Arial" w:cs="Arial" w:eastAsia="Arial" w:hAnsi="Arial"/>
                <w:sz w:val="11"/>
                <w:szCs w:val="11"/>
                <w:b w:val="1"/>
                <w:bCs w:val="1"/>
                <w:color w:val="auto"/>
              </w:rPr>
              <w:t>Preferred Stock</w:t>
            </w:r>
          </w:p>
        </w:tc>
        <w:tc>
          <w:tcPr>
            <w:tcW w:w="4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gridSpan w:val="4"/>
            <w:vMerge w:val="restart"/>
          </w:tcPr>
          <w:p>
            <w:pPr>
              <w:jc w:val="center"/>
              <w:ind w:right="20"/>
              <w:spacing w:after="0"/>
              <w:rPr>
                <w:sz w:val="20"/>
                <w:szCs w:val="20"/>
                <w:color w:val="auto"/>
              </w:rPr>
            </w:pPr>
            <w:r>
              <w:rPr>
                <w:rFonts w:ascii="Arial" w:cs="Arial" w:eastAsia="Arial" w:hAnsi="Arial"/>
                <w:sz w:val="11"/>
                <w:szCs w:val="11"/>
                <w:b w:val="1"/>
                <w:bCs w:val="1"/>
                <w:color w:val="auto"/>
                <w:w w:val="89"/>
              </w:rPr>
              <w:t>Common Stock</w:t>
            </w:r>
          </w:p>
        </w:tc>
        <w:tc>
          <w:tcPr>
            <w:tcW w:w="4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2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auto"/>
            </w:tcBorders>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Borders>
              <w:bottom w:val="single" w:sz="8" w:color="auto"/>
            </w:tcBorders>
            <w:gridSpan w:val="4"/>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Borders>
              <w:bottom w:val="single" w:sz="8" w:color="auto"/>
            </w:tcBorders>
            <w:gridSpan w:val="4"/>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tcPr>
          <w:p>
            <w:pPr>
              <w:jc w:val="center"/>
              <w:ind w:right="120"/>
              <w:spacing w:after="0" w:line="89" w:lineRule="exact"/>
              <w:rPr>
                <w:sz w:val="20"/>
                <w:szCs w:val="20"/>
                <w:color w:val="auto"/>
              </w:rPr>
            </w:pPr>
            <w:r>
              <w:rPr>
                <w:rFonts w:ascii="Arial" w:cs="Arial" w:eastAsia="Arial" w:hAnsi="Arial"/>
                <w:sz w:val="10"/>
                <w:szCs w:val="10"/>
                <w:b w:val="1"/>
                <w:bCs w:val="1"/>
                <w:color w:val="auto"/>
              </w:rPr>
              <w:t>Paid-In</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center"/>
              <w:ind w:right="26"/>
              <w:spacing w:after="0" w:line="89" w:lineRule="exact"/>
              <w:rPr>
                <w:sz w:val="20"/>
                <w:szCs w:val="20"/>
                <w:color w:val="auto"/>
              </w:rPr>
            </w:pPr>
            <w:r>
              <w:rPr>
                <w:rFonts w:ascii="Arial" w:cs="Arial" w:eastAsia="Arial" w:hAnsi="Arial"/>
                <w:sz w:val="10"/>
                <w:szCs w:val="10"/>
                <w:b w:val="1"/>
                <w:bCs w:val="1"/>
                <w:color w:val="auto"/>
                <w:w w:val="98"/>
              </w:rPr>
              <w:t>Comprehensive</w:t>
            </w:r>
          </w:p>
        </w:tc>
        <w:tc>
          <w:tcPr>
            <w:tcW w:w="80" w:type="dxa"/>
            <w:vAlign w:val="bottom"/>
          </w:tcPr>
          <w:p>
            <w:pPr>
              <w:spacing w:after="0"/>
              <w:rPr>
                <w:sz w:val="9"/>
                <w:szCs w:val="9"/>
                <w:color w:val="auto"/>
              </w:rPr>
            </w:pPr>
          </w:p>
        </w:tc>
        <w:tc>
          <w:tcPr>
            <w:tcW w:w="740" w:type="dxa"/>
            <w:vAlign w:val="bottom"/>
          </w:tcPr>
          <w:p>
            <w:pPr>
              <w:jc w:val="center"/>
              <w:ind w:right="46"/>
              <w:spacing w:after="0" w:line="89" w:lineRule="exact"/>
              <w:rPr>
                <w:sz w:val="20"/>
                <w:szCs w:val="20"/>
                <w:color w:val="auto"/>
              </w:rPr>
            </w:pPr>
            <w:r>
              <w:rPr>
                <w:rFonts w:ascii="Arial" w:cs="Arial" w:eastAsia="Arial" w:hAnsi="Arial"/>
                <w:sz w:val="10"/>
                <w:szCs w:val="10"/>
                <w:b w:val="1"/>
                <w:bCs w:val="1"/>
                <w:color w:val="auto"/>
              </w:rPr>
              <w:t>Deficit</w:t>
            </w:r>
          </w:p>
        </w:tc>
        <w:tc>
          <w:tcPr>
            <w:tcW w:w="940" w:type="dxa"/>
            <w:vAlign w:val="bottom"/>
            <w:gridSpan w:val="2"/>
          </w:tcPr>
          <w:p>
            <w:pPr>
              <w:ind w:left="20"/>
              <w:spacing w:after="0" w:line="89" w:lineRule="exact"/>
              <w:rPr>
                <w:sz w:val="20"/>
                <w:szCs w:val="20"/>
                <w:color w:val="auto"/>
              </w:rPr>
            </w:pPr>
            <w:r>
              <w:rPr>
                <w:rFonts w:ascii="Arial" w:cs="Arial" w:eastAsia="Arial" w:hAnsi="Arial"/>
                <w:sz w:val="10"/>
                <w:szCs w:val="10"/>
                <w:b w:val="1"/>
                <w:bCs w:val="1"/>
                <w:color w:val="auto"/>
                <w:w w:val="97"/>
              </w:rPr>
              <w:t>Total Stockholders'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260"/>
              <w:spacing w:after="0"/>
              <w:rPr>
                <w:sz w:val="20"/>
                <w:szCs w:val="20"/>
                <w:color w:val="auto"/>
              </w:rPr>
            </w:pPr>
            <w:r>
              <w:rPr>
                <w:rFonts w:ascii="Arial" w:cs="Arial" w:eastAsia="Arial" w:hAnsi="Arial"/>
                <w:sz w:val="11"/>
                <w:szCs w:val="11"/>
                <w:b w:val="1"/>
                <w:bCs w:val="1"/>
                <w:color w:val="auto"/>
                <w:w w:val="92"/>
              </w:rPr>
              <w:t>Shares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46"/>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2"/>
                <w:szCs w:val="12"/>
                <w:color w:val="auto"/>
              </w:rPr>
            </w:pPr>
          </w:p>
        </w:tc>
        <w:tc>
          <w:tcPr>
            <w:tcW w:w="700" w:type="dxa"/>
            <w:vAlign w:val="bottom"/>
          </w:tcPr>
          <w:p>
            <w:pPr>
              <w:ind w:left="2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52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52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2"/>
              </w:rPr>
              <w:t>Capital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6"/>
              <w:spacing w:after="0"/>
              <w:rPr>
                <w:sz w:val="20"/>
                <w:szCs w:val="20"/>
                <w:color w:val="auto"/>
              </w:rPr>
            </w:pPr>
            <w:r>
              <w:rPr>
                <w:rFonts w:ascii="Arial" w:cs="Arial" w:eastAsia="Arial" w:hAnsi="Arial"/>
                <w:sz w:val="11"/>
                <w:szCs w:val="11"/>
                <w:b w:val="1"/>
                <w:bCs w:val="1"/>
                <w:color w:val="auto"/>
                <w:w w:val="85"/>
              </w:rPr>
              <w:t>Loss</w:t>
            </w:r>
          </w:p>
        </w:tc>
        <w:tc>
          <w:tcPr>
            <w:tcW w:w="80" w:type="dxa"/>
            <w:vAlign w:val="bottom"/>
          </w:tcPr>
          <w:p>
            <w:pPr>
              <w:spacing w:after="0"/>
              <w:rPr>
                <w:sz w:val="12"/>
                <w:szCs w:val="12"/>
                <w:color w:val="auto"/>
              </w:rPr>
            </w:pPr>
          </w:p>
        </w:tc>
        <w:tc>
          <w:tcPr>
            <w:tcW w:w="740" w:type="dxa"/>
            <w:vAlign w:val="bottom"/>
          </w:tcPr>
          <w:p>
            <w:pPr>
              <w:jc w:val="center"/>
              <w:ind w:right="26"/>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2"/>
                <w:szCs w:val="12"/>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b w:val="1"/>
                <w:bCs w:val="1"/>
                <w:color w:val="auto"/>
                <w:w w:val="92"/>
              </w:rPr>
              <w:t>Equity (Deficit)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 June 30, 2020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17,000,000</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16,982</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25,186,738</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12,235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72,499,993</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57,490</w:t>
            </w:r>
          </w:p>
        </w:tc>
        <w:tc>
          <w:tcPr>
            <w:tcW w:w="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476,967</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2,645</w:t>
            </w:r>
          </w:p>
        </w:tc>
        <w:tc>
          <w:tcPr>
            <w:tcW w:w="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(62,010)</w:t>
            </w: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(59,365)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60" w:type="dxa"/>
            <w:vAlign w:val="bottom"/>
          </w:tcPr>
          <w:p>
            <w:pPr>
              <w:ind w:left="20"/>
              <w:spacing w:after="0"/>
              <w:rPr>
                <w:sz w:val="20"/>
                <w:szCs w:val="20"/>
                <w:color w:val="auto"/>
              </w:rPr>
            </w:pPr>
            <w:r>
              <w:rPr>
                <w:rFonts w:ascii="Arial" w:cs="Arial" w:eastAsia="Arial" w:hAnsi="Arial"/>
                <w:sz w:val="11"/>
                <w:szCs w:val="11"/>
                <w:color w:val="auto"/>
              </w:rPr>
              <w:t>Exercise of stock options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2,618</w:t>
            </w:r>
          </w:p>
        </w:tc>
        <w:tc>
          <w:tcPr>
            <w:tcW w:w="120" w:type="dxa"/>
            <w:vAlign w:val="bottom"/>
          </w:tcPr>
          <w:p>
            <w:pPr>
              <w:spacing w:after="0"/>
              <w:rPr>
                <w:sz w:val="13"/>
                <w:szCs w:val="13"/>
                <w:color w:val="auto"/>
              </w:rPr>
            </w:pPr>
          </w:p>
        </w:tc>
        <w:tc>
          <w:tcPr>
            <w:tcW w:w="520" w:type="dxa"/>
            <w:vAlign w:val="bottom"/>
            <w:gridSpan w:val="3"/>
          </w:tcPr>
          <w:p>
            <w:pPr>
              <w:ind w:left="3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ind w:left="6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Vesting of early exercised stock options</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8,708</w:t>
            </w:r>
          </w:p>
        </w:tc>
        <w:tc>
          <w:tcPr>
            <w:tcW w:w="120" w:type="dxa"/>
            <w:vAlign w:val="bottom"/>
            <w:shd w:val="clear" w:color="auto" w:fill="CCEEFF"/>
          </w:tcPr>
          <w:p>
            <w:pPr>
              <w:spacing w:after="0"/>
              <w:rPr>
                <w:sz w:val="15"/>
                <w:szCs w:val="15"/>
                <w:color w:val="auto"/>
              </w:rPr>
            </w:pPr>
          </w:p>
        </w:tc>
        <w:tc>
          <w:tcPr>
            <w:tcW w:w="520" w:type="dxa"/>
            <w:vAlign w:val="bottom"/>
            <w:gridSpan w:val="3"/>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37</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60" w:type="dxa"/>
            <w:vAlign w:val="bottom"/>
          </w:tcPr>
          <w:p>
            <w:pPr>
              <w:ind w:left="20"/>
              <w:spacing w:after="0"/>
              <w:rPr>
                <w:sz w:val="20"/>
                <w:szCs w:val="20"/>
                <w:color w:val="auto"/>
              </w:rPr>
            </w:pPr>
            <w:r>
              <w:rPr>
                <w:rFonts w:ascii="Arial" w:cs="Arial" w:eastAsia="Arial" w:hAnsi="Arial"/>
                <w:sz w:val="11"/>
                <w:szCs w:val="11"/>
                <w:color w:val="auto"/>
              </w:rPr>
              <w:t>Share-based compensation</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20" w:type="dxa"/>
            <w:vAlign w:val="bottom"/>
            <w:gridSpan w:val="3"/>
          </w:tcPr>
          <w:p>
            <w:pPr>
              <w:ind w:left="3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92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ind w:left="6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6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(5,431)</w:t>
            </w: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(5,431)</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tcPr>
          <w:p>
            <w:pPr>
              <w:ind w:left="20"/>
              <w:spacing w:after="0"/>
              <w:rPr>
                <w:sz w:val="20"/>
                <w:szCs w:val="20"/>
                <w:color w:val="auto"/>
              </w:rPr>
            </w:pPr>
            <w:r>
              <w:rPr>
                <w:rFonts w:ascii="Arial" w:cs="Arial" w:eastAsia="Arial" w:hAnsi="Arial"/>
                <w:sz w:val="11"/>
                <w:szCs w:val="11"/>
                <w:color w:val="auto"/>
              </w:rPr>
              <w:t>BALANCE — September 30, 2020</w:t>
            </w:r>
          </w:p>
        </w:tc>
        <w:tc>
          <w:tcPr>
            <w:tcW w:w="880" w:type="dxa"/>
            <w:vAlign w:val="bottom"/>
            <w:gridSpan w:val="3"/>
          </w:tcPr>
          <w:p>
            <w:pPr>
              <w:jc w:val="right"/>
              <w:spacing w:after="0"/>
              <w:rPr>
                <w:sz w:val="20"/>
                <w:szCs w:val="20"/>
                <w:color w:val="auto"/>
              </w:rPr>
            </w:pPr>
            <w:r>
              <w:rPr>
                <w:rFonts w:ascii="Arial" w:cs="Arial" w:eastAsia="Arial" w:hAnsi="Arial"/>
                <w:sz w:val="11"/>
                <w:szCs w:val="11"/>
                <w:color w:val="auto"/>
              </w:rPr>
              <w:t>17,000,000</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gridSpan w:val="3"/>
          </w:tcPr>
          <w:p>
            <w:pPr>
              <w:jc w:val="right"/>
              <w:spacing w:after="0"/>
              <w:rPr>
                <w:sz w:val="20"/>
                <w:szCs w:val="20"/>
                <w:color w:val="auto"/>
              </w:rPr>
            </w:pPr>
            <w:r>
              <w:rPr>
                <w:rFonts w:ascii="Arial" w:cs="Arial" w:eastAsia="Arial" w:hAnsi="Arial"/>
                <w:sz w:val="11"/>
                <w:szCs w:val="11"/>
                <w:color w:val="auto"/>
              </w:rPr>
              <w:t>16,982</w:t>
            </w:r>
          </w:p>
        </w:tc>
        <w:tc>
          <w:tcPr>
            <w:tcW w:w="660" w:type="dxa"/>
            <w:vAlign w:val="bottom"/>
            <w:gridSpan w:val="4"/>
          </w:tcPr>
          <w:p>
            <w:pPr>
              <w:jc w:val="right"/>
              <w:spacing w:after="0"/>
              <w:rPr>
                <w:sz w:val="20"/>
                <w:szCs w:val="20"/>
                <w:color w:val="auto"/>
              </w:rPr>
            </w:pPr>
            <w:r>
              <w:rPr>
                <w:rFonts w:ascii="Arial" w:cs="Arial" w:eastAsia="Arial" w:hAnsi="Arial"/>
                <w:sz w:val="11"/>
                <w:szCs w:val="11"/>
                <w:color w:val="auto"/>
              </w:rPr>
              <w:t>25,186,738</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3"/>
          </w:tcPr>
          <w:p>
            <w:pPr>
              <w:jc w:val="right"/>
              <w:ind w:right="60"/>
              <w:spacing w:after="0"/>
              <w:rPr>
                <w:sz w:val="20"/>
                <w:szCs w:val="20"/>
                <w:color w:val="auto"/>
              </w:rPr>
            </w:pPr>
            <w:r>
              <w:rPr>
                <w:rFonts w:ascii="Arial" w:cs="Arial" w:eastAsia="Arial" w:hAnsi="Arial"/>
                <w:sz w:val="11"/>
                <w:szCs w:val="11"/>
                <w:color w:val="auto"/>
              </w:rPr>
              <w:t>12,235</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72,499,993</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57,490</w:t>
            </w:r>
          </w:p>
        </w:tc>
        <w:tc>
          <w:tcPr>
            <w:tcW w:w="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488,293</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3"/>
          </w:tcPr>
          <w:p>
            <w:pPr>
              <w:ind w:left="320"/>
              <w:spacing w:after="0"/>
              <w:rPr>
                <w:sz w:val="20"/>
                <w:szCs w:val="20"/>
                <w:color w:val="auto"/>
              </w:rPr>
            </w:pPr>
            <w:r>
              <w:rPr>
                <w:rFonts w:ascii="Arial" w:cs="Arial" w:eastAsia="Arial" w:hAnsi="Arial"/>
                <w:sz w:val="11"/>
                <w:szCs w:val="11"/>
                <w:color w:val="auto"/>
              </w:rPr>
              <w:t>—</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2,787</w:t>
            </w:r>
          </w:p>
        </w:tc>
        <w:tc>
          <w:tcPr>
            <w:tcW w:w="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ind w:left="6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(67,441)</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(64,654)</w:t>
            </w:r>
          </w:p>
        </w:tc>
        <w:tc>
          <w:tcPr>
            <w:tcW w:w="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unaudited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47625</wp:posOffset>
            </wp:positionV>
            <wp:extent cx="719137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20"/>
          </w:cols>
          <w:pgMar w:left="540" w:top="316" w:right="539" w:bottom="1440" w:gutter="0" w:footer="0" w:header="0"/>
        </w:sectPr>
      </w:pPr>
    </w:p>
    <w:bookmarkStart w:id="7" w:name="page8"/>
    <w:bookmarkEnd w:id="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TEMPEST THERAPEUTICS,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Convertible Preferred Stock and Stockholders’ Equity (Deficit)</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share amounts)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Nine Months Ended September 30, 2021</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40" w:type="dxa"/>
            <w:vAlign w:val="bottom"/>
          </w:tcPr>
          <w:p>
            <w:pPr>
              <w:spacing w:after="0"/>
              <w:rPr>
                <w:sz w:val="10"/>
                <w:szCs w:val="10"/>
                <w:color w:val="auto"/>
              </w:rPr>
            </w:pPr>
          </w:p>
        </w:tc>
        <w:tc>
          <w:tcPr>
            <w:tcW w:w="1360" w:type="dxa"/>
            <w:vAlign w:val="bottom"/>
            <w:gridSpan w:val="4"/>
            <w:vMerge w:val="restart"/>
          </w:tcPr>
          <w:p>
            <w:pPr>
              <w:ind w:left="140"/>
              <w:spacing w:after="0"/>
              <w:rPr>
                <w:sz w:val="20"/>
                <w:szCs w:val="20"/>
                <w:color w:val="auto"/>
              </w:rPr>
            </w:pPr>
            <w:r>
              <w:rPr>
                <w:rFonts w:ascii="Arial" w:cs="Arial" w:eastAsia="Arial" w:hAnsi="Arial"/>
                <w:sz w:val="11"/>
                <w:szCs w:val="11"/>
                <w:b w:val="1"/>
                <w:bCs w:val="1"/>
                <w:color w:val="auto"/>
              </w:rPr>
              <w:t>Series A Convertible</w:t>
            </w:r>
          </w:p>
        </w:tc>
        <w:tc>
          <w:tcPr>
            <w:tcW w:w="132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rPr>
              <w:t>Series B Convertible</w:t>
            </w:r>
          </w:p>
        </w:tc>
        <w:tc>
          <w:tcPr>
            <w:tcW w:w="1420" w:type="dxa"/>
            <w:vAlign w:val="bottom"/>
            <w:gridSpan w:val="4"/>
            <w:vMerge w:val="restart"/>
          </w:tcPr>
          <w:p>
            <w:pPr>
              <w:ind w:left="140"/>
              <w:spacing w:after="0"/>
              <w:rPr>
                <w:sz w:val="20"/>
                <w:szCs w:val="20"/>
                <w:color w:val="auto"/>
              </w:rPr>
            </w:pPr>
            <w:r>
              <w:rPr>
                <w:rFonts w:ascii="Arial" w:cs="Arial" w:eastAsia="Arial" w:hAnsi="Arial"/>
                <w:sz w:val="11"/>
                <w:szCs w:val="11"/>
                <w:b w:val="1"/>
                <w:bCs w:val="1"/>
                <w:color w:val="auto"/>
              </w:rPr>
              <w:t>Series B-1 Convertible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26"/>
              <w:spacing w:after="0"/>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14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1320" w:type="dxa"/>
            <w:vAlign w:val="bottom"/>
            <w:gridSpan w:val="4"/>
            <w:vMerge w:val="continue"/>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200"/>
              <w:spacing w:after="0" w:line="123" w:lineRule="exact"/>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6"/>
                <w:szCs w:val="6"/>
                <w:color w:val="auto"/>
              </w:rPr>
            </w:pPr>
          </w:p>
        </w:tc>
        <w:tc>
          <w:tcPr>
            <w:tcW w:w="820" w:type="dxa"/>
            <w:vAlign w:val="bottom"/>
            <w:vMerge w:val="restart"/>
          </w:tcPr>
          <w:p>
            <w:pPr>
              <w:jc w:val="center"/>
              <w:ind w:right="6"/>
              <w:spacing w:after="0" w:line="123"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140" w:type="dxa"/>
            <w:vAlign w:val="bottom"/>
          </w:tcPr>
          <w:p>
            <w:pPr>
              <w:spacing w:after="0"/>
              <w:rPr>
                <w:sz w:val="4"/>
                <w:szCs w:val="4"/>
                <w:color w:val="auto"/>
              </w:rPr>
            </w:pPr>
          </w:p>
        </w:tc>
        <w:tc>
          <w:tcPr>
            <w:tcW w:w="1260" w:type="dxa"/>
            <w:vAlign w:val="bottom"/>
            <w:gridSpan w:val="3"/>
            <w:vMerge w:val="restart"/>
          </w:tcPr>
          <w:p>
            <w:pPr>
              <w:jc w:val="right"/>
              <w:ind w:right="206"/>
              <w:spacing w:after="0"/>
              <w:rPr>
                <w:sz w:val="20"/>
                <w:szCs w:val="20"/>
                <w:color w:val="auto"/>
              </w:rPr>
            </w:pPr>
            <w:r>
              <w:rPr>
                <w:rFonts w:ascii="Arial" w:cs="Arial" w:eastAsia="Arial" w:hAnsi="Arial"/>
                <w:sz w:val="11"/>
                <w:szCs w:val="11"/>
                <w:b w:val="1"/>
                <w:bCs w:val="1"/>
                <w:color w:val="auto"/>
              </w:rPr>
              <w:t>Preferred Stock</w:t>
            </w:r>
          </w:p>
        </w:tc>
        <w:tc>
          <w:tcPr>
            <w:tcW w:w="100" w:type="dxa"/>
            <w:vAlign w:val="bottom"/>
            <w:vMerge w:val="restart"/>
          </w:tcPr>
          <w:p>
            <w:pPr>
              <w:spacing w:after="0"/>
              <w:rPr>
                <w:sz w:val="4"/>
                <w:szCs w:val="4"/>
                <w:color w:val="auto"/>
              </w:rPr>
            </w:pPr>
          </w:p>
        </w:tc>
        <w:tc>
          <w:tcPr>
            <w:tcW w:w="1240" w:type="dxa"/>
            <w:vAlign w:val="bottom"/>
            <w:gridSpan w:val="3"/>
            <w:vMerge w:val="restart"/>
          </w:tcPr>
          <w:p>
            <w:pPr>
              <w:jc w:val="right"/>
              <w:ind w:right="206"/>
              <w:spacing w:after="0"/>
              <w:rPr>
                <w:sz w:val="20"/>
                <w:szCs w:val="20"/>
                <w:color w:val="auto"/>
              </w:rPr>
            </w:pPr>
            <w:r>
              <w:rPr>
                <w:rFonts w:ascii="Arial" w:cs="Arial" w:eastAsia="Arial" w:hAnsi="Arial"/>
                <w:sz w:val="11"/>
                <w:szCs w:val="11"/>
                <w:b w:val="1"/>
                <w:bCs w:val="1"/>
                <w:color w:val="auto"/>
              </w:rPr>
              <w:t>Preferred Stock</w:t>
            </w:r>
          </w:p>
        </w:tc>
        <w:tc>
          <w:tcPr>
            <w:tcW w:w="80" w:type="dxa"/>
            <w:vAlign w:val="bottom"/>
            <w:vMerge w:val="restart"/>
          </w:tcPr>
          <w:p>
            <w:pPr>
              <w:spacing w:after="0"/>
              <w:rPr>
                <w:sz w:val="4"/>
                <w:szCs w:val="4"/>
                <w:color w:val="auto"/>
              </w:rPr>
            </w:pPr>
          </w:p>
        </w:tc>
        <w:tc>
          <w:tcPr>
            <w:tcW w:w="1340" w:type="dxa"/>
            <w:vAlign w:val="bottom"/>
            <w:gridSpan w:val="3"/>
            <w:vMerge w:val="restart"/>
          </w:tcPr>
          <w:p>
            <w:pPr>
              <w:jc w:val="right"/>
              <w:ind w:right="246"/>
              <w:spacing w:after="0"/>
              <w:rPr>
                <w:sz w:val="20"/>
                <w:szCs w:val="20"/>
                <w:color w:val="auto"/>
              </w:rPr>
            </w:pPr>
            <w:r>
              <w:rPr>
                <w:rFonts w:ascii="Arial" w:cs="Arial" w:eastAsia="Arial" w:hAnsi="Arial"/>
                <w:sz w:val="11"/>
                <w:szCs w:val="11"/>
                <w:b w:val="1"/>
                <w:bCs w:val="1"/>
                <w:color w:val="auto"/>
              </w:rPr>
              <w:t>Preferred Stock</w:t>
            </w:r>
          </w:p>
        </w:tc>
        <w:tc>
          <w:tcPr>
            <w:tcW w:w="80" w:type="dxa"/>
            <w:vAlign w:val="bottom"/>
            <w:vMerge w:val="restart"/>
          </w:tcPr>
          <w:p>
            <w:pPr>
              <w:spacing w:after="0"/>
              <w:rPr>
                <w:sz w:val="4"/>
                <w:szCs w:val="4"/>
                <w:color w:val="auto"/>
              </w:rPr>
            </w:pPr>
          </w:p>
        </w:tc>
        <w:tc>
          <w:tcPr>
            <w:tcW w:w="1080" w:type="dxa"/>
            <w:vAlign w:val="bottom"/>
            <w:gridSpan w:val="3"/>
            <w:vMerge w:val="restart"/>
          </w:tcPr>
          <w:p>
            <w:pPr>
              <w:jc w:val="right"/>
              <w:ind w:right="126"/>
              <w:spacing w:after="0"/>
              <w:rPr>
                <w:sz w:val="20"/>
                <w:szCs w:val="20"/>
                <w:color w:val="auto"/>
              </w:rPr>
            </w:pPr>
            <w:r>
              <w:rPr>
                <w:rFonts w:ascii="Arial" w:cs="Arial" w:eastAsia="Arial" w:hAnsi="Arial"/>
                <w:sz w:val="11"/>
                <w:szCs w:val="11"/>
                <w:b w:val="1"/>
                <w:bCs w:val="1"/>
                <w:color w:val="auto"/>
              </w:rPr>
              <w:t>Common Stock</w:t>
            </w:r>
          </w:p>
        </w:tc>
        <w:tc>
          <w:tcPr>
            <w:tcW w:w="10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140" w:type="dxa"/>
            <w:vAlign w:val="bottom"/>
          </w:tcPr>
          <w:p>
            <w:pPr>
              <w:spacing w:after="0"/>
              <w:rPr>
                <w:sz w:val="9"/>
                <w:szCs w:val="9"/>
                <w:color w:val="auto"/>
              </w:rPr>
            </w:pPr>
          </w:p>
        </w:tc>
        <w:tc>
          <w:tcPr>
            <w:tcW w:w="1260" w:type="dxa"/>
            <w:vAlign w:val="bottom"/>
            <w:tcBorders>
              <w:bottom w:val="single" w:sz="8" w:color="auto"/>
            </w:tcBorders>
            <w:gridSpan w:val="3"/>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4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34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80" w:type="dxa"/>
            <w:vAlign w:val="bottom"/>
            <w:tcBorders>
              <w:bottom w:val="single" w:sz="8" w:color="auto"/>
            </w:tcBorders>
            <w:gridSpan w:val="3"/>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180"/>
              <w:spacing w:after="0" w:line="89"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9"/>
                <w:szCs w:val="9"/>
                <w:color w:val="auto"/>
              </w:rPr>
            </w:pPr>
          </w:p>
        </w:tc>
        <w:tc>
          <w:tcPr>
            <w:tcW w:w="820" w:type="dxa"/>
            <w:vAlign w:val="bottom"/>
          </w:tcPr>
          <w:p>
            <w:pPr>
              <w:jc w:val="center"/>
              <w:ind w:right="26"/>
              <w:spacing w:after="0" w:line="89" w:lineRule="exact"/>
              <w:rPr>
                <w:sz w:val="20"/>
                <w:szCs w:val="20"/>
                <w:color w:val="auto"/>
              </w:rPr>
            </w:pPr>
            <w:r>
              <w:rPr>
                <w:rFonts w:ascii="Arial" w:cs="Arial" w:eastAsia="Arial" w:hAnsi="Arial"/>
                <w:sz w:val="10"/>
                <w:szCs w:val="10"/>
                <w:b w:val="1"/>
                <w:bCs w:val="1"/>
                <w:color w:val="auto"/>
                <w:w w:val="98"/>
              </w:rPr>
              <w:t>Comprehensive</w:t>
            </w:r>
          </w:p>
        </w:tc>
        <w:tc>
          <w:tcPr>
            <w:tcW w:w="80" w:type="dxa"/>
            <w:vAlign w:val="bottom"/>
          </w:tcPr>
          <w:p>
            <w:pPr>
              <w:spacing w:after="0"/>
              <w:rPr>
                <w:sz w:val="9"/>
                <w:szCs w:val="9"/>
                <w:color w:val="auto"/>
              </w:rPr>
            </w:pPr>
          </w:p>
        </w:tc>
        <w:tc>
          <w:tcPr>
            <w:tcW w:w="680" w:type="dxa"/>
            <w:vAlign w:val="bottom"/>
          </w:tcPr>
          <w:p>
            <w:pPr>
              <w:ind w:left="140"/>
              <w:spacing w:after="0" w:line="89" w:lineRule="exact"/>
              <w:rPr>
                <w:sz w:val="20"/>
                <w:szCs w:val="20"/>
                <w:color w:val="auto"/>
              </w:rPr>
            </w:pPr>
            <w:r>
              <w:rPr>
                <w:rFonts w:ascii="Arial" w:cs="Arial" w:eastAsia="Arial" w:hAnsi="Arial"/>
                <w:sz w:val="10"/>
                <w:szCs w:val="10"/>
                <w:b w:val="1"/>
                <w:bCs w:val="1"/>
                <w:color w:val="auto"/>
              </w:rPr>
              <w:t>Deficit</w:t>
            </w:r>
          </w:p>
        </w:tc>
        <w:tc>
          <w:tcPr>
            <w:tcW w:w="940" w:type="dxa"/>
            <w:vAlign w:val="bottom"/>
            <w:gridSpan w:val="2"/>
          </w:tcPr>
          <w:p>
            <w:pPr>
              <w:ind w:left="20"/>
              <w:spacing w:after="0" w:line="89" w:lineRule="exact"/>
              <w:rPr>
                <w:sz w:val="20"/>
                <w:szCs w:val="20"/>
                <w:color w:val="auto"/>
              </w:rPr>
            </w:pPr>
            <w:r>
              <w:rPr>
                <w:rFonts w:ascii="Arial" w:cs="Arial" w:eastAsia="Arial" w:hAnsi="Arial"/>
                <w:sz w:val="10"/>
                <w:szCs w:val="10"/>
                <w:b w:val="1"/>
                <w:bCs w:val="1"/>
                <w:color w:val="auto"/>
                <w:w w:val="97"/>
              </w:rPr>
              <w:t>Total Stockholders'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12"/>
                <w:szCs w:val="12"/>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jc w:val="right"/>
              <w:ind w:right="46"/>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2"/>
                <w:szCs w:val="12"/>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2"/>
                <w:szCs w:val="12"/>
                <w:color w:val="auto"/>
              </w:rPr>
            </w:pPr>
          </w:p>
        </w:tc>
        <w:tc>
          <w:tcPr>
            <w:tcW w:w="820" w:type="dxa"/>
            <w:vAlign w:val="bottom"/>
          </w:tcPr>
          <w:p>
            <w:pPr>
              <w:jc w:val="center"/>
              <w:ind w:right="26"/>
              <w:spacing w:after="0"/>
              <w:rPr>
                <w:sz w:val="20"/>
                <w:szCs w:val="20"/>
                <w:color w:val="auto"/>
              </w:rPr>
            </w:pPr>
            <w:r>
              <w:rPr>
                <w:rFonts w:ascii="Arial" w:cs="Arial" w:eastAsia="Arial" w:hAnsi="Arial"/>
                <w:sz w:val="11"/>
                <w:szCs w:val="11"/>
                <w:b w:val="1"/>
                <w:bCs w:val="1"/>
                <w:color w:val="auto"/>
                <w:w w:val="85"/>
              </w:rPr>
              <w:t>Loss</w:t>
            </w:r>
          </w:p>
        </w:tc>
        <w:tc>
          <w:tcPr>
            <w:tcW w:w="80" w:type="dxa"/>
            <w:vAlign w:val="bottom"/>
          </w:tcPr>
          <w:p>
            <w:pPr>
              <w:spacing w:after="0"/>
              <w:rPr>
                <w:sz w:val="12"/>
                <w:szCs w:val="12"/>
                <w:color w:val="auto"/>
              </w:rPr>
            </w:pPr>
          </w:p>
        </w:tc>
        <w:tc>
          <w:tcPr>
            <w:tcW w:w="680" w:type="dxa"/>
            <w:vAlign w:val="bottom"/>
          </w:tcPr>
          <w:p>
            <w:pPr>
              <w:spacing w:after="0"/>
              <w:rPr>
                <w:sz w:val="20"/>
                <w:szCs w:val="20"/>
                <w:color w:val="auto"/>
              </w:rPr>
            </w:pPr>
            <w:r>
              <w:rPr>
                <w:rFonts w:ascii="Arial" w:cs="Arial" w:eastAsia="Arial" w:hAnsi="Arial"/>
                <w:sz w:val="11"/>
                <w:szCs w:val="11"/>
                <w:b w:val="1"/>
                <w:bCs w:val="1"/>
                <w:color w:val="auto"/>
                <w:w w:val="95"/>
              </w:rPr>
              <w:t>Accumulated</w:t>
            </w:r>
          </w:p>
        </w:tc>
        <w:tc>
          <w:tcPr>
            <w:tcW w:w="100" w:type="dxa"/>
            <w:vAlign w:val="bottom"/>
          </w:tcPr>
          <w:p>
            <w:pPr>
              <w:spacing w:after="0"/>
              <w:rPr>
                <w:sz w:val="12"/>
                <w:szCs w:val="12"/>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b w:val="1"/>
                <w:bCs w:val="1"/>
                <w:color w:val="auto"/>
                <w:w w:val="92"/>
              </w:rPr>
              <w:t>Equity (Deficit)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 December 31, 2020</w:t>
            </w: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17,000,000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16,982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25,186,738</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12,235</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72,499,993</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57,490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498,224</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center"/>
              <w:ind w:left="56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ind w:left="300"/>
              <w:spacing w:after="0"/>
              <w:rPr>
                <w:sz w:val="20"/>
                <w:szCs w:val="20"/>
                <w:color w:val="auto"/>
              </w:rPr>
            </w:pPr>
            <w:r>
              <w:rPr>
                <w:rFonts w:ascii="Arial" w:cs="Arial" w:eastAsia="Arial" w:hAnsi="Arial"/>
                <w:sz w:val="11"/>
                <w:szCs w:val="11"/>
                <w:color w:val="auto"/>
                <w:w w:val="87"/>
              </w:rPr>
              <w:t>(71,761)</w:t>
            </w: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(68,793)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left="546"/>
              <w:spacing w:after="0"/>
              <w:rPr>
                <w:sz w:val="20"/>
                <w:szCs w:val="20"/>
                <w:color w:val="auto"/>
              </w:rPr>
            </w:pPr>
            <w:r>
              <w:rPr>
                <w:rFonts w:ascii="Arial" w:cs="Arial" w:eastAsia="Arial" w:hAnsi="Arial"/>
                <w:sz w:val="11"/>
                <w:szCs w:val="11"/>
                <w:color w:val="auto"/>
                <w:w w:val="91"/>
              </w:rPr>
              <w:t>(89)</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 of stock options</w:t>
            </w: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25,880</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56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20"/>
              <w:spacing w:after="0"/>
              <w:rPr>
                <w:sz w:val="20"/>
                <w:szCs w:val="20"/>
                <w:color w:val="auto"/>
              </w:rPr>
            </w:pPr>
            <w:r>
              <w:rPr>
                <w:rFonts w:ascii="Arial" w:cs="Arial" w:eastAsia="Arial" w:hAnsi="Arial"/>
                <w:sz w:val="11"/>
                <w:szCs w:val="11"/>
                <w:color w:val="auto"/>
              </w:rPr>
              <w:t>Vesting of early exercised stock options</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28,860</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left="5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ind w:left="5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Conversion of preferred stock to common</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6"/>
              </w:rPr>
              <w:t>(17,000,000)</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(16,982)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(25,186,738)</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(12,235)</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(72,499,993)</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(57,490)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3,692,912</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86,703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center"/>
              <w:ind w:left="56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86,707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140" w:type="dxa"/>
            <w:vAlign w:val="bottom"/>
          </w:tcPr>
          <w:p>
            <w:pPr>
              <w:ind w:left="20"/>
              <w:spacing w:after="0"/>
              <w:rPr>
                <w:sz w:val="20"/>
                <w:szCs w:val="20"/>
                <w:color w:val="auto"/>
              </w:rPr>
            </w:pPr>
            <w:r>
              <w:rPr>
                <w:rFonts w:ascii="Arial" w:cs="Arial" w:eastAsia="Arial" w:hAnsi="Arial"/>
                <w:sz w:val="11"/>
                <w:szCs w:val="11"/>
                <w:color w:val="auto"/>
              </w:rPr>
              <w:t>Issuance of common stock for cash, net of</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140" w:type="dxa"/>
            <w:vAlign w:val="bottom"/>
          </w:tcPr>
          <w:p>
            <w:pPr>
              <w:ind w:left="20"/>
              <w:spacing w:after="0"/>
              <w:rPr>
                <w:sz w:val="20"/>
                <w:szCs w:val="20"/>
                <w:color w:val="auto"/>
              </w:rPr>
            </w:pPr>
            <w:r>
              <w:rPr>
                <w:rFonts w:ascii="Arial" w:cs="Arial" w:eastAsia="Arial" w:hAnsi="Arial"/>
                <w:sz w:val="11"/>
                <w:szCs w:val="11"/>
                <w:color w:val="auto"/>
              </w:rPr>
              <w:t>issuance cost of $349</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w w:val="97"/>
              </w:rPr>
              <w:t>1,385,273</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33,522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left="5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80" w:type="dxa"/>
            <w:vAlign w:val="bottom"/>
          </w:tcPr>
          <w:p>
            <w:pPr>
              <w:ind w:left="5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33,523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Share-based compensation</w:t>
            </w: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56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20"/>
              <w:spacing w:after="0"/>
              <w:rPr>
                <w:sz w:val="20"/>
                <w:szCs w:val="20"/>
                <w:color w:val="auto"/>
              </w:rPr>
            </w:pPr>
            <w:r>
              <w:rPr>
                <w:rFonts w:ascii="Arial" w:cs="Arial" w:eastAsia="Arial" w:hAnsi="Arial"/>
                <w:sz w:val="11"/>
                <w:szCs w:val="11"/>
                <w:color w:val="auto"/>
              </w:rPr>
              <w:t>Reverse recapitalization transaction costs</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(6,420)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left="5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ind w:left="5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(6,420)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to Millendo</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shareholders</w:t>
            </w: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1,269,446</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center"/>
              <w:ind w:left="56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40" w:type="dxa"/>
            <w:vAlign w:val="bottom"/>
          </w:tcPr>
          <w:p>
            <w:pPr>
              <w:ind w:left="20"/>
              <w:spacing w:after="0"/>
              <w:rPr>
                <w:sz w:val="20"/>
                <w:szCs w:val="20"/>
                <w:color w:val="auto"/>
              </w:rPr>
            </w:pPr>
            <w:r>
              <w:rPr>
                <w:rFonts w:ascii="Arial" w:cs="Arial" w:eastAsia="Arial" w:hAnsi="Arial"/>
                <w:sz w:val="11"/>
                <w:szCs w:val="11"/>
                <w:color w:val="auto"/>
              </w:rPr>
              <w:t>Issuance of common stock warrants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left="5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ind w:left="5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center"/>
              <w:ind w:left="56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1"/>
                <w:szCs w:val="11"/>
                <w:color w:val="auto"/>
                <w:w w:val="87"/>
              </w:rPr>
              <w:t>(20,523)</w:t>
            </w: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(20,523)</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40" w:type="dxa"/>
            <w:vAlign w:val="bottom"/>
          </w:tcPr>
          <w:p>
            <w:pPr>
              <w:ind w:left="20"/>
              <w:spacing w:after="0"/>
              <w:rPr>
                <w:sz w:val="20"/>
                <w:szCs w:val="20"/>
                <w:color w:val="auto"/>
              </w:rPr>
            </w:pPr>
            <w:r>
              <w:rPr>
                <w:rFonts w:ascii="Arial" w:cs="Arial" w:eastAsia="Arial" w:hAnsi="Arial"/>
                <w:sz w:val="11"/>
                <w:szCs w:val="11"/>
                <w:color w:val="auto"/>
              </w:rPr>
              <w:t>BALANCE — September 30, 2021</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 $</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 $</w:t>
            </w: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 $</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w w:val="97"/>
              </w:rPr>
              <w:t>6,900,595</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135,902</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center"/>
              <w:ind w:left="546"/>
              <w:spacing w:after="0"/>
              <w:rPr>
                <w:sz w:val="20"/>
                <w:szCs w:val="20"/>
                <w:color w:val="auto"/>
              </w:rPr>
            </w:pPr>
            <w:r>
              <w:rPr>
                <w:rFonts w:ascii="Arial" w:cs="Arial" w:eastAsia="Arial" w:hAnsi="Arial"/>
                <w:sz w:val="11"/>
                <w:szCs w:val="11"/>
                <w:color w:val="auto"/>
                <w:w w:val="91"/>
              </w:rPr>
              <w:t>(89)</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ind w:left="300"/>
              <w:spacing w:after="0"/>
              <w:rPr>
                <w:sz w:val="20"/>
                <w:szCs w:val="20"/>
                <w:color w:val="auto"/>
              </w:rPr>
            </w:pPr>
            <w:r>
              <w:rPr>
                <w:rFonts w:ascii="Arial" w:cs="Arial" w:eastAsia="Arial" w:hAnsi="Arial"/>
                <w:sz w:val="11"/>
                <w:szCs w:val="11"/>
                <w:color w:val="auto"/>
                <w:w w:val="87"/>
              </w:rPr>
              <w:t>(92,284)</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43,536</w:t>
            </w:r>
          </w:p>
        </w:tc>
        <w:tc>
          <w:tcPr>
            <w:tcW w:w="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Nine Months Ended September 30, 2020</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0" w:type="dxa"/>
            <w:vAlign w:val="bottom"/>
          </w:tcPr>
          <w:p>
            <w:pPr>
              <w:spacing w:after="0"/>
              <w:rPr>
                <w:sz w:val="10"/>
                <w:szCs w:val="10"/>
                <w:color w:val="auto"/>
              </w:rPr>
            </w:pPr>
          </w:p>
        </w:tc>
        <w:tc>
          <w:tcPr>
            <w:tcW w:w="1440" w:type="dxa"/>
            <w:vAlign w:val="bottom"/>
            <w:gridSpan w:val="4"/>
          </w:tcPr>
          <w:p>
            <w:pPr>
              <w:ind w:left="180"/>
              <w:spacing w:after="0"/>
              <w:rPr>
                <w:sz w:val="20"/>
                <w:szCs w:val="20"/>
                <w:color w:val="auto"/>
              </w:rPr>
            </w:pPr>
            <w:r>
              <w:rPr>
                <w:rFonts w:ascii="Arial" w:cs="Arial" w:eastAsia="Arial" w:hAnsi="Arial"/>
                <w:sz w:val="11"/>
                <w:szCs w:val="11"/>
                <w:b w:val="1"/>
                <w:bCs w:val="1"/>
                <w:color w:val="auto"/>
              </w:rPr>
              <w:t>Series A Convertible</w:t>
            </w: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Series B Convertible</w:t>
            </w:r>
          </w:p>
        </w:tc>
        <w:tc>
          <w:tcPr>
            <w:tcW w:w="1240" w:type="dxa"/>
            <w:vAlign w:val="bottom"/>
            <w:gridSpan w:val="4"/>
          </w:tcPr>
          <w:p>
            <w:pPr>
              <w:ind w:left="40"/>
              <w:spacing w:after="0"/>
              <w:rPr>
                <w:sz w:val="20"/>
                <w:szCs w:val="20"/>
                <w:color w:val="auto"/>
              </w:rPr>
            </w:pPr>
            <w:r>
              <w:rPr>
                <w:rFonts w:ascii="Arial" w:cs="Arial" w:eastAsia="Arial" w:hAnsi="Arial"/>
                <w:sz w:val="11"/>
                <w:szCs w:val="11"/>
                <w:b w:val="1"/>
                <w:bCs w:val="1"/>
                <w:color w:val="auto"/>
              </w:rPr>
              <w:t>Series B-1 Convertible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2"/>
              </w:rPr>
              <w:t>Additional</w:t>
            </w:r>
          </w:p>
        </w:tc>
        <w:tc>
          <w:tcPr>
            <w:tcW w:w="9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0"/>
              </w:rPr>
              <w:t>Accumulated Other</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200" w:type="dxa"/>
            <w:vAlign w:val="bottom"/>
          </w:tcPr>
          <w:p>
            <w:pPr>
              <w:spacing w:after="0"/>
              <w:rPr>
                <w:sz w:val="4"/>
                <w:szCs w:val="4"/>
                <w:color w:val="auto"/>
              </w:rPr>
            </w:pPr>
          </w:p>
        </w:tc>
        <w:tc>
          <w:tcPr>
            <w:tcW w:w="1340" w:type="dxa"/>
            <w:vAlign w:val="bottom"/>
            <w:gridSpan w:val="3"/>
            <w:vMerge w:val="restart"/>
          </w:tcPr>
          <w:p>
            <w:pPr>
              <w:jc w:val="right"/>
              <w:ind w:right="246"/>
              <w:spacing w:after="0"/>
              <w:rPr>
                <w:sz w:val="20"/>
                <w:szCs w:val="20"/>
                <w:color w:val="auto"/>
              </w:rPr>
            </w:pPr>
            <w:r>
              <w:rPr>
                <w:rFonts w:ascii="Arial" w:cs="Arial" w:eastAsia="Arial" w:hAnsi="Arial"/>
                <w:sz w:val="11"/>
                <w:szCs w:val="11"/>
                <w:b w:val="1"/>
                <w:bCs w:val="1"/>
                <w:color w:val="auto"/>
              </w:rPr>
              <w:t>Preferred Stock</w:t>
            </w:r>
          </w:p>
        </w:tc>
        <w:tc>
          <w:tcPr>
            <w:tcW w:w="100" w:type="dxa"/>
            <w:vAlign w:val="bottom"/>
            <w:vMerge w:val="restart"/>
          </w:tcPr>
          <w:p>
            <w:pPr>
              <w:spacing w:after="0"/>
              <w:rPr>
                <w:sz w:val="4"/>
                <w:szCs w:val="4"/>
                <w:color w:val="auto"/>
              </w:rPr>
            </w:pPr>
          </w:p>
        </w:tc>
        <w:tc>
          <w:tcPr>
            <w:tcW w:w="1140" w:type="dxa"/>
            <w:vAlign w:val="bottom"/>
            <w:gridSpan w:val="3"/>
            <w:vMerge w:val="restart"/>
          </w:tcPr>
          <w:p>
            <w:pPr>
              <w:jc w:val="right"/>
              <w:ind w:right="146"/>
              <w:spacing w:after="0"/>
              <w:rPr>
                <w:sz w:val="20"/>
                <w:szCs w:val="20"/>
                <w:color w:val="auto"/>
              </w:rPr>
            </w:pPr>
            <w:r>
              <w:rPr>
                <w:rFonts w:ascii="Arial" w:cs="Arial" w:eastAsia="Arial" w:hAnsi="Arial"/>
                <w:sz w:val="11"/>
                <w:szCs w:val="11"/>
                <w:b w:val="1"/>
                <w:bCs w:val="1"/>
                <w:color w:val="auto"/>
              </w:rPr>
              <w:t>Preferred Stock</w:t>
            </w:r>
          </w:p>
        </w:tc>
        <w:tc>
          <w:tcPr>
            <w:tcW w:w="100" w:type="dxa"/>
            <w:vAlign w:val="bottom"/>
            <w:vMerge w:val="restart"/>
          </w:tcPr>
          <w:p>
            <w:pPr>
              <w:spacing w:after="0"/>
              <w:rPr>
                <w:sz w:val="4"/>
                <w:szCs w:val="4"/>
                <w:color w:val="auto"/>
              </w:rPr>
            </w:pPr>
          </w:p>
        </w:tc>
        <w:tc>
          <w:tcPr>
            <w:tcW w:w="1160" w:type="dxa"/>
            <w:vAlign w:val="bottom"/>
            <w:gridSpan w:val="3"/>
            <w:vMerge w:val="restart"/>
          </w:tcPr>
          <w:p>
            <w:pPr>
              <w:jc w:val="right"/>
              <w:ind w:right="166"/>
              <w:spacing w:after="0"/>
              <w:rPr>
                <w:sz w:val="20"/>
                <w:szCs w:val="20"/>
                <w:color w:val="auto"/>
              </w:rPr>
            </w:pPr>
            <w:r>
              <w:rPr>
                <w:rFonts w:ascii="Arial" w:cs="Arial" w:eastAsia="Arial" w:hAnsi="Arial"/>
                <w:sz w:val="11"/>
                <w:szCs w:val="11"/>
                <w:b w:val="1"/>
                <w:bCs w:val="1"/>
                <w:color w:val="auto"/>
              </w:rPr>
              <w:t>Preferred Stock</w:t>
            </w:r>
          </w:p>
        </w:tc>
        <w:tc>
          <w:tcPr>
            <w:tcW w:w="80" w:type="dxa"/>
            <w:vAlign w:val="bottom"/>
            <w:vMerge w:val="restart"/>
          </w:tcPr>
          <w:p>
            <w:pPr>
              <w:spacing w:after="0"/>
              <w:rPr>
                <w:sz w:val="4"/>
                <w:szCs w:val="4"/>
                <w:color w:val="auto"/>
              </w:rPr>
            </w:pPr>
          </w:p>
        </w:tc>
        <w:tc>
          <w:tcPr>
            <w:tcW w:w="110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200" w:type="dxa"/>
            <w:vAlign w:val="bottom"/>
          </w:tcPr>
          <w:p>
            <w:pPr>
              <w:spacing w:after="0"/>
              <w:rPr>
                <w:sz w:val="9"/>
                <w:szCs w:val="9"/>
                <w:color w:val="auto"/>
              </w:rPr>
            </w:pPr>
          </w:p>
        </w:tc>
        <w:tc>
          <w:tcPr>
            <w:tcW w:w="1340" w:type="dxa"/>
            <w:vAlign w:val="bottom"/>
            <w:tcBorders>
              <w:bottom w:val="single" w:sz="8" w:color="auto"/>
            </w:tcBorders>
            <w:gridSpan w:val="3"/>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140" w:type="dxa"/>
            <w:vAlign w:val="bottom"/>
            <w:tcBorders>
              <w:bottom w:val="single" w:sz="8" w:color="auto"/>
            </w:tcBorders>
            <w:gridSpan w:val="3"/>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16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100" w:type="dxa"/>
            <w:vAlign w:val="bottom"/>
            <w:tcBorders>
              <w:bottom w:val="single" w:sz="8" w:color="auto"/>
            </w:tcBorders>
            <w:gridSpan w:val="3"/>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180"/>
              <w:spacing w:after="0" w:line="89" w:lineRule="exact"/>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9"/>
                <w:szCs w:val="9"/>
                <w:color w:val="auto"/>
              </w:rPr>
            </w:pPr>
          </w:p>
        </w:tc>
        <w:tc>
          <w:tcPr>
            <w:tcW w:w="860" w:type="dxa"/>
            <w:vAlign w:val="bottom"/>
          </w:tcPr>
          <w:p>
            <w:pPr>
              <w:ind w:left="20"/>
              <w:spacing w:after="0" w:line="89" w:lineRule="exact"/>
              <w:rPr>
                <w:sz w:val="20"/>
                <w:szCs w:val="20"/>
                <w:color w:val="auto"/>
              </w:rPr>
            </w:pPr>
            <w:r>
              <w:rPr>
                <w:rFonts w:ascii="Arial" w:cs="Arial" w:eastAsia="Arial" w:hAnsi="Arial"/>
                <w:sz w:val="10"/>
                <w:szCs w:val="10"/>
                <w:b w:val="1"/>
                <w:bCs w:val="1"/>
                <w:color w:val="auto"/>
              </w:rPr>
              <w:t>Comprehensive</w:t>
            </w:r>
          </w:p>
        </w:tc>
        <w:tc>
          <w:tcPr>
            <w:tcW w:w="100" w:type="dxa"/>
            <w:vAlign w:val="bottom"/>
          </w:tcPr>
          <w:p>
            <w:pPr>
              <w:spacing w:after="0"/>
              <w:rPr>
                <w:sz w:val="9"/>
                <w:szCs w:val="9"/>
                <w:color w:val="auto"/>
              </w:rPr>
            </w:pPr>
          </w:p>
        </w:tc>
        <w:tc>
          <w:tcPr>
            <w:tcW w:w="700" w:type="dxa"/>
            <w:vAlign w:val="bottom"/>
          </w:tcPr>
          <w:p>
            <w:pPr>
              <w:ind w:left="140"/>
              <w:spacing w:after="0" w:line="89" w:lineRule="exact"/>
              <w:rPr>
                <w:sz w:val="20"/>
                <w:szCs w:val="20"/>
                <w:color w:val="auto"/>
              </w:rPr>
            </w:pPr>
            <w:r>
              <w:rPr>
                <w:rFonts w:ascii="Arial" w:cs="Arial" w:eastAsia="Arial" w:hAnsi="Arial"/>
                <w:sz w:val="10"/>
                <w:szCs w:val="10"/>
                <w:b w:val="1"/>
                <w:bCs w:val="1"/>
                <w:color w:val="auto"/>
              </w:rPr>
              <w:t>Deficit</w:t>
            </w:r>
          </w:p>
        </w:tc>
        <w:tc>
          <w:tcPr>
            <w:tcW w:w="940" w:type="dxa"/>
            <w:vAlign w:val="bottom"/>
            <w:gridSpan w:val="2"/>
          </w:tcPr>
          <w:p>
            <w:pPr>
              <w:jc w:val="right"/>
              <w:spacing w:after="0" w:line="89" w:lineRule="exact"/>
              <w:rPr>
                <w:sz w:val="20"/>
                <w:szCs w:val="20"/>
                <w:color w:val="auto"/>
              </w:rPr>
            </w:pPr>
            <w:r>
              <w:rPr>
                <w:rFonts w:ascii="Arial" w:cs="Arial" w:eastAsia="Arial" w:hAnsi="Arial"/>
                <w:sz w:val="10"/>
                <w:szCs w:val="10"/>
                <w:b w:val="1"/>
                <w:bCs w:val="1"/>
                <w:color w:val="auto"/>
                <w:w w:val="97"/>
              </w:rPr>
              <w:t>Total Stockholders'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jc w:val="right"/>
              <w:ind w:right="46"/>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rPr>
                <w:sz w:val="12"/>
                <w:szCs w:val="12"/>
                <w:color w:val="auto"/>
              </w:rPr>
            </w:pPr>
          </w:p>
        </w:tc>
        <w:tc>
          <w:tcPr>
            <w:tcW w:w="860" w:type="dxa"/>
            <w:vAlign w:val="bottom"/>
          </w:tcPr>
          <w:p>
            <w:pPr>
              <w:ind w:left="280"/>
              <w:spacing w:after="0"/>
              <w:rPr>
                <w:sz w:val="20"/>
                <w:szCs w:val="20"/>
                <w:color w:val="auto"/>
              </w:rPr>
            </w:pPr>
            <w:r>
              <w:rPr>
                <w:rFonts w:ascii="Arial" w:cs="Arial" w:eastAsia="Arial" w:hAnsi="Arial"/>
                <w:sz w:val="11"/>
                <w:szCs w:val="11"/>
                <w:b w:val="1"/>
                <w:bCs w:val="1"/>
                <w:color w:val="auto"/>
              </w:rPr>
              <w:t>Loss</w:t>
            </w:r>
          </w:p>
        </w:tc>
        <w:tc>
          <w:tcPr>
            <w:tcW w:w="100" w:type="dxa"/>
            <w:vAlign w:val="bottom"/>
          </w:tcPr>
          <w:p>
            <w:pPr>
              <w:spacing w:after="0"/>
              <w:rPr>
                <w:sz w:val="12"/>
                <w:szCs w:val="12"/>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12"/>
                <w:szCs w:val="12"/>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b w:val="1"/>
                <w:bCs w:val="1"/>
                <w:color w:val="auto"/>
                <w:w w:val="92"/>
              </w:rPr>
              <w:t>Equity (Deficit)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 December 31, 2019</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17,000,000</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16,982</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25,186,738</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12,235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28,749,997</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22,755</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410,429</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ind w:left="320"/>
              <w:spacing w:after="0"/>
              <w:rPr>
                <w:sz w:val="20"/>
                <w:szCs w:val="20"/>
                <w:color w:val="auto"/>
              </w:rPr>
            </w:pPr>
            <w:r>
              <w:rPr>
                <w:rFonts w:ascii="Arial" w:cs="Arial" w:eastAsia="Arial" w:hAnsi="Arial"/>
                <w:sz w:val="11"/>
                <w:szCs w:val="11"/>
                <w:color w:val="auto"/>
                <w:w w:val="87"/>
              </w:rPr>
              <w:t>(52,553)</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(50,365)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200" w:type="dxa"/>
            <w:vAlign w:val="bottom"/>
          </w:tcPr>
          <w:p>
            <w:pPr>
              <w:ind w:left="20"/>
              <w:spacing w:after="0"/>
              <w:rPr>
                <w:sz w:val="20"/>
                <w:szCs w:val="20"/>
                <w:color w:val="auto"/>
              </w:rPr>
            </w:pPr>
            <w:r>
              <w:rPr>
                <w:rFonts w:ascii="Arial" w:cs="Arial" w:eastAsia="Arial" w:hAnsi="Arial"/>
                <w:sz w:val="11"/>
                <w:szCs w:val="11"/>
                <w:color w:val="auto"/>
              </w:rPr>
              <w:t>Exercise of stock options</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8,750</w:t>
            </w:r>
          </w:p>
        </w:tc>
        <w:tc>
          <w:tcPr>
            <w:tcW w:w="10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ind w:left="7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preferred stock for</w:t>
            </w: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200" w:type="dxa"/>
            <w:vAlign w:val="bottom"/>
          </w:tcPr>
          <w:p>
            <w:pPr>
              <w:ind w:left="20"/>
              <w:spacing w:after="0"/>
              <w:rPr>
                <w:sz w:val="20"/>
                <w:szCs w:val="20"/>
                <w:color w:val="auto"/>
              </w:rPr>
            </w:pPr>
            <w:r>
              <w:rPr>
                <w:rFonts w:ascii="Arial" w:cs="Arial" w:eastAsia="Arial" w:hAnsi="Arial"/>
                <w:sz w:val="11"/>
                <w:szCs w:val="11"/>
                <w:color w:val="auto"/>
              </w:rPr>
              <w:t>cash—net of issuance costs of $265</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43,749,996</w:t>
            </w:r>
          </w:p>
        </w:tc>
        <w:tc>
          <w:tcPr>
            <w:tcW w:w="100" w:type="dxa"/>
            <w:vAlign w:val="bottom"/>
          </w:tcPr>
          <w:p>
            <w:pPr>
              <w:spacing w:after="0"/>
              <w:rPr>
                <w:sz w:val="13"/>
                <w:szCs w:val="13"/>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34,735</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tcPr>
          <w:p>
            <w:pPr>
              <w:ind w:left="7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Vesting of early exercised stock options</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69,114</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200" w:type="dxa"/>
            <w:vAlign w:val="bottom"/>
          </w:tcPr>
          <w:p>
            <w:pPr>
              <w:ind w:left="20"/>
              <w:spacing w:after="0"/>
              <w:rPr>
                <w:sz w:val="20"/>
                <w:szCs w:val="20"/>
                <w:color w:val="auto"/>
              </w:rPr>
            </w:pPr>
            <w:r>
              <w:rPr>
                <w:rFonts w:ascii="Arial" w:cs="Arial" w:eastAsia="Arial" w:hAnsi="Arial"/>
                <w:sz w:val="11"/>
                <w:szCs w:val="11"/>
                <w:color w:val="auto"/>
              </w:rPr>
              <w:t>Share-based compensation</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ind w:left="7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tcPr>
          <w:p>
            <w:pPr>
              <w:ind w:left="5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1"/>
                <w:szCs w:val="11"/>
                <w:color w:val="auto"/>
                <w:w w:val="87"/>
              </w:rPr>
              <w:t>(14,888)</w:t>
            </w: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(14,888)</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00" w:type="dxa"/>
            <w:vAlign w:val="bottom"/>
          </w:tcPr>
          <w:p>
            <w:pPr>
              <w:ind w:left="20"/>
              <w:spacing w:after="0"/>
              <w:rPr>
                <w:sz w:val="20"/>
                <w:szCs w:val="20"/>
                <w:color w:val="auto"/>
              </w:rPr>
            </w:pPr>
            <w:r>
              <w:rPr>
                <w:rFonts w:ascii="Arial" w:cs="Arial" w:eastAsia="Arial" w:hAnsi="Arial"/>
                <w:sz w:val="11"/>
                <w:szCs w:val="11"/>
                <w:color w:val="auto"/>
              </w:rPr>
              <w:t>BALANCE — September 30, 2020</w:t>
            </w:r>
          </w:p>
        </w:tc>
        <w:tc>
          <w:tcPr>
            <w:tcW w:w="640" w:type="dxa"/>
            <w:vAlign w:val="bottom"/>
          </w:tcPr>
          <w:p>
            <w:pPr>
              <w:jc w:val="right"/>
              <w:spacing w:after="0"/>
              <w:rPr>
                <w:sz w:val="20"/>
                <w:szCs w:val="20"/>
                <w:color w:val="auto"/>
              </w:rPr>
            </w:pPr>
            <w:r>
              <w:rPr>
                <w:rFonts w:ascii="Arial" w:cs="Arial" w:eastAsia="Arial" w:hAnsi="Arial"/>
                <w:sz w:val="11"/>
                <w:szCs w:val="11"/>
                <w:color w:val="auto"/>
              </w:rPr>
              <w:t>17,000,000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16,982</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4"/>
              </w:rPr>
              <w:t>25,186,738</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12,235</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72,499,993</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57,490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488,293</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2,787</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860" w:type="dxa"/>
            <w:vAlign w:val="bottom"/>
          </w:tcPr>
          <w:p>
            <w:pPr>
              <w:ind w:left="7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ind w:left="320"/>
              <w:spacing w:after="0"/>
              <w:rPr>
                <w:sz w:val="20"/>
                <w:szCs w:val="20"/>
                <w:color w:val="auto"/>
              </w:rPr>
            </w:pPr>
            <w:r>
              <w:rPr>
                <w:rFonts w:ascii="Arial" w:cs="Arial" w:eastAsia="Arial" w:hAnsi="Arial"/>
                <w:sz w:val="11"/>
                <w:szCs w:val="11"/>
                <w:color w:val="auto"/>
                <w:w w:val="87"/>
              </w:rPr>
              <w:t>(67,441)</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(64,654)</w:t>
            </w:r>
          </w:p>
        </w:tc>
        <w:tc>
          <w:tcPr>
            <w:tcW w:w="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unaudited Interim Consolidated Financial Statements</w:t>
      </w: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47625</wp:posOffset>
            </wp:positionV>
            <wp:extent cx="719137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20"/>
          </w:cols>
          <w:pgMar w:left="540" w:top="316" w:right="539" w:bottom="1440" w:gutter="0" w:footer="0" w:header="0"/>
        </w:sectPr>
      </w:pPr>
    </w:p>
    <w:bookmarkStart w:id="8" w:name="page9"/>
    <w:bookmarkEnd w:id="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TEMPEST THERAPEUTICS, INC.</w:t>
      </w:r>
    </w:p>
    <w:p>
      <w:pPr>
        <w:spacing w:after="0" w:line="19"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(Unaudited)</w:t>
      </w:r>
    </w:p>
    <w:p>
      <w:pPr>
        <w:spacing w:after="0" w:line="26" w:lineRule="exact"/>
        <w:rPr>
          <w:sz w:val="20"/>
          <w:szCs w:val="20"/>
          <w:color w:val="auto"/>
        </w:rPr>
      </w:pPr>
    </w:p>
    <w:tbl>
      <w:tblPr>
        <w:tblLayout w:type="fixed"/>
        <w:tblInd w:w="960" w:type="dxa"/>
        <w:tblCellMar>
          <w:top w:w="0" w:type="dxa"/>
          <w:left w:w="0" w:type="dxa"/>
          <w:bottom w:w="0" w:type="dxa"/>
          <w:right w:w="0" w:type="dxa"/>
        </w:tblCellMar>
      </w:tblPr>
      <w:tr>
        <w:trPr>
          <w:trHeight w:val="151"/>
        </w:trPr>
        <w:tc>
          <w:tcPr>
            <w:tcW w:w="642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1"/>
                <w:szCs w:val="11"/>
                <w:b w:val="1"/>
                <w:bCs w:val="1"/>
                <w:color w:val="auto"/>
              </w:rPr>
              <w:t>Nine Months Ended September 30,</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4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tcPr>
          <w:p>
            <w:pPr>
              <w:jc w:val="right"/>
              <w:ind w:right="821"/>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(20,523)</w:t>
            </w:r>
          </w:p>
        </w:tc>
        <w:tc>
          <w:tcPr>
            <w:tcW w:w="120" w:type="dxa"/>
            <w:vAlign w:val="bottom"/>
          </w:tcPr>
          <w:p>
            <w:pPr>
              <w:spacing w:after="0"/>
              <w:rPr>
                <w:sz w:val="15"/>
                <w:szCs w:val="15"/>
                <w:color w:val="auto"/>
              </w:rPr>
            </w:pPr>
          </w:p>
        </w:tc>
        <w:tc>
          <w:tcPr>
            <w:tcW w:w="980" w:type="dxa"/>
            <w:vAlign w:val="bottom"/>
          </w:tcPr>
          <w:p>
            <w:pPr>
              <w:jc w:val="right"/>
              <w:ind w:right="839"/>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9"/>
              </w:rPr>
              <w:t>(14,888)</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20" w:type="dxa"/>
            <w:vAlign w:val="bottom"/>
          </w:tcPr>
          <w:p>
            <w:pPr>
              <w:ind w:left="340"/>
              <w:spacing w:after="0"/>
              <w:rPr>
                <w:sz w:val="20"/>
                <w:szCs w:val="20"/>
                <w:color w:val="auto"/>
              </w:rPr>
            </w:pPr>
            <w:r>
              <w:rPr>
                <w:rFonts w:ascii="Arial" w:cs="Arial" w:eastAsia="Arial" w:hAnsi="Arial"/>
                <w:sz w:val="14"/>
                <w:szCs w:val="14"/>
                <w:color w:val="auto"/>
              </w:rPr>
              <w:t>Depreciation expense</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Stock-based compensation expense</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83"/>
        </w:trPr>
        <w:tc>
          <w:tcPr>
            <w:tcW w:w="6420" w:type="dxa"/>
            <w:vAlign w:val="bottom"/>
          </w:tcPr>
          <w:p>
            <w:pPr>
              <w:ind w:left="340"/>
              <w:spacing w:after="0"/>
              <w:rPr>
                <w:sz w:val="20"/>
                <w:szCs w:val="20"/>
                <w:color w:val="auto"/>
              </w:rPr>
            </w:pPr>
            <w:r>
              <w:rPr>
                <w:rFonts w:ascii="Arial" w:cs="Arial" w:eastAsia="Arial" w:hAnsi="Arial"/>
                <w:sz w:val="14"/>
                <w:szCs w:val="14"/>
                <w:color w:val="auto"/>
              </w:rPr>
              <w:t>Noncash lease expense</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Noncash interest and other expense, net</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3"/>
        </w:trPr>
        <w:tc>
          <w:tcPr>
            <w:tcW w:w="6420" w:type="dxa"/>
            <w:vAlign w:val="bottom"/>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Prepaid expenses and other current assets</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r>
        <w:trPr>
          <w:trHeight w:val="183"/>
        </w:trPr>
        <w:tc>
          <w:tcPr>
            <w:tcW w:w="6420" w:type="dxa"/>
            <w:vAlign w:val="bottom"/>
          </w:tcPr>
          <w:p>
            <w:pPr>
              <w:ind w:left="520"/>
              <w:spacing w:after="0"/>
              <w:rPr>
                <w:sz w:val="20"/>
                <w:szCs w:val="20"/>
                <w:color w:val="auto"/>
              </w:rPr>
            </w:pPr>
            <w:r>
              <w:rPr>
                <w:rFonts w:ascii="Arial" w:cs="Arial" w:eastAsia="Arial" w:hAnsi="Arial"/>
                <w:sz w:val="14"/>
                <w:szCs w:val="14"/>
                <w:color w:val="auto"/>
              </w:rPr>
              <w:t>Accounts payable</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1,130</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Accrued expenses and other liabilities</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83"/>
        </w:trPr>
        <w:tc>
          <w:tcPr>
            <w:tcW w:w="6420" w:type="dxa"/>
            <w:vAlign w:val="bottom"/>
          </w:tcPr>
          <w:p>
            <w:pPr>
              <w:ind w:left="520"/>
              <w:spacing w:after="0"/>
              <w:rPr>
                <w:sz w:val="20"/>
                <w:szCs w:val="20"/>
                <w:color w:val="auto"/>
              </w:rPr>
            </w:pPr>
            <w:r>
              <w:rPr>
                <w:rFonts w:ascii="Arial" w:cs="Arial" w:eastAsia="Arial" w:hAnsi="Arial"/>
                <w:sz w:val="14"/>
                <w:szCs w:val="14"/>
                <w:color w:val="auto"/>
              </w:rPr>
              <w:t>Interest payable</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Operating lease liabilities</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73"/>
        </w:trPr>
        <w:tc>
          <w:tcPr>
            <w:tcW w:w="6420" w:type="dxa"/>
            <w:vAlign w:val="bottom"/>
          </w:tcPr>
          <w:p>
            <w:pPr>
              <w:ind w:left="840"/>
              <w:spacing w:after="0"/>
              <w:rPr>
                <w:sz w:val="20"/>
                <w:szCs w:val="20"/>
                <w:color w:val="auto"/>
              </w:rPr>
            </w:pPr>
            <w:r>
              <w:rPr>
                <w:rFonts w:ascii="Arial" w:cs="Arial" w:eastAsia="Arial" w:hAnsi="Arial"/>
                <w:sz w:val="14"/>
                <w:szCs w:val="14"/>
                <w:color w:val="auto"/>
              </w:rPr>
              <w:t>Cash used in operating activities</w:t>
            </w:r>
          </w:p>
        </w:tc>
        <w:tc>
          <w:tcPr>
            <w:tcW w:w="9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(17,972)</w:t>
            </w:r>
          </w:p>
        </w:tc>
        <w:tc>
          <w:tcPr>
            <w:tcW w:w="1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(14,743)</w:t>
            </w:r>
          </w:p>
        </w:tc>
        <w:tc>
          <w:tcPr>
            <w:tcW w:w="0" w:type="dxa"/>
            <w:vAlign w:val="bottom"/>
          </w:tcPr>
          <w:p>
            <w:pPr>
              <w:spacing w:after="0"/>
              <w:rPr>
                <w:sz w:val="1"/>
                <w:szCs w:val="1"/>
                <w:color w:val="auto"/>
              </w:rPr>
            </w:pPr>
          </w:p>
        </w:tc>
      </w:tr>
      <w:tr>
        <w:trPr>
          <w:trHeight w:val="21"/>
        </w:trPr>
        <w:tc>
          <w:tcPr>
            <w:tcW w:w="64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20" w:type="dxa"/>
            <w:vAlign w:val="bottom"/>
          </w:tcPr>
          <w:p>
            <w:pPr>
              <w:ind w:left="20"/>
              <w:spacing w:after="0"/>
              <w:rPr>
                <w:sz w:val="20"/>
                <w:szCs w:val="20"/>
                <w:color w:val="auto"/>
              </w:rPr>
            </w:pPr>
            <w:r>
              <w:rPr>
                <w:rFonts w:ascii="Arial" w:cs="Arial" w:eastAsia="Arial" w:hAnsi="Arial"/>
                <w:sz w:val="14"/>
                <w:szCs w:val="14"/>
                <w:color w:val="auto"/>
              </w:rPr>
              <w:t>Purchase of property and equipment</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Repayment of note receivable</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3"/>
        </w:trPr>
        <w:tc>
          <w:tcPr>
            <w:tcW w:w="6420" w:type="dxa"/>
            <w:vAlign w:val="bottom"/>
          </w:tcPr>
          <w:p>
            <w:pPr>
              <w:ind w:left="840"/>
              <w:spacing w:after="0"/>
              <w:rPr>
                <w:sz w:val="20"/>
                <w:szCs w:val="20"/>
                <w:color w:val="auto"/>
              </w:rPr>
            </w:pPr>
            <w:r>
              <w:rPr>
                <w:rFonts w:ascii="Arial" w:cs="Arial" w:eastAsia="Arial" w:hAnsi="Arial"/>
                <w:sz w:val="14"/>
                <w:szCs w:val="14"/>
                <w:color w:val="auto"/>
              </w:rPr>
              <w:t>Cash used in investing activities</w:t>
            </w:r>
          </w:p>
        </w:tc>
        <w:tc>
          <w:tcPr>
            <w:tcW w:w="9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
        </w:trPr>
        <w:tc>
          <w:tcPr>
            <w:tcW w:w="64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20" w:type="dxa"/>
            <w:vAlign w:val="bottom"/>
          </w:tcPr>
          <w:p>
            <w:pPr>
              <w:ind w:left="20"/>
              <w:spacing w:after="0"/>
              <w:rPr>
                <w:sz w:val="20"/>
                <w:szCs w:val="20"/>
                <w:color w:val="auto"/>
              </w:rPr>
            </w:pPr>
            <w:r>
              <w:rPr>
                <w:rFonts w:ascii="Arial" w:cs="Arial" w:eastAsia="Arial" w:hAnsi="Arial"/>
                <w:sz w:val="14"/>
                <w:szCs w:val="14"/>
                <w:color w:val="auto"/>
              </w:rPr>
              <w:t>Proceeds from issuance of preferred stock</w:t>
            </w:r>
          </w:p>
        </w:tc>
        <w:tc>
          <w:tcPr>
            <w:tcW w:w="9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35,000</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 of preferred stock issuance costs</w:t>
            </w:r>
          </w:p>
        </w:tc>
        <w:tc>
          <w:tcPr>
            <w:tcW w:w="9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83"/>
        </w:trPr>
        <w:tc>
          <w:tcPr>
            <w:tcW w:w="6420" w:type="dxa"/>
            <w:vAlign w:val="bottom"/>
          </w:tcPr>
          <w:p>
            <w:pPr>
              <w:ind w:left="20"/>
              <w:spacing w:after="0"/>
              <w:rPr>
                <w:sz w:val="20"/>
                <w:szCs w:val="20"/>
                <w:color w:val="auto"/>
              </w:rPr>
            </w:pPr>
            <w:r>
              <w:rPr>
                <w:rFonts w:ascii="Arial" w:cs="Arial" w:eastAsia="Arial" w:hAnsi="Arial"/>
                <w:sz w:val="14"/>
                <w:szCs w:val="14"/>
                <w:color w:val="auto"/>
              </w:rPr>
              <w:t>Proceeds from the issuance of common stock, net of equity issuance costs of $349</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33,474</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Borrowings on loan payable</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420" w:type="dxa"/>
            <w:vAlign w:val="bottom"/>
          </w:tcPr>
          <w:p>
            <w:pPr>
              <w:ind w:left="20"/>
              <w:spacing w:after="0"/>
              <w:rPr>
                <w:sz w:val="20"/>
                <w:szCs w:val="20"/>
                <w:color w:val="auto"/>
              </w:rPr>
            </w:pPr>
            <w:r>
              <w:rPr>
                <w:rFonts w:ascii="Arial" w:cs="Arial" w:eastAsia="Arial" w:hAnsi="Arial"/>
                <w:sz w:val="14"/>
                <w:szCs w:val="14"/>
                <w:color w:val="auto"/>
              </w:rPr>
              <w:t>Payment of loan issuance costs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acquired in connection with the reverse recapitalization</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17,045</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420" w:type="dxa"/>
            <w:vAlign w:val="bottom"/>
          </w:tcPr>
          <w:p>
            <w:pPr>
              <w:ind w:left="20"/>
              <w:spacing w:after="0"/>
              <w:rPr>
                <w:sz w:val="20"/>
                <w:szCs w:val="20"/>
                <w:color w:val="auto"/>
              </w:rPr>
            </w:pPr>
            <w:r>
              <w:rPr>
                <w:rFonts w:ascii="Arial" w:cs="Arial" w:eastAsia="Arial" w:hAnsi="Arial"/>
                <w:sz w:val="14"/>
                <w:szCs w:val="14"/>
                <w:color w:val="auto"/>
              </w:rPr>
              <w:t>Payment of reverse recapitalization transaction costs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(6,420)</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option exercises</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73"/>
        </w:trPr>
        <w:tc>
          <w:tcPr>
            <w:tcW w:w="6420" w:type="dxa"/>
            <w:vAlign w:val="bottom"/>
          </w:tcPr>
          <w:p>
            <w:pPr>
              <w:ind w:left="840"/>
              <w:spacing w:after="0"/>
              <w:rPr>
                <w:sz w:val="20"/>
                <w:szCs w:val="20"/>
                <w:color w:val="auto"/>
              </w:rPr>
            </w:pPr>
            <w:r>
              <w:rPr>
                <w:rFonts w:ascii="Arial" w:cs="Arial" w:eastAsia="Arial" w:hAnsi="Arial"/>
                <w:sz w:val="14"/>
                <w:szCs w:val="14"/>
                <w:color w:val="auto"/>
              </w:rPr>
              <w:t>Cash provided by financing activities</w:t>
            </w:r>
          </w:p>
        </w:tc>
        <w:tc>
          <w:tcPr>
            <w:tcW w:w="9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59,072</w:t>
            </w:r>
          </w:p>
        </w:tc>
        <w:tc>
          <w:tcPr>
            <w:tcW w:w="1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34,569</w:t>
            </w:r>
          </w:p>
        </w:tc>
        <w:tc>
          <w:tcPr>
            <w:tcW w:w="0" w:type="dxa"/>
            <w:vAlign w:val="bottom"/>
          </w:tcPr>
          <w:p>
            <w:pPr>
              <w:spacing w:after="0"/>
              <w:rPr>
                <w:sz w:val="1"/>
                <w:szCs w:val="1"/>
                <w:color w:val="auto"/>
              </w:rPr>
            </w:pPr>
          </w:p>
        </w:tc>
      </w:tr>
      <w:tr>
        <w:trPr>
          <w:trHeight w:val="21"/>
        </w:trPr>
        <w:tc>
          <w:tcPr>
            <w:tcW w:w="64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642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9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40,941</w:t>
            </w:r>
          </w:p>
        </w:tc>
        <w:tc>
          <w:tcPr>
            <w:tcW w:w="1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19,825</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at beginning of period</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18,820</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3,244</w:t>
            </w:r>
          </w:p>
        </w:tc>
        <w:tc>
          <w:tcPr>
            <w:tcW w:w="0" w:type="dxa"/>
            <w:vAlign w:val="bottom"/>
          </w:tcPr>
          <w:p>
            <w:pPr>
              <w:spacing w:after="0"/>
              <w:rPr>
                <w:sz w:val="1"/>
                <w:szCs w:val="1"/>
                <w:color w:val="auto"/>
              </w:rPr>
            </w:pPr>
          </w:p>
        </w:tc>
      </w:tr>
      <w:tr>
        <w:trPr>
          <w:trHeight w:val="203"/>
        </w:trPr>
        <w:tc>
          <w:tcPr>
            <w:tcW w:w="6420" w:type="dxa"/>
            <w:vAlign w:val="bottom"/>
          </w:tcPr>
          <w:p>
            <w:pPr>
              <w:ind w:left="20"/>
              <w:spacing w:after="0"/>
              <w:rPr>
                <w:sz w:val="20"/>
                <w:szCs w:val="20"/>
                <w:color w:val="auto"/>
              </w:rPr>
            </w:pPr>
            <w:r>
              <w:rPr>
                <w:rFonts w:ascii="Arial" w:cs="Arial" w:eastAsia="Arial" w:hAnsi="Arial"/>
                <w:sz w:val="14"/>
                <w:szCs w:val="14"/>
                <w:color w:val="auto"/>
              </w:rPr>
              <w:t>Cash and cash equivalents and restricted cash at end of period</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59,761</w:t>
            </w: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23,069</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4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Cash paid for interest</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4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98"/>
        </w:trPr>
        <w:tc>
          <w:tcPr>
            <w:tcW w:w="6420" w:type="dxa"/>
            <w:vAlign w:val="bottom"/>
          </w:tcPr>
          <w:p>
            <w:pPr>
              <w:ind w:left="340"/>
              <w:spacing w:after="0"/>
              <w:rPr>
                <w:sz w:val="20"/>
                <w:szCs w:val="20"/>
                <w:color w:val="auto"/>
              </w:rPr>
            </w:pPr>
            <w:r>
              <w:rPr>
                <w:rFonts w:ascii="Arial" w:cs="Arial" w:eastAsia="Arial" w:hAnsi="Arial"/>
                <w:sz w:val="14"/>
                <w:szCs w:val="14"/>
                <w:color w:val="auto"/>
              </w:rPr>
              <w:t>Vesting of early exercise stock options</w:t>
            </w:r>
          </w:p>
        </w:tc>
        <w:tc>
          <w:tcPr>
            <w:tcW w:w="9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-111760</wp:posOffset>
            </wp:positionV>
            <wp:extent cx="6108700" cy="142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08700" cy="142875"/>
                    </a:xfrm>
                    <a:prstGeom prst="rect">
                      <a:avLst/>
                    </a:prstGeom>
                    <a:noFill/>
                  </pic:spPr>
                </pic:pic>
              </a:graphicData>
            </a:graphic>
          </wp:anchor>
        </w:drawing>
      </w:r>
    </w:p>
    <w:p>
      <w:pPr>
        <w:ind w:left="3400" w:right="1660" w:hanging="3181"/>
        <w:spacing w:after="0" w:line="410" w:lineRule="auto"/>
        <w:rPr>
          <w:sz w:val="20"/>
          <w:szCs w:val="20"/>
          <w:color w:val="auto"/>
        </w:rPr>
      </w:pPr>
      <w:r>
        <w:rPr>
          <w:rFonts w:ascii="Arial" w:cs="Arial" w:eastAsia="Arial" w:hAnsi="Arial"/>
          <w:sz w:val="12"/>
          <w:szCs w:val="12"/>
          <w:b w:val="1"/>
          <w:bCs w:val="1"/>
          <w:color w:val="auto"/>
        </w:rPr>
        <w:t xml:space="preserve">(in thousands) </w:t>
      </w:r>
      <w:r>
        <w:rPr>
          <w:sz w:val="1"/>
          <w:szCs w:val="1"/>
          <w:color w:val="auto"/>
        </w:rPr>
        <w:drawing>
          <wp:inline distT="0" distB="0" distL="0" distR="0">
            <wp:extent cx="979170" cy="260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79170" cy="26035"/>
                    </a:xfrm>
                    <a:prstGeom prst="rect">
                      <a:avLst/>
                    </a:prstGeom>
                    <a:noFill/>
                    <a:ln>
                      <a:noFill/>
                    </a:ln>
                  </pic:spPr>
                </pic:pic>
              </a:graphicData>
            </a:graphic>
          </wp:inline>
        </w:drawing>
      </w:r>
      <w:r>
        <w:rPr>
          <w:rFonts w:ascii="Arial" w:cs="Arial" w:eastAsia="Arial" w:hAnsi="Arial"/>
          <w:sz w:val="12"/>
          <w:szCs w:val="12"/>
          <w:color w:val="auto"/>
        </w:rPr>
        <w:t xml:space="preserve"> See accompanying Notes to unaudited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5743575</wp:posOffset>
            </wp:positionH>
            <wp:positionV relativeFrom="paragraph">
              <wp:posOffset>-112395</wp:posOffset>
            </wp:positionV>
            <wp:extent cx="97917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7917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47625</wp:posOffset>
            </wp:positionV>
            <wp:extent cx="719137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580"/>
          </w:cols>
          <w:pgMar w:left="540" w:top="316" w:right="779" w:bottom="1440" w:gutter="0" w:footer="0" w:header="0"/>
        </w:sectPr>
      </w:pPr>
    </w:p>
    <w:bookmarkStart w:id="9" w:name="page10"/>
    <w:bookmarkEnd w:id="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TEMPEST THERAPEUTICS,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Interim Consolidated Financial Statements</w:t>
      </w:r>
    </w:p>
    <w:p>
      <w:pPr>
        <w:spacing w:after="0" w:line="187" w:lineRule="exact"/>
        <w:rPr>
          <w:sz w:val="20"/>
          <w:szCs w:val="20"/>
          <w:color w:val="auto"/>
        </w:rPr>
      </w:pPr>
    </w:p>
    <w:p>
      <w:pPr>
        <w:ind w:left="260" w:hanging="253"/>
        <w:spacing w:after="0"/>
        <w:tabs>
          <w:tab w:leader="none" w:pos="26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ORGANIZATION AND DESCRIPTION OF THE BUSINESS</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2"/>
          <w:szCs w:val="12"/>
          <w:b w:val="1"/>
          <w:bCs w:val="1"/>
          <w:color w:val="auto"/>
        </w:rPr>
        <w:t>Description of Business</w:t>
      </w:r>
      <w:r>
        <w:rPr>
          <w:rFonts w:ascii="Arial" w:cs="Arial" w:eastAsia="Arial" w:hAnsi="Arial"/>
          <w:sz w:val="12"/>
          <w:szCs w:val="12"/>
          <w:color w:val="auto"/>
        </w:rPr>
        <w:t>—Tempest Therapeutics, Inc. (“Tempest,” or the “Company”) is a clinical-stage oncology company focused on developing novel, orally available therapies for the treatment</w:t>
      </w:r>
      <w:r>
        <w:rPr>
          <w:rFonts w:ascii="Arial" w:cs="Arial" w:eastAsia="Arial" w:hAnsi="Arial"/>
          <w:sz w:val="12"/>
          <w:szCs w:val="12"/>
          <w:b w:val="1"/>
          <w:bCs w:val="1"/>
          <w:color w:val="auto"/>
        </w:rPr>
        <w:t xml:space="preserve"> </w:t>
      </w:r>
      <w:r>
        <w:rPr>
          <w:rFonts w:ascii="Arial" w:cs="Arial" w:eastAsia="Arial" w:hAnsi="Arial"/>
          <w:sz w:val="12"/>
          <w:szCs w:val="12"/>
          <w:color w:val="auto"/>
        </w:rPr>
        <w:t>of solid tumors. Tempest has three programs currently in development, TPST-1495, TPST-1120 and a TREX-1 antagonist. TPST-1495 is a dual antagonist of the EP2 and EP4 prostaglandin E2 receptors, and to the Company’s knowledge, is the only such dual antagonist in clinical development. TPST-1495 is currently in a Phase 1 trial in solid tumors. Tempest’s second clinical program, TPST-1120, is a selective antagonist of peroxisome proliferator-activated receptor alpha (“PPARα”) and is also in a Phase 1 trial in solid tumors. Similar to TPST-1495, Tempest believes TPST-1120 is the only PPARα antagonist in clinical development. The Company also has a third program in preclinical studies that could be the first to target TREX-1, a cellular enzyme that regulates the innate immune response in tumors. Tempest is headquartered in South San Francisco, California.</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Merger with Millendo</w:t>
      </w:r>
      <w:r>
        <w:rPr>
          <w:rFonts w:ascii="Arial" w:cs="Arial" w:eastAsia="Arial" w:hAnsi="Arial"/>
          <w:sz w:val="12"/>
          <w:szCs w:val="12"/>
          <w:color w:val="auto"/>
        </w:rPr>
        <w:t>—On March 29, 2021, TempestTx, Inc. (“Private Tempest”) entered into an Agreement and Plan of Merger (the “Merger Agreement”) with Millendo Therapeutics, Inc.</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(“Millendo”).</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Concurrent with the execution and delivery of the Merger Agreement, Private Tempest entered into funding agreements with certain investors named therein, pursuant to which the investors agreed to purchase, in the aggregate, $30.0 million of common stock of Private Tempest, convertible into securities of Millendo.</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On June 25, 2021, Private Tempest completed the merger with Millendo in accordance with the Merger Agreement. Prior to the effective time of the merger, Millendo effected a 1-for-15 reverse stock split, and right after the merger, Millendo changed its name to Tempest Therapeutics, Inc. Under the terms of the Merger Agreement, immediately prior to the effective time of the merger, each share of Private Tempest’s preferred stock was converted into a share of Private Tempest’s common stock. At closing of the merger, the Company issued an aggregate of approximately 5,365,899 shares of its common stock to Private Tempest stockholders, based on an exchange ratio of 0.0322 shares of the Company’s common stock for each share of Private Tempest common stock outstanding immediately prior to the merger, including those shares of common stock issued upon conversion of the Private Tempest preferred stock, resulting in approximately 6,635,345 shares of the Company’s common stock being issued and outstanding immediately following the effective time of the merger. The Company also assumed all of the outstanding and unexercised stock options and warrants to purchase shares of Private Tempest capital stock. The assumed options continue to be governed by the terms of the 2011 and 2017 Equity Incentive Plans (as discussed more in Note</w:t>
      </w:r>
    </w:p>
    <w:p>
      <w:pPr>
        <w:spacing w:after="0" w:line="3" w:lineRule="exact"/>
        <w:rPr>
          <w:sz w:val="20"/>
          <w:szCs w:val="20"/>
          <w:color w:val="auto"/>
        </w:rPr>
      </w:pPr>
    </w:p>
    <w:p>
      <w:pPr>
        <w:ind w:firstLine="7"/>
        <w:spacing w:after="0" w:line="247" w:lineRule="auto"/>
        <w:tabs>
          <w:tab w:leader="none" w:pos="217" w:val="left"/>
        </w:tabs>
        <w:numPr>
          <w:ilvl w:val="0"/>
          <w:numId w:val="4"/>
        </w:numPr>
        <w:rPr>
          <w:rFonts w:ascii="Arial" w:cs="Arial" w:eastAsia="Arial" w:hAnsi="Arial"/>
          <w:sz w:val="14"/>
          <w:szCs w:val="14"/>
          <w:color w:val="auto"/>
        </w:rPr>
      </w:pPr>
      <w:r>
        <w:rPr>
          <w:rFonts w:ascii="Arial" w:cs="Arial" w:eastAsia="Arial" w:hAnsi="Arial"/>
          <w:sz w:val="14"/>
          <w:szCs w:val="14"/>
          <w:color w:val="auto"/>
        </w:rPr>
        <w:t>under which the options were originally granted, with such options hence forth representing the right to purchase a number of shares of the Company’s common stock equal to 0.0322 multiplied by the number of shares of Private Tempest common stock previously represented by such options.</w:t>
      </w:r>
    </w:p>
    <w:p>
      <w:pPr>
        <w:spacing w:after="0" w:line="169" w:lineRule="exact"/>
        <w:rPr>
          <w:sz w:val="20"/>
          <w:szCs w:val="20"/>
          <w:color w:val="auto"/>
        </w:rPr>
      </w:pPr>
    </w:p>
    <w:p>
      <w:pPr>
        <w:jc w:val="both"/>
        <w:spacing w:after="0" w:line="294" w:lineRule="auto"/>
        <w:rPr>
          <w:sz w:val="20"/>
          <w:szCs w:val="20"/>
          <w:color w:val="auto"/>
        </w:rPr>
      </w:pPr>
      <w:r>
        <w:rPr>
          <w:rFonts w:ascii="Arial" w:cs="Arial" w:eastAsia="Arial" w:hAnsi="Arial"/>
          <w:sz w:val="12"/>
          <w:szCs w:val="12"/>
          <w:color w:val="auto"/>
        </w:rPr>
        <w:t>The merger was accounted for as a reverse recapitalization in accordance with U.S. generally accepted accounting principles (“GAAP”). Under this method of accounting, Private Tempest was be deemed to be the accounting acquirer for financial reporting purposes. This determination was primarily based on the expectation that, immediately following the merger: (i) Private Tempest stockholders would own a substantial majority of the voting rights; (ii) Private Tempest would designate a substantial majority of the initial members of the board of directors of the combined company; (iii) Private Tempest’s executive management team would become the management of the combined company; and (iv) the combined company would be named Tempest Therapeutics, Inc. Accordingly, for accounting purposes, the merger was treated as the equivalent of Tempest issuing stock to acquire the net assets of Millendo. As a result of the merger, the net assets of Millendo were recorded at their acquisition-date fair value in the financial statements of Private Tempest and the reported operating results prior to the merger will be those of Private Tempest. Historical per share figures of Private Tempest have been retroactively restated based on the exchange ratio of 0.0322.</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r>
        <w:rPr>
          <w:rFonts w:ascii="Arial" w:cs="Arial" w:eastAsia="Arial" w:hAnsi="Arial"/>
          <w:sz w:val="12"/>
          <w:szCs w:val="12"/>
          <w:color w:val="auto"/>
        </w:rPr>
        <w:t>—The accompanying unaudited interim financial statements have been prepared in accordance with US generally accepted accounting principles ("US GAAP").</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b w:val="1"/>
          <w:bCs w:val="1"/>
          <w:color w:val="auto"/>
        </w:rPr>
        <w:t>Unaudited Interim Financial Statements</w:t>
      </w:r>
      <w:r>
        <w:rPr>
          <w:rFonts w:ascii="Arial" w:cs="Arial" w:eastAsia="Arial" w:hAnsi="Arial"/>
          <w:sz w:val="14"/>
          <w:szCs w:val="14"/>
          <w:color w:val="auto"/>
        </w:rPr>
        <w:t>—The Company has prepared the accompanying unaudited interim financial statements on the same basis as the audited financial statements,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unaudited interim financial statements include, in the Company’s opinion, all adjustments, consisting only of normal recurring adjustments that the Company considers necessary for a fair presentation of its financial position and results of operations for these periods. The unaudited interim financial statements, presented herein, do not contain all of the required disclosures under US GAAP for annual financial statements.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47625</wp:posOffset>
            </wp:positionV>
            <wp:extent cx="719137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6" w:right="559" w:bottom="1440" w:gutter="0" w:footer="0" w:header="0"/>
        </w:sectPr>
      </w:pPr>
    </w:p>
    <w:bookmarkStart w:id="10" w:name="page11"/>
    <w:bookmarkEnd w:id="1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67" w:lineRule="exact"/>
        <w:rPr>
          <w:sz w:val="20"/>
          <w:szCs w:val="20"/>
          <w:color w:val="auto"/>
        </w:rPr>
      </w:pPr>
    </w:p>
    <w:p>
      <w:pPr>
        <w:jc w:val="both"/>
        <w:spacing w:after="0" w:line="297" w:lineRule="auto"/>
        <w:rPr>
          <w:sz w:val="20"/>
          <w:szCs w:val="20"/>
          <w:color w:val="auto"/>
        </w:rPr>
      </w:pPr>
      <w:r>
        <w:rPr>
          <w:rFonts w:ascii="Arial" w:cs="Arial" w:eastAsia="Arial" w:hAnsi="Arial"/>
          <w:sz w:val="12"/>
          <w:szCs w:val="12"/>
          <w:b w:val="1"/>
          <w:bCs w:val="1"/>
          <w:color w:val="auto"/>
        </w:rPr>
        <w:t>Use of Estimates</w:t>
      </w:r>
      <w:r>
        <w:rPr>
          <w:rFonts w:ascii="Arial" w:cs="Arial" w:eastAsia="Arial" w:hAnsi="Arial"/>
          <w:sz w:val="12"/>
          <w:szCs w:val="12"/>
          <w:color w:val="auto"/>
        </w:rPr>
        <w:t>—The preparation of financial statements in conformity with US GAAP requires management to make estimates and assumptions that affect the reported amounts of assets,</w:t>
      </w:r>
      <w:r>
        <w:rPr>
          <w:rFonts w:ascii="Arial" w:cs="Arial" w:eastAsia="Arial" w:hAnsi="Arial"/>
          <w:sz w:val="12"/>
          <w:szCs w:val="12"/>
          <w:b w:val="1"/>
          <w:bCs w:val="1"/>
          <w:color w:val="auto"/>
        </w:rPr>
        <w:t xml:space="preserve"> </w:t>
      </w:r>
      <w:r>
        <w:rPr>
          <w:rFonts w:ascii="Arial" w:cs="Arial" w:eastAsia="Arial" w:hAnsi="Arial"/>
          <w:sz w:val="12"/>
          <w:szCs w:val="12"/>
          <w:color w:val="auto"/>
        </w:rPr>
        <w:t>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fair value of common stock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140" w:lineRule="exact"/>
        <w:rPr>
          <w:sz w:val="20"/>
          <w:szCs w:val="20"/>
          <w:color w:val="auto"/>
        </w:rPr>
      </w:pPr>
    </w:p>
    <w:p>
      <w:pPr>
        <w:jc w:val="both"/>
        <w:spacing w:after="0" w:line="291" w:lineRule="auto"/>
        <w:rPr>
          <w:sz w:val="20"/>
          <w:szCs w:val="20"/>
          <w:color w:val="auto"/>
        </w:rPr>
      </w:pPr>
      <w:r>
        <w:rPr>
          <w:rFonts w:ascii="Arial" w:cs="Arial" w:eastAsia="Arial" w:hAnsi="Arial"/>
          <w:sz w:val="12"/>
          <w:szCs w:val="12"/>
          <w:b w:val="1"/>
          <w:bCs w:val="1"/>
          <w:color w:val="auto"/>
        </w:rPr>
        <w:t>Risks and Uncertainties</w:t>
      </w:r>
      <w:r>
        <w:rPr>
          <w:rFonts w:ascii="Arial" w:cs="Arial" w:eastAsia="Arial" w:hAnsi="Arial"/>
          <w:sz w:val="12"/>
          <w:szCs w:val="12"/>
          <w:color w:val="auto"/>
        </w:rPr>
        <w:t>—The Company is subject to risks and uncertainties common to early-stage companies in the biotechnology industry, including, but not limited to, development by</w:t>
      </w:r>
      <w:r>
        <w:rPr>
          <w:rFonts w:ascii="Arial" w:cs="Arial" w:eastAsia="Arial" w:hAnsi="Arial"/>
          <w:sz w:val="12"/>
          <w:szCs w:val="12"/>
          <w:b w:val="1"/>
          <w:bCs w:val="1"/>
          <w:color w:val="auto"/>
        </w:rPr>
        <w:t xml:space="preserve"> </w:t>
      </w:r>
      <w:r>
        <w:rPr>
          <w:rFonts w:ascii="Arial" w:cs="Arial" w:eastAsia="Arial" w:hAnsi="Arial"/>
          <w:sz w:val="12"/>
          <w:szCs w:val="12"/>
          <w:color w:val="auto"/>
        </w:rPr>
        <w:t>competitors of new technological innovations, protection of proprietary technology, dependence on key personnel, reliance on single-source vendors, availability of raw materials, patentability of the Company’s products and processes and clinical efficacy and safety of the Company’s products under development,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will require significant amounts of additional capital, adequate personnel infrastructure and extensive compliance and reporting. The Company’s product candidates are still in development and, to date, none of the Company’s product candidates have been approved for sale and, therefore, the Company has not generated any revenue from product sales.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revenue from product sales. The Company operates in an environment of rapid technological change and substantial competition from other pharmaceutical and biotechnology companies. In addition, the Company is dependent upon the services of its employees, consultants and other third parties.</w:t>
      </w:r>
    </w:p>
    <w:p>
      <w:pPr>
        <w:spacing w:after="0" w:line="310" w:lineRule="exact"/>
        <w:rPr>
          <w:sz w:val="20"/>
          <w:szCs w:val="20"/>
          <w:color w:val="auto"/>
        </w:rPr>
      </w:pPr>
    </w:p>
    <w:p>
      <w:pPr>
        <w:jc w:val="both"/>
        <w:spacing w:after="0" w:line="314" w:lineRule="auto"/>
        <w:rPr>
          <w:sz w:val="20"/>
          <w:szCs w:val="20"/>
          <w:color w:val="auto"/>
        </w:rPr>
      </w:pPr>
      <w:r>
        <w:rPr>
          <w:rFonts w:ascii="Arial" w:cs="Arial" w:eastAsia="Arial" w:hAnsi="Arial"/>
          <w:sz w:val="12"/>
          <w:szCs w:val="12"/>
          <w:color w:val="auto"/>
        </w:rPr>
        <w:t>Moreover, the current COVID-19 (“coronavirus”) pandemic, which is impacting worldwide economic activity, poses risk that the Company or its employees, contractors, suppliers, and other partners may be prevented from conducting business activities for an indefinite period of time, including due to shutdowns that may be requested or mandated by governmental authorities. The extent to which the COVID-19 pandemic will impact the Company’s business will depend on future developments that are highly uncertain and cannot be predicted at this time.</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color w:val="auto"/>
        </w:rPr>
        <w:t>Cash and Cash Equivalents</w:t>
      </w:r>
      <w:r>
        <w:rPr>
          <w:rFonts w:ascii="Arial" w:cs="Arial" w:eastAsia="Arial" w:hAnsi="Arial"/>
          <w:sz w:val="14"/>
          <w:szCs w:val="14"/>
          <w:color w:val="auto"/>
        </w:rPr>
        <w:t>—The Company considers all highly liquid investments purchased with original maturities of 90 days or less at acquisitions to be cash equivalents. As of September 30,</w:t>
      </w:r>
      <w:r>
        <w:rPr>
          <w:rFonts w:ascii="Arial" w:cs="Arial" w:eastAsia="Arial" w:hAnsi="Arial"/>
          <w:sz w:val="14"/>
          <w:szCs w:val="14"/>
          <w:b w:val="1"/>
          <w:bCs w:val="1"/>
          <w:color w:val="auto"/>
        </w:rPr>
        <w:t xml:space="preserve"> </w:t>
      </w:r>
      <w:r>
        <w:rPr>
          <w:rFonts w:ascii="Arial" w:cs="Arial" w:eastAsia="Arial" w:hAnsi="Arial"/>
          <w:sz w:val="14"/>
          <w:szCs w:val="14"/>
          <w:color w:val="auto"/>
        </w:rPr>
        <w:t>2021 and December 31, 2020, the Company’s cash and cash equivalents consisted of bank deposits and money market funds.</w:t>
      </w:r>
    </w:p>
    <w:p>
      <w:pPr>
        <w:spacing w:after="0" w:line="156" w:lineRule="exact"/>
        <w:rPr>
          <w:sz w:val="20"/>
          <w:szCs w:val="20"/>
          <w:color w:val="auto"/>
        </w:rPr>
      </w:pPr>
    </w:p>
    <w:p>
      <w:pPr>
        <w:jc w:val="both"/>
        <w:spacing w:after="0" w:line="250" w:lineRule="auto"/>
        <w:rPr>
          <w:sz w:val="20"/>
          <w:szCs w:val="20"/>
          <w:color w:val="auto"/>
        </w:rPr>
      </w:pPr>
      <w:r>
        <w:rPr>
          <w:rFonts w:ascii="Arial" w:cs="Arial" w:eastAsia="Arial" w:hAnsi="Arial"/>
          <w:sz w:val="14"/>
          <w:szCs w:val="14"/>
          <w:b w:val="1"/>
          <w:bCs w:val="1"/>
          <w:color w:val="auto"/>
        </w:rPr>
        <w:t>Property and Equipment</w:t>
      </w:r>
      <w:r>
        <w:rPr>
          <w:rFonts w:ascii="Arial" w:cs="Arial" w:eastAsia="Arial" w:hAnsi="Arial"/>
          <w:sz w:val="14"/>
          <w:szCs w:val="14"/>
          <w:color w:val="auto"/>
        </w:rPr>
        <w:t>—Property and equipment is recorded at cost and depreciated over the estimated useful lives of the related assets using the straight-line method. Upon disposal of an asset,</w:t>
      </w:r>
      <w:r>
        <w:rPr>
          <w:rFonts w:ascii="Arial" w:cs="Arial" w:eastAsia="Arial" w:hAnsi="Arial"/>
          <w:sz w:val="14"/>
          <w:szCs w:val="14"/>
          <w:b w:val="1"/>
          <w:bCs w:val="1"/>
          <w:color w:val="auto"/>
        </w:rPr>
        <w:t xml:space="preserve"> </w:t>
      </w:r>
      <w:r>
        <w:rPr>
          <w:rFonts w:ascii="Arial" w:cs="Arial" w:eastAsia="Arial" w:hAnsi="Arial"/>
          <w:sz w:val="14"/>
          <w:szCs w:val="14"/>
          <w:color w:val="auto"/>
        </w:rPr>
        <w:t>the related cost and accumulated depreciation are removed from the asset accounts and any resulting gain or loss is included in the statement of operations and comprehensive loss. Repair and maintenance costs are expensed as incurred, whereas major improvements are capitalized as additions to property and equipment. The estimated useful lives of the Company’s respective assets are as follows: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3620" w:type="dxa"/>
            <w:vAlign w:val="bottom"/>
          </w:tcPr>
          <w:p>
            <w:pPr>
              <w:spacing w:after="0"/>
              <w:rPr>
                <w:sz w:val="20"/>
                <w:szCs w:val="20"/>
                <w:color w:val="auto"/>
              </w:rPr>
            </w:pPr>
            <w:r>
              <w:rPr>
                <w:rFonts w:ascii="Arial" w:cs="Arial" w:eastAsia="Arial" w:hAnsi="Arial"/>
                <w:sz w:val="14"/>
                <w:szCs w:val="14"/>
                <w:color w:val="auto"/>
              </w:rPr>
              <w:t>Computer equipment and software</w:t>
            </w:r>
          </w:p>
        </w:tc>
        <w:tc>
          <w:tcPr>
            <w:tcW w:w="4920" w:type="dxa"/>
            <w:vAlign w:val="bottom"/>
          </w:tcPr>
          <w:p>
            <w:pPr>
              <w:jc w:val="center"/>
              <w:ind w:left="1672"/>
              <w:spacing w:after="0"/>
              <w:rPr>
                <w:sz w:val="20"/>
                <w:szCs w:val="20"/>
                <w:color w:val="auto"/>
              </w:rPr>
            </w:pPr>
            <w:r>
              <w:rPr>
                <w:rFonts w:ascii="Arial" w:cs="Arial" w:eastAsia="Arial" w:hAnsi="Arial"/>
                <w:sz w:val="14"/>
                <w:szCs w:val="14"/>
                <w:color w:val="auto"/>
                <w:w w:val="82"/>
              </w:rPr>
              <w:t>3 years</w:t>
            </w:r>
          </w:p>
        </w:tc>
      </w:tr>
      <w:tr>
        <w:trPr>
          <w:trHeight w:val="204"/>
        </w:trPr>
        <w:tc>
          <w:tcPr>
            <w:tcW w:w="3620" w:type="dxa"/>
            <w:vAlign w:val="bottom"/>
          </w:tcPr>
          <w:p>
            <w:pPr>
              <w:spacing w:after="0"/>
              <w:rPr>
                <w:sz w:val="20"/>
                <w:szCs w:val="20"/>
                <w:color w:val="auto"/>
              </w:rPr>
            </w:pPr>
            <w:r>
              <w:rPr>
                <w:rFonts w:ascii="Arial" w:cs="Arial" w:eastAsia="Arial" w:hAnsi="Arial"/>
                <w:sz w:val="14"/>
                <w:szCs w:val="14"/>
                <w:color w:val="auto"/>
              </w:rPr>
              <w:t>Furniture and fixtures</w:t>
            </w:r>
          </w:p>
        </w:tc>
        <w:tc>
          <w:tcPr>
            <w:tcW w:w="4920" w:type="dxa"/>
            <w:vAlign w:val="bottom"/>
          </w:tcPr>
          <w:p>
            <w:pPr>
              <w:jc w:val="center"/>
              <w:ind w:left="1672"/>
              <w:spacing w:after="0"/>
              <w:rPr>
                <w:sz w:val="20"/>
                <w:szCs w:val="20"/>
                <w:color w:val="auto"/>
              </w:rPr>
            </w:pPr>
            <w:r>
              <w:rPr>
                <w:rFonts w:ascii="Arial" w:cs="Arial" w:eastAsia="Arial" w:hAnsi="Arial"/>
                <w:sz w:val="14"/>
                <w:szCs w:val="14"/>
                <w:color w:val="auto"/>
                <w:w w:val="82"/>
              </w:rPr>
              <w:t>7 years</w:t>
            </w:r>
          </w:p>
        </w:tc>
      </w:tr>
      <w:tr>
        <w:trPr>
          <w:trHeight w:val="204"/>
        </w:trPr>
        <w:tc>
          <w:tcPr>
            <w:tcW w:w="3620" w:type="dxa"/>
            <w:vAlign w:val="bottom"/>
          </w:tcPr>
          <w:p>
            <w:pPr>
              <w:spacing w:after="0"/>
              <w:rPr>
                <w:sz w:val="20"/>
                <w:szCs w:val="20"/>
                <w:color w:val="auto"/>
              </w:rPr>
            </w:pPr>
            <w:r>
              <w:rPr>
                <w:rFonts w:ascii="Arial" w:cs="Arial" w:eastAsia="Arial" w:hAnsi="Arial"/>
                <w:sz w:val="14"/>
                <w:szCs w:val="14"/>
                <w:color w:val="auto"/>
              </w:rPr>
              <w:t>Laboratory equipment</w:t>
            </w:r>
          </w:p>
        </w:tc>
        <w:tc>
          <w:tcPr>
            <w:tcW w:w="4920" w:type="dxa"/>
            <w:vAlign w:val="bottom"/>
          </w:tcPr>
          <w:p>
            <w:pPr>
              <w:jc w:val="center"/>
              <w:ind w:left="1672"/>
              <w:spacing w:after="0"/>
              <w:rPr>
                <w:sz w:val="20"/>
                <w:szCs w:val="20"/>
                <w:color w:val="auto"/>
              </w:rPr>
            </w:pPr>
            <w:r>
              <w:rPr>
                <w:rFonts w:ascii="Arial" w:cs="Arial" w:eastAsia="Arial" w:hAnsi="Arial"/>
                <w:sz w:val="14"/>
                <w:szCs w:val="14"/>
                <w:color w:val="auto"/>
                <w:w w:val="82"/>
              </w:rPr>
              <w:t>5 years</w:t>
            </w:r>
          </w:p>
        </w:tc>
      </w:tr>
      <w:tr>
        <w:trPr>
          <w:trHeight w:val="204"/>
        </w:trPr>
        <w:tc>
          <w:tcPr>
            <w:tcW w:w="3620" w:type="dxa"/>
            <w:vAlign w:val="bottom"/>
          </w:tcPr>
          <w:p>
            <w:pPr>
              <w:spacing w:after="0"/>
              <w:rPr>
                <w:sz w:val="20"/>
                <w:szCs w:val="20"/>
                <w:color w:val="auto"/>
              </w:rPr>
            </w:pPr>
            <w:r>
              <w:rPr>
                <w:rFonts w:ascii="Arial" w:cs="Arial" w:eastAsia="Arial" w:hAnsi="Arial"/>
                <w:sz w:val="14"/>
                <w:szCs w:val="14"/>
                <w:color w:val="auto"/>
              </w:rPr>
              <w:t>Leasehold improvements</w:t>
            </w:r>
          </w:p>
        </w:tc>
        <w:tc>
          <w:tcPr>
            <w:tcW w:w="4920" w:type="dxa"/>
            <w:vAlign w:val="bottom"/>
          </w:tcPr>
          <w:p>
            <w:pPr>
              <w:jc w:val="center"/>
              <w:ind w:left="1652"/>
              <w:spacing w:after="0"/>
              <w:rPr>
                <w:sz w:val="20"/>
                <w:szCs w:val="20"/>
                <w:color w:val="auto"/>
              </w:rPr>
            </w:pPr>
            <w:r>
              <w:rPr>
                <w:rFonts w:ascii="Arial" w:cs="Arial" w:eastAsia="Arial" w:hAnsi="Arial"/>
                <w:sz w:val="14"/>
                <w:szCs w:val="14"/>
                <w:color w:val="auto"/>
                <w:w w:val="88"/>
              </w:rPr>
              <w:t>Shorter of the useful life of the asset or the life of the lease</w:t>
            </w:r>
          </w:p>
        </w:tc>
      </w:tr>
    </w:tbl>
    <w:p>
      <w:pPr>
        <w:spacing w:after="0" w:line="264" w:lineRule="exact"/>
        <w:rPr>
          <w:sz w:val="20"/>
          <w:szCs w:val="20"/>
          <w:color w:val="auto"/>
        </w:rPr>
      </w:pPr>
    </w:p>
    <w:p>
      <w:pPr>
        <w:jc w:val="both"/>
        <w:spacing w:after="0" w:line="305" w:lineRule="auto"/>
        <w:rPr>
          <w:sz w:val="20"/>
          <w:szCs w:val="20"/>
          <w:color w:val="auto"/>
        </w:rPr>
      </w:pPr>
      <w:r>
        <w:rPr>
          <w:rFonts w:ascii="Arial" w:cs="Arial" w:eastAsia="Arial" w:hAnsi="Arial"/>
          <w:sz w:val="12"/>
          <w:szCs w:val="12"/>
          <w:b w:val="1"/>
          <w:bCs w:val="1"/>
          <w:color w:val="auto"/>
        </w:rPr>
        <w:t>Impairment of Long-Lived Assets</w:t>
      </w:r>
      <w:r>
        <w:rPr>
          <w:rFonts w:ascii="Arial" w:cs="Arial" w:eastAsia="Arial" w:hAnsi="Arial"/>
          <w:sz w:val="12"/>
          <w:szCs w:val="12"/>
          <w:color w:val="auto"/>
        </w:rPr>
        <w:t>—Long-lived assets are reviewed for impairment if events or circumstances indicate the carrying amount of these assets may not be recoverable. If this review</w:t>
      </w:r>
      <w:r>
        <w:rPr>
          <w:rFonts w:ascii="Arial" w:cs="Arial" w:eastAsia="Arial" w:hAnsi="Arial"/>
          <w:sz w:val="12"/>
          <w:szCs w:val="12"/>
          <w:b w:val="1"/>
          <w:bCs w:val="1"/>
          <w:color w:val="auto"/>
        </w:rPr>
        <w:t xml:space="preserve"> </w:t>
      </w:r>
      <w:r>
        <w:rPr>
          <w:rFonts w:ascii="Arial" w:cs="Arial" w:eastAsia="Arial" w:hAnsi="Arial"/>
          <w:sz w:val="12"/>
          <w:szCs w:val="12"/>
          <w:color w:val="auto"/>
        </w:rPr>
        <w:t>indicates that these assets will not be recoverable, based on the forecasted undiscounted future operating cash flows expected to result from the use of long-lived assets and their eventual disposition, the Company’s carrying value of the long-lived assets is reduced to fair value based on a discounted future cash flow approach or quoted market values. For the nine months ended September 30, 2021 and 2020, there were no events or circumstances which required an impairment test of long-lived assets.</w:t>
      </w:r>
    </w:p>
    <w:p>
      <w:pPr>
        <w:spacing w:after="0" w:line="13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color w:val="auto"/>
        </w:rPr>
        <w:t>Convertible Preferred Stock</w:t>
      </w:r>
      <w:r>
        <w:rPr>
          <w:rFonts w:ascii="Arial" w:cs="Arial" w:eastAsia="Arial" w:hAnsi="Arial"/>
          <w:sz w:val="14"/>
          <w:szCs w:val="14"/>
          <w:color w:val="auto"/>
        </w:rPr>
        <w:t>—The Company records convertible preferred stock at fair value on the dates of issuance, net of issuance costs. The convertible preferred stock is recorded outside of</w:t>
      </w:r>
      <w:r>
        <w:rPr>
          <w:rFonts w:ascii="Arial" w:cs="Arial" w:eastAsia="Arial" w:hAnsi="Arial"/>
          <w:sz w:val="14"/>
          <w:szCs w:val="14"/>
          <w:b w:val="1"/>
          <w:bCs w:val="1"/>
          <w:color w:val="auto"/>
        </w:rPr>
        <w:t xml:space="preserve"> </w:t>
      </w:r>
      <w:r>
        <w:rPr>
          <w:rFonts w:ascii="Arial" w:cs="Arial" w:eastAsia="Arial" w:hAnsi="Arial"/>
          <w:sz w:val="14"/>
          <w:szCs w:val="14"/>
          <w:color w:val="auto"/>
        </w:rPr>
        <w:t>stockholders’ deficit because the shares contain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47625</wp:posOffset>
            </wp:positionV>
            <wp:extent cx="719137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6" w:right="559" w:bottom="1440" w:gutter="0" w:footer="0" w:header="0"/>
        </w:sectPr>
      </w:pPr>
    </w:p>
    <w:bookmarkStart w:id="11" w:name="page12"/>
    <w:bookmarkEnd w:id="1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5" w:lineRule="exact"/>
        <w:rPr>
          <w:sz w:val="20"/>
          <w:szCs w:val="20"/>
          <w:color w:val="auto"/>
        </w:rPr>
      </w:pPr>
    </w:p>
    <w:p>
      <w:pPr>
        <w:jc w:val="both"/>
        <w:spacing w:after="0" w:line="314" w:lineRule="auto"/>
        <w:rPr>
          <w:sz w:val="20"/>
          <w:szCs w:val="20"/>
          <w:color w:val="auto"/>
        </w:rPr>
      </w:pPr>
      <w:r>
        <w:rPr>
          <w:rFonts w:ascii="Arial" w:cs="Arial" w:eastAsia="Arial" w:hAnsi="Arial"/>
          <w:sz w:val="12"/>
          <w:szCs w:val="12"/>
          <w:color w:val="auto"/>
        </w:rPr>
        <w:t>liquidation features that are not solely within the Company’s control.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Comprehensive Loss</w:t>
      </w:r>
      <w:r>
        <w:rPr>
          <w:rFonts w:ascii="Arial" w:cs="Arial" w:eastAsia="Arial" w:hAnsi="Arial"/>
          <w:sz w:val="12"/>
          <w:szCs w:val="12"/>
          <w:color w:val="auto"/>
        </w:rPr>
        <w:t>—Comprehensive loss includes net loss as well as other changes in stockholders’ deficit that results from transactions and economic events other than those with stockholders.</w:t>
      </w:r>
    </w:p>
    <w:p>
      <w:pPr>
        <w:spacing w:after="0" w:line="209" w:lineRule="exact"/>
        <w:rPr>
          <w:sz w:val="20"/>
          <w:szCs w:val="20"/>
          <w:color w:val="auto"/>
        </w:rPr>
      </w:pPr>
    </w:p>
    <w:p>
      <w:pPr>
        <w:jc w:val="both"/>
        <w:spacing w:after="0" w:line="305" w:lineRule="auto"/>
        <w:rPr>
          <w:sz w:val="20"/>
          <w:szCs w:val="20"/>
          <w:color w:val="auto"/>
        </w:rPr>
      </w:pPr>
      <w:r>
        <w:rPr>
          <w:rFonts w:ascii="Arial" w:cs="Arial" w:eastAsia="Arial" w:hAnsi="Arial"/>
          <w:sz w:val="12"/>
          <w:szCs w:val="12"/>
          <w:b w:val="1"/>
          <w:bCs w:val="1"/>
          <w:color w:val="auto"/>
        </w:rPr>
        <w:t>Research and Development Expenses and Accrued Research and Development</w:t>
      </w:r>
      <w:r>
        <w:rPr>
          <w:rFonts w:ascii="Arial" w:cs="Arial" w:eastAsia="Arial" w:hAnsi="Arial"/>
          <w:sz w:val="12"/>
          <w:szCs w:val="12"/>
          <w:color w:val="auto"/>
        </w:rPr>
        <w:t>—Research and development expenses are charged to expense as incurred. Research and development expenses</w:t>
      </w:r>
      <w:r>
        <w:rPr>
          <w:rFonts w:ascii="Arial" w:cs="Arial" w:eastAsia="Arial" w:hAnsi="Arial"/>
          <w:sz w:val="12"/>
          <w:szCs w:val="12"/>
          <w:b w:val="1"/>
          <w:bCs w:val="1"/>
          <w:color w:val="auto"/>
        </w:rPr>
        <w:t xml:space="preserve"> </w:t>
      </w:r>
      <w:r>
        <w:rPr>
          <w:rFonts w:ascii="Arial" w:cs="Arial" w:eastAsia="Arial" w:hAnsi="Arial"/>
          <w:sz w:val="12"/>
          <w:szCs w:val="12"/>
          <w:color w:val="auto"/>
        </w:rPr>
        <w:t>include certain payroll and personnel expenses, laboratory supplies, consulting costs, external contract research and development expenses and facility or lease expenses. In-licensing fees and other costs to acquire technologies that are utilized in research and development, and that are not expected to have alternative future use, are expensed when incurred. Advance payments for goods or services for future research and development activities are deferred and expensed as the goods are delivered or the related services are performed.</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The Company estimates preclinical studies and clinical trial expenses based on the services performed pursuant to contracts with research institutions and clinical research organizations that conduct and manage preclinical studies and clinical trials on the Company’s behalf. In accruing service fees, the Company estimates the time period over which services will be performed and the level of effort to be expended in each period. These estimates are based on communications with the third-party service providers, the Company’s estimates of accrued expenses and on information available at each balance sheet date. If the actual timing of the performance of services or the level of effort varies from the estimate, the Company will adjust the accrual accordingly. The estimates are trued up to reflect the best information available at the time of the financial statement issuance. Although the Company does not expect its estimates to be materially different from amounts actually incurred, the Company’s estimate of the status and timing of services performed relative to the actual status and timing of services performed may vary.</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color w:val="auto"/>
        </w:rPr>
        <w:t>Patent Costs</w:t>
      </w:r>
      <w:r>
        <w:rPr>
          <w:rFonts w:ascii="Arial" w:cs="Arial" w:eastAsia="Arial" w:hAnsi="Arial"/>
          <w:sz w:val="14"/>
          <w:szCs w:val="14"/>
          <w:color w:val="auto"/>
        </w:rPr>
        <w:t>—Costs related to filing and pursuing patent applications are expensed as incurred, as recoverability of such expenditures is uncertain. These patent-related legal costs are reported as a</w:t>
      </w:r>
      <w:r>
        <w:rPr>
          <w:rFonts w:ascii="Arial" w:cs="Arial" w:eastAsia="Arial" w:hAnsi="Arial"/>
          <w:sz w:val="14"/>
          <w:szCs w:val="14"/>
          <w:b w:val="1"/>
          <w:bCs w:val="1"/>
          <w:color w:val="auto"/>
        </w:rPr>
        <w:t xml:space="preserve"> </w:t>
      </w:r>
      <w:r>
        <w:rPr>
          <w:rFonts w:ascii="Arial" w:cs="Arial" w:eastAsia="Arial" w:hAnsi="Arial"/>
          <w:sz w:val="14"/>
          <w:szCs w:val="14"/>
          <w:color w:val="auto"/>
        </w:rPr>
        <w:t>component of general and administrative expense.</w:t>
      </w:r>
    </w:p>
    <w:p>
      <w:pPr>
        <w:spacing w:after="0" w:line="156" w:lineRule="exact"/>
        <w:rPr>
          <w:sz w:val="20"/>
          <w:szCs w:val="20"/>
          <w:color w:val="auto"/>
        </w:rPr>
      </w:pPr>
    </w:p>
    <w:p>
      <w:pPr>
        <w:jc w:val="both"/>
        <w:spacing w:after="0" w:line="316" w:lineRule="auto"/>
        <w:rPr>
          <w:sz w:val="20"/>
          <w:szCs w:val="20"/>
          <w:color w:val="auto"/>
        </w:rPr>
      </w:pPr>
      <w:r>
        <w:rPr>
          <w:rFonts w:ascii="Arial" w:cs="Arial" w:eastAsia="Arial" w:hAnsi="Arial"/>
          <w:sz w:val="12"/>
          <w:szCs w:val="12"/>
          <w:b w:val="1"/>
          <w:bCs w:val="1"/>
          <w:color w:val="auto"/>
        </w:rPr>
        <w:t>General and Administrative Expense</w:t>
      </w:r>
      <w:r>
        <w:rPr>
          <w:rFonts w:ascii="Arial" w:cs="Arial" w:eastAsia="Arial" w:hAnsi="Arial"/>
          <w:sz w:val="12"/>
          <w:szCs w:val="12"/>
          <w:color w:val="auto"/>
        </w:rPr>
        <w:t>—General and administrative costs are expensed as incurred and include employee-related expenses including salaries, benefits, travel and stock-based</w:t>
      </w:r>
      <w:r>
        <w:rPr>
          <w:rFonts w:ascii="Arial" w:cs="Arial" w:eastAsia="Arial" w:hAnsi="Arial"/>
          <w:sz w:val="12"/>
          <w:szCs w:val="12"/>
          <w:b w:val="1"/>
          <w:bCs w:val="1"/>
          <w:color w:val="auto"/>
        </w:rPr>
        <w:t xml:space="preserve"> </w:t>
      </w:r>
      <w:r>
        <w:rPr>
          <w:rFonts w:ascii="Arial" w:cs="Arial" w:eastAsia="Arial" w:hAnsi="Arial"/>
          <w:sz w:val="12"/>
          <w:szCs w:val="12"/>
          <w:color w:val="auto"/>
        </w:rPr>
        <w:t>compensation for the Company’s personnel in executive, finance and accounting, and other administrative functions, as well as fees paid for legal, accounting and tax services, consulting fees and facilities costs not otherwise included in research and development expense. Legal costs include general corporate legal fees and patent costs.</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b w:val="1"/>
          <w:bCs w:val="1"/>
          <w:color w:val="auto"/>
        </w:rPr>
        <w:t>Fair Value Measurements</w:t>
      </w:r>
      <w:r>
        <w:rPr>
          <w:rFonts w:ascii="Arial" w:cs="Arial" w:eastAsia="Arial" w:hAnsi="Arial"/>
          <w:sz w:val="14"/>
          <w:szCs w:val="14"/>
          <w:color w:val="auto"/>
        </w:rPr>
        <w:t>—Fair value is defined as the price that would be received to sell an asset or paid to transfer a liability in an orderly transaction between market participants at the</w:t>
      </w:r>
      <w:r>
        <w:rPr>
          <w:rFonts w:ascii="Arial" w:cs="Arial" w:eastAsia="Arial" w:hAnsi="Arial"/>
          <w:sz w:val="14"/>
          <w:szCs w:val="14"/>
          <w:b w:val="1"/>
          <w:bCs w:val="1"/>
          <w:color w:val="auto"/>
        </w:rPr>
        <w:t xml:space="preserve"> </w:t>
      </w:r>
      <w:r>
        <w:rPr>
          <w:rFonts w:ascii="Arial" w:cs="Arial" w:eastAsia="Arial" w:hAnsi="Arial"/>
          <w:sz w:val="14"/>
          <w:szCs w:val="14"/>
          <w:color w:val="auto"/>
        </w:rPr>
        <w:t>measurement date. As such, fair value is a market-based measurement that should be determined based on assumptions that market participants would use in pricing an asset or liability. The carrying amounts of the Company’s financial instruments approximate fair value due to their short-term maturities.</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b w:val="1"/>
          <w:bCs w:val="1"/>
          <w:color w:val="auto"/>
        </w:rPr>
        <w:t>Stock-Based Compensation Expense</w:t>
      </w:r>
      <w:r>
        <w:rPr>
          <w:rFonts w:ascii="Arial" w:cs="Arial" w:eastAsia="Arial" w:hAnsi="Arial"/>
          <w:sz w:val="14"/>
          <w:szCs w:val="14"/>
          <w:color w:val="auto"/>
        </w:rPr>
        <w:t>—The Company accounts for stock-based compensation by measuring and recognizing compensation expense for all share-based payments made to</w:t>
      </w:r>
      <w:r>
        <w:rPr>
          <w:rFonts w:ascii="Arial" w:cs="Arial" w:eastAsia="Arial" w:hAnsi="Arial"/>
          <w:sz w:val="14"/>
          <w:szCs w:val="14"/>
          <w:b w:val="1"/>
          <w:bCs w:val="1"/>
          <w:color w:val="auto"/>
        </w:rPr>
        <w:t xml:space="preserve"> </w:t>
      </w:r>
      <w:r>
        <w:rPr>
          <w:rFonts w:ascii="Arial" w:cs="Arial" w:eastAsia="Arial" w:hAnsi="Arial"/>
          <w:sz w:val="14"/>
          <w:szCs w:val="14"/>
          <w:color w:val="auto"/>
        </w:rPr>
        <w:t>employees, directors and non-employees based on estimated grant-date fair values. The Company uses the straight-line method to allocate compensation cost to reporting periods over each optionee’s requisite service period, which is generally the vesting period.</w:t>
      </w:r>
    </w:p>
    <w:p>
      <w:pPr>
        <w:spacing w:after="0" w:line="165"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The Company estimates the fair value of stock options to employees, directors and non-employees using the Black-Scholes option-valuation model. The Black-Scholes model requires the input of subjective assumptions, including expected volatility, expected dividend yield, expected term, risk-free rate of return, and the estimated fair value of the underlying common stock on the date of grant. Due to the lack of company-specific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life science industry. The Company uses the simplified method to calculate the expected term for options granted to employees as it does not have sufficient historical exercise data to provide a reasonable basis upon which to estimate the expected term. The simplified method is based on the vesting period and the contractual term for each grant, or for each vesting 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 The risk-free interest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47625</wp:posOffset>
            </wp:positionV>
            <wp:extent cx="719137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6" w:right="559" w:bottom="1440" w:gutter="0" w:footer="0" w:header="0"/>
        </w:sectPr>
      </w:pPr>
    </w:p>
    <w:bookmarkStart w:id="12" w:name="page13"/>
    <w:bookmarkEnd w:id="1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rate is based on a treasury instrument whose term is consistent with the expected term of the stock options. The Company uses an assumed dividend yield of zero as the Company has never paid dividends and has no current plans to pay any dividends on its common stock.</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Company accounts for forfeitures as they occur. The fair value of restricted stock awards granted to employees are valued as of the grant date using the estimated fair value of the Company’s common stock.</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4"/>
          <w:szCs w:val="14"/>
          <w:b w:val="1"/>
          <w:bCs w:val="1"/>
          <w:color w:val="auto"/>
        </w:rPr>
        <w:t>Net Loss per Share Attributable to Common Stockholders</w:t>
      </w:r>
      <w:r>
        <w:rPr>
          <w:rFonts w:ascii="Arial" w:cs="Arial" w:eastAsia="Arial" w:hAnsi="Arial"/>
          <w:sz w:val="14"/>
          <w:szCs w:val="14"/>
          <w:color w:val="auto"/>
        </w:rPr>
        <w:t>—The Company follows the two-class method when computing net loss per share as the Company has issued shares that meet the</w:t>
      </w:r>
      <w:r>
        <w:rPr>
          <w:rFonts w:ascii="Arial" w:cs="Arial" w:eastAsia="Arial" w:hAnsi="Arial"/>
          <w:sz w:val="14"/>
          <w:szCs w:val="14"/>
          <w:b w:val="1"/>
          <w:bCs w:val="1"/>
          <w:color w:val="auto"/>
        </w:rPr>
        <w:t xml:space="preserve"> </w:t>
      </w:r>
      <w:r>
        <w:rPr>
          <w:rFonts w:ascii="Arial" w:cs="Arial" w:eastAsia="Arial" w:hAnsi="Arial"/>
          <w:sz w:val="14"/>
          <w:szCs w:val="14"/>
          <w:color w:val="auto"/>
        </w:rPr>
        <w:t>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Diluted net loss per share attributable to common stockholders is computed by dividing the diluted net loss attributable to common stockholders by the weighted average number of common shares outstanding for the period, including potential dilutive common shares. For purpose of this calculation, outstanding stock options, convertible preferred stock and warrants to purchase shares of convertible preferred stock are considered potential dilutive common shares.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b w:val="1"/>
          <w:bCs w:val="1"/>
          <w:color w:val="auto"/>
        </w:rPr>
        <w:t>Income Taxes</w:t>
      </w:r>
      <w:r>
        <w:rPr>
          <w:rFonts w:ascii="Arial" w:cs="Arial" w:eastAsia="Arial" w:hAnsi="Arial"/>
          <w:sz w:val="14"/>
          <w:szCs w:val="14"/>
          <w:color w:val="auto"/>
        </w:rPr>
        <w:t>—The Company accounts for income taxes using the asset and liability method. The Company recognizes deferred tax assets and liabilities for the expected future tax consequences of</w:t>
      </w:r>
      <w:r>
        <w:rPr>
          <w:rFonts w:ascii="Arial" w:cs="Arial" w:eastAsia="Arial" w:hAnsi="Arial"/>
          <w:sz w:val="14"/>
          <w:szCs w:val="14"/>
          <w:b w:val="1"/>
          <w:bCs w:val="1"/>
          <w:color w:val="auto"/>
        </w:rPr>
        <w:t xml:space="preserve"> </w:t>
      </w:r>
      <w:r>
        <w:rPr>
          <w:rFonts w:ascii="Arial" w:cs="Arial" w:eastAsia="Arial" w:hAnsi="Arial"/>
          <w:sz w:val="14"/>
          <w:szCs w:val="14"/>
          <w:color w:val="auto"/>
        </w:rPr>
        <w:t>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65"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September 30, 2021 and December 31, 2020, the Company has recorded a full valuation allowance on its deferred tax assets.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Tax benefits related to uncertain tax positions are recognized when it is more likely than not that a tax position will be sustained during an audit.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Interest and penalties related to unrecognized tax benefits are included within the provision for income tax.</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color w:val="auto"/>
        </w:rPr>
        <w:t>Recently Issued Accounting Pronouncements</w:t>
      </w:r>
      <w:r>
        <w:rPr>
          <w:rFonts w:ascii="Arial" w:cs="Arial" w:eastAsia="Arial" w:hAnsi="Arial"/>
          <w:sz w:val="14"/>
          <w:szCs w:val="14"/>
          <w:color w:val="auto"/>
        </w:rPr>
        <w:t>—From time to time, new accounting pronouncements are issued by the Financial Accounting Standards Board, or FASB, or other standard setting</w:t>
      </w:r>
      <w:r>
        <w:rPr>
          <w:rFonts w:ascii="Arial" w:cs="Arial" w:eastAsia="Arial" w:hAnsi="Arial"/>
          <w:sz w:val="14"/>
          <w:szCs w:val="14"/>
          <w:b w:val="1"/>
          <w:bCs w:val="1"/>
          <w:color w:val="auto"/>
        </w:rPr>
        <w:t xml:space="preserve"> </w:t>
      </w:r>
      <w:r>
        <w:rPr>
          <w:rFonts w:ascii="Arial" w:cs="Arial" w:eastAsia="Arial" w:hAnsi="Arial"/>
          <w:sz w:val="14"/>
          <w:szCs w:val="14"/>
          <w:color w:val="auto"/>
        </w:rPr>
        <w:t>bodies and adopted by the Company as of the specified effective date.</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In August 2020, the FASB issued ASU 2020-06, Debt-Debt With Conversions and Other Options (Subtopic 470-20) and Derivatives and Hedging-Contracts in Entity’s Own Equity (Subtopic 815-40). The ASU simplifies the accounting for certain financial instruments with characteristics of liabilities and equity, including convertible instruments and contracts on an entity’s own equity. Under the new ASU, convertible instruments will now more frequently accounted for as a single unit of account. That is, a conversion feature and the host instrument in which it is embedded now generally will be treated as a single unit of account unless the conversion feature requires bifurcation under Topic 815. The ASU is effective for fiscal years beginning after December 15, 2021 for public business entities, and for fiscal years beginning after December 15, 2023 for all other entities. Early adoption is permitted. The Company is in the process of evaluating the impact of this new guidance on its financial statements and related disclosures.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MILLENDO MERGER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47625</wp:posOffset>
            </wp:positionV>
            <wp:extent cx="719137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6" w:right="559" w:bottom="1440" w:gutter="0" w:footer="0" w:header="0"/>
        </w:sectPr>
      </w:pPr>
    </w:p>
    <w:bookmarkStart w:id="13" w:name="page14"/>
    <w:bookmarkEnd w:id="1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As described in Note 1, Private Tempest merged with the Company on June 25, 2021. The merger was accounted for as a reverse recapitalization with Private Tempest as the accounting acquirer. The primary pre-combination assets of Millendo were cash, cash equivalents and restricted cash. Under reverse recapitalization accounting, the assets and liabilities of Millendo were recorded at their fair value which approximated book value due to the short-term nature of the instruments. No goodwill or intangible assets were recognized. Consequently, the consolidated financial statements of Tempest reflect the operations of Millendo for accounting purposes together with a deemed issuance of shares, equivalent to the shares held by the former stockholders of the legal acquirer and a recapitalization of the equity of the accounting acquirer.</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As part of the reverse recapitalization, the Company obtained approximately $17.0 million of cash, cash equivalents and restricted cash. The Company also obtained prepaids and other assets of approximately $1.4 million and assumed payables and accruals of approximately $0.5 million. The Company also acquired operating lease right-of-use asset of $2.1 million and the related operating lease liability of $2.1 million. All of the development programs and associated collaboration arrangements were terminated prior to the merger and were deemed to have no value at the transaction date and the Company is winding down the legacy Millendo operations.</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addition, the Company incurred approximately $0.2 million in share-based compensation expense as a result of the acceleration of vesting of stock options at the time of merger. This amount was recorded in general and administrative expense in the accompanying consolidated statements of operations for the three and nine months ended September 30, 2021 . The Company also incurred transaction costs of approximately $6.4 million and this amount is recorded in additional paid-in capital in the accompanying consolidated statements of convertible preferred stock and stockholders’ equity (deficit) for the three and nine months ended September 30, 2021 .</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FAIR VALUE MEASUREMENTS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present the Company’s fair value hierarchy for assets and liabilities measured at fair value on a recurring basis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0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5"/>
          </w:tcPr>
          <w:p>
            <w:pPr>
              <w:ind w:left="340"/>
              <w:spacing w:after="0"/>
              <w:rPr>
                <w:sz w:val="20"/>
                <w:szCs w:val="20"/>
                <w:color w:val="auto"/>
              </w:rPr>
            </w:pPr>
            <w:r>
              <w:rPr>
                <w:rFonts w:ascii="Arial" w:cs="Arial" w:eastAsia="Arial" w:hAnsi="Arial"/>
                <w:sz w:val="11"/>
                <w:szCs w:val="11"/>
                <w:b w:val="1"/>
                <w:bCs w:val="1"/>
                <w:color w:val="auto"/>
              </w:rPr>
              <w:t>September 30, 2021</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154"/>
        </w:trPr>
        <w:tc>
          <w:tcPr>
            <w:tcW w:w="6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Level 1</w:t>
            </w:r>
          </w:p>
        </w:tc>
        <w:tc>
          <w:tcPr>
            <w:tcW w:w="20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Level 2</w:t>
            </w:r>
          </w:p>
        </w:tc>
        <w:tc>
          <w:tcPr>
            <w:tcW w:w="200" w:type="dxa"/>
            <w:vAlign w:val="bottom"/>
          </w:tcPr>
          <w:p>
            <w:pPr>
              <w:spacing w:after="0"/>
              <w:rPr>
                <w:sz w:val="13"/>
                <w:szCs w:val="13"/>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Level 3</w:t>
            </w:r>
          </w:p>
        </w:tc>
        <w:tc>
          <w:tcPr>
            <w:tcW w:w="220" w:type="dxa"/>
            <w:vAlign w:val="bottom"/>
          </w:tcPr>
          <w:p>
            <w:pPr>
              <w:spacing w:after="0"/>
              <w:rPr>
                <w:sz w:val="13"/>
                <w:szCs w:val="13"/>
                <w:color w:val="auto"/>
              </w:rPr>
            </w:pPr>
          </w:p>
        </w:tc>
        <w:tc>
          <w:tcPr>
            <w:tcW w:w="700" w:type="dxa"/>
            <w:vAlign w:val="bottom"/>
          </w:tcPr>
          <w:p>
            <w:pPr>
              <w:jc w:val="right"/>
              <w:ind w:right="276"/>
              <w:spacing w:after="0"/>
              <w:rPr>
                <w:sz w:val="20"/>
                <w:szCs w:val="20"/>
                <w:color w:val="auto"/>
              </w:rPr>
            </w:pPr>
            <w:r>
              <w:rPr>
                <w:rFonts w:ascii="Arial" w:cs="Arial" w:eastAsia="Arial" w:hAnsi="Arial"/>
                <w:sz w:val="11"/>
                <w:szCs w:val="11"/>
                <w:b w:val="1"/>
                <w:bCs w:val="1"/>
                <w:color w:val="auto"/>
              </w:rPr>
              <w:t>Total</w:t>
            </w:r>
          </w:p>
        </w:tc>
      </w:tr>
      <w:tr>
        <w:trPr>
          <w:trHeight w:val="19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59,716</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59,716</w:t>
            </w:r>
          </w:p>
        </w:tc>
      </w:tr>
      <w:tr>
        <w:trPr>
          <w:trHeight w:val="183"/>
        </w:trPr>
        <w:tc>
          <w:tcPr>
            <w:tcW w:w="6080" w:type="dxa"/>
            <w:vAlign w:val="bottom"/>
          </w:tcPr>
          <w:p>
            <w:pPr>
              <w:ind w:left="20"/>
              <w:spacing w:after="0"/>
              <w:rPr>
                <w:sz w:val="20"/>
                <w:szCs w:val="20"/>
                <w:color w:val="auto"/>
              </w:rPr>
            </w:pPr>
            <w:r>
              <w:rPr>
                <w:rFonts w:ascii="Arial" w:cs="Arial" w:eastAsia="Arial" w:hAnsi="Arial"/>
                <w:sz w:val="14"/>
                <w:szCs w:val="14"/>
                <w:color w:val="auto"/>
              </w:rPr>
              <w:t>Short-term restricted cash</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1"/>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59,761</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59,761</w:t>
            </w:r>
          </w:p>
        </w:tc>
      </w:tr>
      <w:tr>
        <w:trPr>
          <w:trHeight w:val="20"/>
        </w:trPr>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45"/>
        </w:trPr>
        <w:tc>
          <w:tcPr>
            <w:tcW w:w="60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r>
      <w:tr>
        <w:trPr>
          <w:trHeight w:val="154"/>
        </w:trPr>
        <w:tc>
          <w:tcPr>
            <w:tcW w:w="60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900" w:type="dxa"/>
            <w:vAlign w:val="bottom"/>
            <w:tcBorders>
              <w:bottom w:val="single" w:sz="8" w:color="auto"/>
            </w:tcBorders>
            <w:gridSpan w:val="5"/>
            <w:shd w:val="clear" w:color="auto" w:fill="CCEEFF"/>
          </w:tcPr>
          <w:p>
            <w:pPr>
              <w:ind w:left="340"/>
              <w:spacing w:after="0"/>
              <w:rPr>
                <w:sz w:val="20"/>
                <w:szCs w:val="20"/>
                <w:color w:val="auto"/>
              </w:rPr>
            </w:pPr>
            <w:r>
              <w:rPr>
                <w:rFonts w:ascii="Arial" w:cs="Arial" w:eastAsia="Arial" w:hAnsi="Arial"/>
                <w:sz w:val="11"/>
                <w:szCs w:val="11"/>
                <w:b w:val="1"/>
                <w:bCs w:val="1"/>
                <w:color w:val="auto"/>
              </w:rPr>
              <w:t>December 31, 2020</w:t>
            </w: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r>
      <w:tr>
        <w:trPr>
          <w:trHeight w:val="154"/>
        </w:trPr>
        <w:tc>
          <w:tcPr>
            <w:tcW w:w="6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400"/>
              <w:spacing w:after="0"/>
              <w:rPr>
                <w:sz w:val="20"/>
                <w:szCs w:val="20"/>
                <w:color w:val="auto"/>
              </w:rPr>
            </w:pPr>
            <w:r>
              <w:rPr>
                <w:rFonts w:ascii="Arial" w:cs="Arial" w:eastAsia="Arial" w:hAnsi="Arial"/>
                <w:sz w:val="11"/>
                <w:szCs w:val="11"/>
                <w:b w:val="1"/>
                <w:bCs w:val="1"/>
                <w:color w:val="auto"/>
              </w:rPr>
              <w:t>Level 1</w:t>
            </w:r>
          </w:p>
        </w:tc>
        <w:tc>
          <w:tcPr>
            <w:tcW w:w="200" w:type="dxa"/>
            <w:vAlign w:val="bottom"/>
          </w:tcPr>
          <w:p>
            <w:pPr>
              <w:spacing w:after="0"/>
              <w:rPr>
                <w:sz w:val="13"/>
                <w:szCs w:val="13"/>
                <w:color w:val="auto"/>
              </w:rPr>
            </w:pPr>
          </w:p>
        </w:tc>
        <w:tc>
          <w:tcPr>
            <w:tcW w:w="840" w:type="dxa"/>
            <w:vAlign w:val="bottom"/>
            <w:gridSpan w:val="2"/>
          </w:tcPr>
          <w:p>
            <w:pPr>
              <w:ind w:left="380"/>
              <w:spacing w:after="0"/>
              <w:rPr>
                <w:sz w:val="20"/>
                <w:szCs w:val="20"/>
                <w:color w:val="auto"/>
              </w:rPr>
            </w:pPr>
            <w:r>
              <w:rPr>
                <w:rFonts w:ascii="Arial" w:cs="Arial" w:eastAsia="Arial" w:hAnsi="Arial"/>
                <w:sz w:val="11"/>
                <w:szCs w:val="11"/>
                <w:b w:val="1"/>
                <w:bCs w:val="1"/>
                <w:color w:val="auto"/>
              </w:rPr>
              <w:t>Level 2</w:t>
            </w:r>
          </w:p>
        </w:tc>
        <w:tc>
          <w:tcPr>
            <w:tcW w:w="200" w:type="dxa"/>
            <w:vAlign w:val="bottom"/>
          </w:tcPr>
          <w:p>
            <w:pPr>
              <w:spacing w:after="0"/>
              <w:rPr>
                <w:sz w:val="13"/>
                <w:szCs w:val="13"/>
                <w:color w:val="auto"/>
              </w:rPr>
            </w:pPr>
          </w:p>
        </w:tc>
        <w:tc>
          <w:tcPr>
            <w:tcW w:w="860" w:type="dxa"/>
            <w:vAlign w:val="bottom"/>
            <w:gridSpan w:val="2"/>
          </w:tcPr>
          <w:p>
            <w:pPr>
              <w:ind w:left="380"/>
              <w:spacing w:after="0"/>
              <w:rPr>
                <w:sz w:val="20"/>
                <w:szCs w:val="20"/>
                <w:color w:val="auto"/>
              </w:rPr>
            </w:pPr>
            <w:r>
              <w:rPr>
                <w:rFonts w:ascii="Arial" w:cs="Arial" w:eastAsia="Arial" w:hAnsi="Arial"/>
                <w:sz w:val="11"/>
                <w:szCs w:val="11"/>
                <w:b w:val="1"/>
                <w:bCs w:val="1"/>
                <w:color w:val="auto"/>
              </w:rPr>
              <w:t>Level 3</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Total</w:t>
            </w:r>
          </w:p>
        </w:tc>
      </w:tr>
      <w:tr>
        <w:trPr>
          <w:trHeight w:val="21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18,820</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18,820</w:t>
            </w:r>
          </w:p>
        </w:tc>
      </w:tr>
      <w:tr>
        <w:trPr>
          <w:trHeight w:val="194"/>
        </w:trPr>
        <w:tc>
          <w:tcPr>
            <w:tcW w:w="6080" w:type="dxa"/>
            <w:vAlign w:val="bottom"/>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18,820</w:t>
            </w:r>
          </w:p>
        </w:tc>
        <w:tc>
          <w:tcPr>
            <w:tcW w:w="1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18,820</w:t>
            </w: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260" w:hanging="253"/>
        <w:spacing w:after="0"/>
        <w:tabs>
          <w:tab w:leader="none" w:pos="26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TRANSACTIONS WITH RELATED PARTIES (AMOUNTS IN THOUSANDS)</w:t>
      </w:r>
    </w:p>
    <w:p>
      <w:pPr>
        <w:spacing w:after="0" w:line="188"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Inception Sciences Service Agreements—Inception Sciences, Inc. (Inception Sciences US) and Inception Sciences Canada, Inc. (Inception Sciences Canada) are subsidiaries of Versant Ventures, affiliates of which, together, are a holder of more than 5% of our capital stock. The Company has service agreements with Inception Sciences US, and Inception Sciences Canada whereby research and support services are provided to the Company. On June 30, 2020, the Company terminated these Inception Sciences service agreements. Total expenses under the service agreements consist of charges for services, equipment usage, lab supplies and other out of pocket expenses as incurred. For the nine months ended September 30, 2021 and 2020, the Company incurred nil and $1,315, respectively, in expenses under the Inception Sciences service agreements.</w:t>
      </w:r>
    </w:p>
    <w:p>
      <w:pPr>
        <w:spacing w:after="0" w:line="141"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Related Party Notes Receivable—On November 19, 2017, the Company loaned three employees a total of $353 pursuant to promissory notes in order for such employees to early exercise certain stock options which had a total exercise cost of $652. Two employees paid $298 which represents 50% of the exercise cost and the other 50% totaling $298 was recorded as notes receivable. The other employee did not pay any portion of the exercise cost and $55 was recorded as note receivable. The three notes receivable accrue interest at 2% per year and will mature on November 29, 2022. The notes receivable vest over time until maturity in conjunction with the vesting of the early-exercised stock options.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47625</wp:posOffset>
            </wp:positionV>
            <wp:extent cx="719137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6" w:right="559" w:bottom="1440" w:gutter="0" w:footer="0" w:header="0"/>
        </w:sectPr>
      </w:pPr>
    </w:p>
    <w:bookmarkStart w:id="14" w:name="page15"/>
    <w:bookmarkEnd w:id="14"/>
    <w:p>
      <w:pPr>
        <w:ind w:left="24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5" w:lineRule="exact"/>
        <w:rPr>
          <w:sz w:val="20"/>
          <w:szCs w:val="20"/>
          <w:color w:val="auto"/>
        </w:rPr>
      </w:pPr>
    </w:p>
    <w:p>
      <w:pPr>
        <w:jc w:val="both"/>
        <w:ind w:left="240" w:right="240"/>
        <w:spacing w:after="0" w:line="299" w:lineRule="auto"/>
        <w:rPr>
          <w:sz w:val="20"/>
          <w:szCs w:val="20"/>
          <w:color w:val="auto"/>
        </w:rPr>
      </w:pPr>
      <w:r>
        <w:rPr>
          <w:rFonts w:ascii="Arial" w:cs="Arial" w:eastAsia="Arial" w:hAnsi="Arial"/>
          <w:sz w:val="12"/>
          <w:szCs w:val="12"/>
          <w:color w:val="auto"/>
        </w:rPr>
        <w:t>In February 2020, one of the employees left the Company in May 2019 and repaid her note balance of $44, of which $43 was the vested portion of the note receivable and $1 was accrued interest. In August 2021, another employee left the Company and repaid her note balance of $38, of which $35 was the vested portion of the note receivable and $3 was accrued interest. On June 25, 2021, prior to the closing of the Merger Agreement, one of the employees’ note receivable plus accrued interest totaling $278 was forgiven by the Company. This amount was recognized as compensation included in general and administrative expense in the accompanying consolidated statements of operations for the nine months ended September 30, 2021 and 2020. As of September 30, 2021 and December 31, 2020, the balance of the vested notes receivable and accrued interest was nil and $260, respectively.</w:t>
      </w:r>
    </w:p>
    <w:p>
      <w:pPr>
        <w:spacing w:after="0" w:line="139" w:lineRule="exact"/>
        <w:rPr>
          <w:sz w:val="20"/>
          <w:szCs w:val="20"/>
          <w:color w:val="auto"/>
        </w:rPr>
      </w:pPr>
    </w:p>
    <w:p>
      <w:pPr>
        <w:ind w:left="240"/>
        <w:spacing w:after="0"/>
        <w:tabs>
          <w:tab w:leader="none" w:pos="480" w:val="left"/>
        </w:tabs>
        <w:rPr>
          <w:sz w:val="20"/>
          <w:szCs w:val="20"/>
          <w:color w:val="auto"/>
        </w:rPr>
      </w:pPr>
      <w:r>
        <w:rPr>
          <w:rFonts w:ascii="Arial" w:cs="Arial" w:eastAsia="Arial" w:hAnsi="Arial"/>
          <w:sz w:val="14"/>
          <w:szCs w:val="14"/>
          <w:b w:val="1"/>
          <w:bCs w:val="1"/>
          <w:color w:val="auto"/>
        </w:rPr>
        <w:t>6.</w:t>
      </w:r>
      <w:r>
        <w:rPr>
          <w:sz w:val="20"/>
          <w:szCs w:val="20"/>
          <w:color w:val="auto"/>
        </w:rPr>
        <w:tab/>
      </w:r>
      <w:r>
        <w:rPr>
          <w:rFonts w:ascii="Arial" w:cs="Arial" w:eastAsia="Arial" w:hAnsi="Arial"/>
          <w:sz w:val="12"/>
          <w:szCs w:val="12"/>
          <w:b w:val="1"/>
          <w:bCs w:val="1"/>
          <w:color w:val="auto"/>
        </w:rPr>
        <w:t>BALANCE SHEET ITEMS (AMOUNTS IN THOUSANDS)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Prepaid expenses and other current asset consist of the following as of September 30, 2021 and December 31, 2020:</w:t>
      </w:r>
    </w:p>
    <w:p>
      <w:pPr>
        <w:spacing w:after="0" w:line="221" w:lineRule="exact"/>
        <w:rPr>
          <w:sz w:val="20"/>
          <w:szCs w:val="20"/>
          <w:color w:val="auto"/>
        </w:rPr>
      </w:pPr>
    </w:p>
    <w:tbl>
      <w:tblPr>
        <w:tblLayout w:type="fixed"/>
        <w:tblInd w:w="240" w:type="dxa"/>
        <w:tblCellMar>
          <w:top w:w="0" w:type="dxa"/>
          <w:left w:w="0" w:type="dxa"/>
          <w:bottom w:w="0" w:type="dxa"/>
          <w:right w:w="0" w:type="dxa"/>
        </w:tblCellMar>
      </w:tblPr>
      <w:tr>
        <w:trPr>
          <w:trHeight w:val="141"/>
        </w:trPr>
        <w:tc>
          <w:tcPr>
            <w:tcW w:w="6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tcPr>
          <w:p>
            <w:pPr>
              <w:ind w:left="100"/>
              <w:spacing w:after="0"/>
              <w:rPr>
                <w:sz w:val="20"/>
                <w:szCs w:val="20"/>
                <w:color w:val="auto"/>
              </w:rPr>
            </w:pPr>
            <w:r>
              <w:rPr>
                <w:rFonts w:ascii="Arial" w:cs="Arial" w:eastAsia="Arial" w:hAnsi="Arial"/>
                <w:sz w:val="11"/>
                <w:szCs w:val="11"/>
                <w:b w:val="1"/>
                <w:bCs w:val="1"/>
                <w:color w:val="auto"/>
              </w:rPr>
              <w:t>September 30,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75"/>
              <w:spacing w:after="0"/>
              <w:rPr>
                <w:sz w:val="20"/>
                <w:szCs w:val="20"/>
                <w:color w:val="auto"/>
              </w:rPr>
            </w:pPr>
            <w:r>
              <w:rPr>
                <w:rFonts w:ascii="Arial" w:cs="Arial" w:eastAsia="Arial" w:hAnsi="Arial"/>
                <w:sz w:val="11"/>
                <w:szCs w:val="11"/>
                <w:b w:val="1"/>
                <w:bCs w:val="1"/>
                <w:color w:val="auto"/>
                <w:w w:val="89"/>
              </w:rPr>
              <w:t>December 31,</w:t>
            </w:r>
          </w:p>
        </w:tc>
        <w:tc>
          <w:tcPr>
            <w:tcW w:w="0" w:type="dxa"/>
            <w:vAlign w:val="bottom"/>
          </w:tcPr>
          <w:p>
            <w:pPr>
              <w:spacing w:after="0"/>
              <w:rPr>
                <w:sz w:val="1"/>
                <w:szCs w:val="1"/>
                <w:color w:val="auto"/>
              </w:rPr>
            </w:pPr>
          </w:p>
        </w:tc>
      </w:tr>
      <w:tr>
        <w:trPr>
          <w:trHeight w:val="173"/>
        </w:trPr>
        <w:tc>
          <w:tcPr>
            <w:tcW w:w="66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1"/>
                <w:szCs w:val="11"/>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1"/>
                <w:szCs w:val="11"/>
                <w:b w:val="1"/>
                <w:bCs w:val="1"/>
                <w:color w:val="auto"/>
                <w:w w:val="89"/>
              </w:rPr>
              <w:t>2020</w:t>
            </w:r>
          </w:p>
        </w:tc>
        <w:tc>
          <w:tcPr>
            <w:tcW w:w="0" w:type="dxa"/>
            <w:vAlign w:val="bottom"/>
          </w:tcPr>
          <w:p>
            <w:pPr>
              <w:spacing w:after="0"/>
              <w:rPr>
                <w:sz w:val="1"/>
                <w:szCs w:val="1"/>
                <w:color w:val="auto"/>
              </w:rPr>
            </w:pPr>
          </w:p>
        </w:tc>
      </w:tr>
      <w:tr>
        <w:trPr>
          <w:trHeight w:val="18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83"/>
        </w:trPr>
        <w:tc>
          <w:tcPr>
            <w:tcW w:w="6680" w:type="dxa"/>
            <w:vAlign w:val="bottom"/>
          </w:tcPr>
          <w:p>
            <w:pPr>
              <w:ind w:left="20"/>
              <w:spacing w:after="0"/>
              <w:rPr>
                <w:sz w:val="20"/>
                <w:szCs w:val="20"/>
                <w:color w:val="auto"/>
              </w:rPr>
            </w:pPr>
            <w:r>
              <w:rPr>
                <w:rFonts w:ascii="Arial" w:cs="Arial" w:eastAsia="Arial" w:hAnsi="Arial"/>
                <w:sz w:val="14"/>
                <w:szCs w:val="14"/>
                <w:color w:val="auto"/>
              </w:rPr>
              <w:t>Prepaid research and development costs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795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21"/>
        </w:trPr>
        <w:tc>
          <w:tcPr>
            <w:tcW w:w="6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Notes and interest receivable</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83"/>
        </w:trPr>
        <w:tc>
          <w:tcPr>
            <w:tcW w:w="668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701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1"/>
        </w:trPr>
        <w:tc>
          <w:tcPr>
            <w:tcW w:w="6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Property and equipment, net, consists of the following as of September 30, 2021 and December 30, 2020: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3"/>
          </w:tcPr>
          <w:p>
            <w:pPr>
              <w:ind w:left="240"/>
              <w:spacing w:after="0"/>
              <w:rPr>
                <w:sz w:val="20"/>
                <w:szCs w:val="20"/>
                <w:color w:val="auto"/>
              </w:rPr>
            </w:pPr>
            <w:r>
              <w:rPr>
                <w:rFonts w:ascii="Arial" w:cs="Arial" w:eastAsia="Arial" w:hAnsi="Arial"/>
                <w:sz w:val="11"/>
                <w:szCs w:val="11"/>
                <w:b w:val="1"/>
                <w:bCs w:val="1"/>
                <w:color w:val="auto"/>
              </w:rPr>
              <w:t>September 30,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95"/>
              <w:spacing w:after="0"/>
              <w:rPr>
                <w:sz w:val="20"/>
                <w:szCs w:val="20"/>
                <w:color w:val="auto"/>
              </w:rPr>
            </w:pPr>
            <w:r>
              <w:rPr>
                <w:rFonts w:ascii="Arial" w:cs="Arial" w:eastAsia="Arial" w:hAnsi="Arial"/>
                <w:sz w:val="11"/>
                <w:szCs w:val="11"/>
                <w:b w:val="1"/>
                <w:bCs w:val="1"/>
                <w:color w:val="auto"/>
                <w:w w:val="86"/>
              </w:rPr>
              <w:t>December 31,</w:t>
            </w:r>
          </w:p>
        </w:tc>
        <w:tc>
          <w:tcPr>
            <w:tcW w:w="0" w:type="dxa"/>
            <w:vAlign w:val="bottom"/>
          </w:tcPr>
          <w:p>
            <w:pPr>
              <w:spacing w:after="0"/>
              <w:rPr>
                <w:sz w:val="1"/>
                <w:szCs w:val="1"/>
                <w:color w:val="auto"/>
              </w:rPr>
            </w:pPr>
          </w:p>
        </w:tc>
      </w:tr>
      <w:tr>
        <w:trPr>
          <w:trHeight w:val="173"/>
        </w:trPr>
        <w:tc>
          <w:tcPr>
            <w:tcW w:w="6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1"/>
                <w:szCs w:val="11"/>
                <w:b w:val="1"/>
                <w:bCs w:val="1"/>
                <w:color w:val="auto"/>
              </w:rPr>
              <w:t>2021</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95"/>
              <w:spacing w:after="0"/>
              <w:rPr>
                <w:sz w:val="20"/>
                <w:szCs w:val="20"/>
                <w:color w:val="auto"/>
              </w:rPr>
            </w:pPr>
            <w:r>
              <w:rPr>
                <w:rFonts w:ascii="Arial" w:cs="Arial" w:eastAsia="Arial" w:hAnsi="Arial"/>
                <w:sz w:val="11"/>
                <w:szCs w:val="11"/>
                <w:b w:val="1"/>
                <w:bCs w:val="1"/>
                <w:color w:val="auto"/>
                <w:w w:val="89"/>
              </w:rPr>
              <w:t>2020</w:t>
            </w:r>
          </w:p>
        </w:tc>
        <w:tc>
          <w:tcPr>
            <w:tcW w:w="0" w:type="dxa"/>
            <w:vAlign w:val="bottom"/>
          </w:tcPr>
          <w:p>
            <w:pPr>
              <w:spacing w:after="0"/>
              <w:rPr>
                <w:sz w:val="1"/>
                <w:szCs w:val="1"/>
                <w:color w:val="auto"/>
              </w:rPr>
            </w:pPr>
          </w:p>
        </w:tc>
      </w:tr>
      <w:tr>
        <w:trPr>
          <w:trHeight w:val="18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3"/>
        </w:trPr>
        <w:tc>
          <w:tcPr>
            <w:tcW w:w="668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1"/>
        </w:trPr>
        <w:tc>
          <w:tcPr>
            <w:tcW w:w="6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Lab equipment</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684</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83"/>
        </w:trPr>
        <w:tc>
          <w:tcPr>
            <w:tcW w:w="668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840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r>
        <w:trPr>
          <w:trHeight w:val="21"/>
        </w:trPr>
        <w:tc>
          <w:tcPr>
            <w:tcW w:w="6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Property and equipment</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1,839</w:t>
            </w: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1,566</w:t>
            </w:r>
          </w:p>
        </w:tc>
        <w:tc>
          <w:tcPr>
            <w:tcW w:w="0" w:type="dxa"/>
            <w:vAlign w:val="bottom"/>
          </w:tcPr>
          <w:p>
            <w:pPr>
              <w:spacing w:after="0"/>
              <w:rPr>
                <w:sz w:val="1"/>
                <w:szCs w:val="1"/>
                <w:color w:val="auto"/>
              </w:rPr>
            </w:pPr>
          </w:p>
        </w:tc>
      </w:tr>
      <w:tr>
        <w:trPr>
          <w:trHeight w:val="183"/>
        </w:trPr>
        <w:tc>
          <w:tcPr>
            <w:tcW w:w="6680" w:type="dxa"/>
            <w:vAlign w:val="bottom"/>
          </w:tcPr>
          <w:p>
            <w:pPr>
              <w:ind w:left="20"/>
              <w:spacing w:after="0"/>
              <w:rPr>
                <w:sz w:val="20"/>
                <w:szCs w:val="20"/>
                <w:color w:val="auto"/>
              </w:rPr>
            </w:pPr>
            <w:r>
              <w:rPr>
                <w:rFonts w:ascii="Arial" w:cs="Arial" w:eastAsia="Arial" w:hAnsi="Arial"/>
                <w:sz w:val="14"/>
                <w:szCs w:val="14"/>
                <w:color w:val="auto"/>
              </w:rPr>
              <w:t>Less accumulated depreciation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(723)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1"/>
        </w:trPr>
        <w:tc>
          <w:tcPr>
            <w:tcW w:w="6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equipment—net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1,116</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40" w:right="240"/>
        <w:spacing w:after="0" w:line="261" w:lineRule="auto"/>
        <w:rPr>
          <w:sz w:val="20"/>
          <w:szCs w:val="20"/>
          <w:color w:val="auto"/>
        </w:rPr>
      </w:pPr>
      <w:r>
        <w:rPr>
          <w:rFonts w:ascii="Arial" w:cs="Arial" w:eastAsia="Arial" w:hAnsi="Arial"/>
          <w:sz w:val="14"/>
          <w:szCs w:val="14"/>
          <w:color w:val="auto"/>
        </w:rPr>
        <w:t>Depreciation expense for the three and nine months ended September 30, 2021 were $107 and $272, respectively. Depreciation expense for the three and nine months ended September 30, 2020 were $81 and $255, respectively.</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Accrued liabilities as of September 30, 2021 and December 31, 2020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September 30,</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40" w:type="dxa"/>
            <w:vAlign w:val="bottom"/>
            <w:gridSpan w:val="2"/>
          </w:tcPr>
          <w:p>
            <w:pPr>
              <w:ind w:left="18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33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2021</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2020</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other liabilities</w:t>
            </w:r>
          </w:p>
        </w:tc>
        <w:tc>
          <w:tcPr>
            <w:tcW w:w="4460" w:type="dxa"/>
            <w:vAlign w:val="bottom"/>
            <w:tcBorders>
              <w:bottom w:val="single" w:sz="8" w:color="CCEEFF"/>
            </w:tcBorders>
            <w:gridSpan w:val="2"/>
            <w:shd w:val="clear" w:color="auto" w:fill="CCEEFF"/>
          </w:tcPr>
          <w:p>
            <w:pPr>
              <w:jc w:val="right"/>
              <w:ind w:right="986"/>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1,246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480" w:type="dxa"/>
            <w:vAlign w:val="bottom"/>
          </w:tcPr>
          <w:p>
            <w:pPr>
              <w:ind w:left="20"/>
              <w:spacing w:after="0"/>
              <w:rPr>
                <w:sz w:val="20"/>
                <w:szCs w:val="20"/>
                <w:color w:val="auto"/>
              </w:rPr>
            </w:pPr>
            <w:r>
              <w:rPr>
                <w:rFonts w:ascii="Arial" w:cs="Arial" w:eastAsia="Arial" w:hAnsi="Arial"/>
                <w:sz w:val="14"/>
                <w:szCs w:val="14"/>
                <w:color w:val="auto"/>
              </w:rPr>
              <w:t>Accrued clinical trial liability</w:t>
            </w:r>
          </w:p>
        </w:tc>
        <w:tc>
          <w:tcPr>
            <w:tcW w:w="3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224</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8"/>
                <w:szCs w:val="18"/>
                <w:color w:val="auto"/>
              </w:rPr>
            </w:pPr>
          </w:p>
        </w:tc>
        <w:tc>
          <w:tcPr>
            <w:tcW w:w="3480" w:type="dxa"/>
            <w:vAlign w:val="bottom"/>
            <w:tcBorders>
              <w:bottom w:val="single" w:sz="8" w:color="CCEEFF"/>
            </w:tcBorders>
            <w:shd w:val="clear" w:color="auto" w:fill="CCEEFF"/>
          </w:tcPr>
          <w:p>
            <w:pPr>
              <w:spacing w:after="0"/>
              <w:rPr>
                <w:sz w:val="18"/>
                <w:szCs w:val="18"/>
                <w:color w:val="auto"/>
              </w:rPr>
            </w:pPr>
          </w:p>
        </w:tc>
        <w:tc>
          <w:tcPr>
            <w:tcW w:w="4460" w:type="dxa"/>
            <w:vAlign w:val="bottom"/>
            <w:tcBorders>
              <w:bottom w:val="single" w:sz="8" w:color="CCEEFF"/>
            </w:tcBorders>
            <w:gridSpan w:val="2"/>
            <w:shd w:val="clear" w:color="auto" w:fill="CCEEFF"/>
          </w:tcPr>
          <w:p>
            <w:pPr>
              <w:jc w:val="right"/>
              <w:ind w:right="986"/>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1,658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1272"/>
              <w:spacing w:after="0"/>
              <w:rPr>
                <w:sz w:val="20"/>
                <w:szCs w:val="20"/>
                <w:color w:val="auto"/>
              </w:rPr>
            </w:pPr>
            <w:r>
              <w:rPr>
                <w:rFonts w:ascii="Arial" w:cs="Arial" w:eastAsia="Arial" w:hAnsi="Arial"/>
                <w:sz w:val="14"/>
                <w:szCs w:val="14"/>
                <w:color w:val="auto"/>
              </w:rPr>
              <w:t>15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2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40" w:type="dxa"/>
            <w:vAlign w:val="bottom"/>
            <w:tcBorders>
              <w:bottom w:val="single" w:sz="8" w:color="9A9A9A"/>
            </w:tcBorders>
          </w:tcPr>
          <w:p>
            <w:pPr>
              <w:spacing w:after="0"/>
              <w:rPr>
                <w:sz w:val="8"/>
                <w:szCs w:val="8"/>
                <w:color w:val="auto"/>
              </w:rPr>
            </w:pPr>
          </w:p>
        </w:tc>
        <w:tc>
          <w:tcPr>
            <w:tcW w:w="348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-24765</wp:posOffset>
            </wp:positionV>
            <wp:extent cx="3175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-24765</wp:posOffset>
            </wp:positionV>
            <wp:extent cx="3175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5" w:name="page16"/>
    <w:bookmarkEnd w:id="1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ind w:left="260" w:hanging="253"/>
        <w:spacing w:after="0"/>
        <w:tabs>
          <w:tab w:leader="none" w:pos="26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EARLY OPTION EXERCISE LIABILITY (AMOUNTS IN THOUSANDS)</w:t>
      </w:r>
    </w:p>
    <w:p>
      <w:pPr>
        <w:spacing w:after="0" w:line="188"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The recorded amount of the early option exercise liability relates to restricted stock awards and stock options granted to certain employees and contractors that were early-exercised before they became vested. The early option exercise liability decreases as the restricted stock awards and stock options vest over time or if the Company decides to repurchase them, and the amount of decrease is recorded in common stock and additional paid-in capital. As of September 30, 2021 and December 31, 2020, the early option exercise liability was $1 and $79, respectively, which represents unvested shares of 136 and 29,041. The unvested shares purchased by the employees are not deemed, for accounting purposes, to be issued and outstanding.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COMMITMENTS AND CONTINGENCIES (AMOUNTS IN THOUSANDS)</w:t>
      </w:r>
    </w:p>
    <w:p>
      <w:pPr>
        <w:spacing w:after="0" w:line="186" w:lineRule="exact"/>
        <w:rPr>
          <w:sz w:val="20"/>
          <w:szCs w:val="20"/>
          <w:color w:val="auto"/>
        </w:rPr>
      </w:pPr>
    </w:p>
    <w:p>
      <w:pPr>
        <w:jc w:val="both"/>
        <w:spacing w:after="0" w:line="349" w:lineRule="auto"/>
        <w:rPr>
          <w:sz w:val="20"/>
          <w:szCs w:val="20"/>
          <w:color w:val="auto"/>
        </w:rPr>
      </w:pPr>
      <w:r>
        <w:rPr>
          <w:rFonts w:ascii="Arial" w:cs="Arial" w:eastAsia="Arial" w:hAnsi="Arial"/>
          <w:sz w:val="12"/>
          <w:szCs w:val="12"/>
          <w:b w:val="1"/>
          <w:bCs w:val="1"/>
          <w:color w:val="auto"/>
        </w:rPr>
        <w:t>Facilities Lease Agreements</w:t>
      </w:r>
      <w:r>
        <w:rPr>
          <w:rFonts w:ascii="Arial" w:cs="Arial" w:eastAsia="Arial" w:hAnsi="Arial"/>
          <w:sz w:val="12"/>
          <w:szCs w:val="12"/>
          <w:color w:val="auto"/>
        </w:rPr>
        <w:t>—In February 2019, the Company entered into a 5-year office lease agreement for a 9,780 square feet facility in South San Francisco, California (“SSF Lease”). The</w:t>
      </w:r>
      <w:r>
        <w:rPr>
          <w:rFonts w:ascii="Arial" w:cs="Arial" w:eastAsia="Arial" w:hAnsi="Arial"/>
          <w:sz w:val="12"/>
          <w:szCs w:val="12"/>
          <w:b w:val="1"/>
          <w:bCs w:val="1"/>
          <w:color w:val="auto"/>
        </w:rPr>
        <w:t xml:space="preserve"> </w:t>
      </w:r>
      <w:r>
        <w:rPr>
          <w:rFonts w:ascii="Arial" w:cs="Arial" w:eastAsia="Arial" w:hAnsi="Arial"/>
          <w:sz w:val="12"/>
          <w:szCs w:val="12"/>
          <w:color w:val="auto"/>
        </w:rPr>
        <w:t>remaining lease term of the SSF Lease is two years and five months as of September 30, 2021. The Company has no other leases as of September 30, 2021 and December 31, 2020.</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As a result of the merger with Millendo, the Company assumed Millendo’s noncancelable operating leases for office space which have remaining lease terms of approximately 2.7 years. In February 2019 and October 2018, Millendo entered into two noncancellable operating leases for office space in Ann Arbor, Michigan (“Ann Arbor Leases”) of which one that Millendo took possession of in April 2019 and the other that Millendo took possession of in July 2019, respectively. One of its leases in Ann Arbor, Michigan expires in June 2024 and the other expires in March 2024. There were no other leases assumed by the Company as of September 30, 2021.</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As of September 30, 2021 and December 31, 2020, the balance of the operating lease right of use assets on the SSF Lease were $1,463 and $1,877, respectively, and the related operating lease liability were $1,909 and $2,439, respectively, as shown in the accompanying consolidated balance sheets.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As of September 30, 2021, the balance of the operating lease right of use assets on the Ann Arbor Leases was $1,894 and the related operating lease liability was $1,900 as shown in the accompanying consolidated balance sheet.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Rent expense was $680 and $492 for the nine months ended September 30, 2021 and 2020,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2021, future minimum annual lease payments under the Company’s operating lease liabilities for the SSF Lease and Ann Arbor Leases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8500" w:type="dxa"/>
            <w:vAlign w:val="bottom"/>
          </w:tcPr>
          <w:p>
            <w:pPr>
              <w:spacing w:after="0"/>
              <w:rPr>
                <w:sz w:val="12"/>
                <w:szCs w:val="12"/>
                <w:color w:val="auto"/>
              </w:rPr>
            </w:pPr>
          </w:p>
        </w:tc>
        <w:tc>
          <w:tcPr>
            <w:tcW w:w="1500" w:type="dxa"/>
            <w:vAlign w:val="bottom"/>
          </w:tcPr>
          <w:p>
            <w:pPr>
              <w:jc w:val="right"/>
              <w:ind w:right="234"/>
              <w:spacing w:after="0"/>
              <w:rPr>
                <w:sz w:val="20"/>
                <w:szCs w:val="20"/>
                <w:color w:val="auto"/>
              </w:rPr>
            </w:pPr>
            <w:r>
              <w:rPr>
                <w:rFonts w:ascii="Arial" w:cs="Arial" w:eastAsia="Arial" w:hAnsi="Arial"/>
                <w:sz w:val="11"/>
                <w:szCs w:val="11"/>
                <w:b w:val="1"/>
                <w:bCs w:val="1"/>
                <w:color w:val="auto"/>
              </w:rPr>
              <w:t>Total Commitment</w:t>
            </w:r>
          </w:p>
        </w:tc>
      </w:tr>
      <w:tr>
        <w:trPr>
          <w:trHeight w:val="173"/>
        </w:trPr>
        <w:tc>
          <w:tcPr>
            <w:tcW w:w="8500" w:type="dxa"/>
            <w:vAlign w:val="bottom"/>
          </w:tcPr>
          <w:p>
            <w:pPr>
              <w:ind w:left="20"/>
              <w:spacing w:after="0"/>
              <w:rPr>
                <w:sz w:val="20"/>
                <w:szCs w:val="20"/>
                <w:color w:val="auto"/>
              </w:rPr>
            </w:pPr>
            <w:r>
              <w:rPr>
                <w:rFonts w:ascii="Arial" w:cs="Arial" w:eastAsia="Arial" w:hAnsi="Arial"/>
                <w:sz w:val="11"/>
                <w:szCs w:val="11"/>
                <w:b w:val="1"/>
                <w:bCs w:val="1"/>
                <w:color w:val="auto"/>
              </w:rPr>
              <w:t>Year Ending</w:t>
            </w:r>
          </w:p>
        </w:tc>
        <w:tc>
          <w:tcPr>
            <w:tcW w:w="1500" w:type="dxa"/>
            <w:vAlign w:val="bottom"/>
          </w:tcPr>
          <w:p>
            <w:pPr>
              <w:jc w:val="right"/>
              <w:ind w:right="354"/>
              <w:spacing w:after="0"/>
              <w:rPr>
                <w:sz w:val="20"/>
                <w:szCs w:val="20"/>
                <w:color w:val="auto"/>
              </w:rPr>
            </w:pPr>
            <w:r>
              <w:rPr>
                <w:rFonts w:ascii="Arial" w:cs="Arial" w:eastAsia="Arial" w:hAnsi="Arial"/>
                <w:sz w:val="11"/>
                <w:szCs w:val="11"/>
                <w:b w:val="1"/>
                <w:bCs w:val="1"/>
                <w:color w:val="auto"/>
              </w:rPr>
              <w:t>(in thousands)</w:t>
            </w:r>
          </w:p>
        </w:tc>
      </w:tr>
      <w:tr>
        <w:trPr>
          <w:trHeight w:val="19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 (excluding the nine months ended September 30, 2021)</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w:t>
            </w:r>
          </w:p>
        </w:tc>
      </w:tr>
      <w:tr>
        <w:trPr>
          <w:trHeight w:val="183"/>
        </w:trPr>
        <w:tc>
          <w:tcPr>
            <w:tcW w:w="8500" w:type="dxa"/>
            <w:vAlign w:val="bottom"/>
          </w:tcPr>
          <w:p>
            <w:pPr>
              <w:ind w:left="20"/>
              <w:spacing w:after="0"/>
              <w:rPr>
                <w:sz w:val="20"/>
                <w:szCs w:val="20"/>
                <w:color w:val="auto"/>
              </w:rPr>
            </w:pPr>
            <w:r>
              <w:rPr>
                <w:rFonts w:ascii="Arial" w:cs="Arial" w:eastAsia="Arial" w:hAnsi="Arial"/>
                <w:sz w:val="14"/>
                <w:szCs w:val="14"/>
                <w:color w:val="auto"/>
              </w:rPr>
              <w:t>2022</w:t>
            </w:r>
          </w:p>
        </w:tc>
        <w:tc>
          <w:tcPr>
            <w:tcW w:w="1500" w:type="dxa"/>
            <w:vAlign w:val="bottom"/>
          </w:tcPr>
          <w:p>
            <w:pPr>
              <w:jc w:val="right"/>
              <w:spacing w:after="0"/>
              <w:rPr>
                <w:sz w:val="20"/>
                <w:szCs w:val="20"/>
                <w:color w:val="auto"/>
              </w:rPr>
            </w:pPr>
            <w:r>
              <w:rPr>
                <w:rFonts w:ascii="Arial" w:cs="Arial" w:eastAsia="Arial" w:hAnsi="Arial"/>
                <w:sz w:val="14"/>
                <w:szCs w:val="14"/>
                <w:color w:val="auto"/>
              </w:rPr>
              <w:t>1,604</w:t>
            </w:r>
          </w:p>
        </w:tc>
      </w:tr>
      <w:tr>
        <w:trPr>
          <w:trHeight w:val="21"/>
        </w:trPr>
        <w:tc>
          <w:tcPr>
            <w:tcW w:w="8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1,647</w:t>
            </w:r>
          </w:p>
        </w:tc>
      </w:tr>
      <w:tr>
        <w:trPr>
          <w:trHeight w:val="183"/>
        </w:trPr>
        <w:tc>
          <w:tcPr>
            <w:tcW w:w="8500" w:type="dxa"/>
            <w:vAlign w:val="bottom"/>
          </w:tcPr>
          <w:p>
            <w:pPr>
              <w:ind w:left="20"/>
              <w:spacing w:after="0"/>
              <w:rPr>
                <w:sz w:val="20"/>
                <w:szCs w:val="20"/>
                <w:color w:val="auto"/>
              </w:rPr>
            </w:pPr>
            <w:r>
              <w:rPr>
                <w:rFonts w:ascii="Arial" w:cs="Arial" w:eastAsia="Arial" w:hAnsi="Arial"/>
                <w:sz w:val="14"/>
                <w:szCs w:val="14"/>
                <w:color w:val="auto"/>
              </w:rPr>
              <w:t>2024</w:t>
            </w:r>
          </w:p>
        </w:tc>
        <w:tc>
          <w:tcPr>
            <w:tcW w:w="1500" w:type="dxa"/>
            <w:vAlign w:val="bottom"/>
          </w:tcPr>
          <w:p>
            <w:pPr>
              <w:jc w:val="right"/>
              <w:spacing w:after="0"/>
              <w:rPr>
                <w:sz w:val="20"/>
                <w:szCs w:val="20"/>
                <w:color w:val="auto"/>
              </w:rPr>
            </w:pPr>
            <w:r>
              <w:rPr>
                <w:rFonts w:ascii="Arial" w:cs="Arial" w:eastAsia="Arial" w:hAnsi="Arial"/>
                <w:sz w:val="14"/>
                <w:szCs w:val="14"/>
                <w:color w:val="auto"/>
              </w:rPr>
              <w:t>443</w:t>
            </w:r>
          </w:p>
        </w:tc>
      </w:tr>
      <w:tr>
        <w:trPr>
          <w:trHeight w:val="21"/>
        </w:trPr>
        <w:tc>
          <w:tcPr>
            <w:tcW w:w="8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3"/>
        </w:trPr>
        <w:tc>
          <w:tcPr>
            <w:tcW w:w="8500" w:type="dxa"/>
            <w:vAlign w:val="bottom"/>
          </w:tcPr>
          <w:p>
            <w:pPr>
              <w:ind w:left="260"/>
              <w:spacing w:after="0"/>
              <w:rPr>
                <w:sz w:val="20"/>
                <w:szCs w:val="20"/>
                <w:color w:val="auto"/>
              </w:rPr>
            </w:pPr>
            <w:r>
              <w:rPr>
                <w:rFonts w:ascii="Arial" w:cs="Arial" w:eastAsia="Arial" w:hAnsi="Arial"/>
                <w:sz w:val="14"/>
                <w:szCs w:val="14"/>
                <w:color w:val="auto"/>
              </w:rPr>
              <w:t>Total minimum lease payments</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4,087</w:t>
            </w:r>
          </w:p>
        </w:tc>
      </w:tr>
      <w:tr>
        <w:trPr>
          <w:trHeight w:val="21"/>
        </w:trPr>
        <w:tc>
          <w:tcPr>
            <w:tcW w:w="8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imputed interest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w:t>
            </w:r>
          </w:p>
        </w:tc>
      </w:tr>
      <w:tr>
        <w:trPr>
          <w:trHeight w:val="183"/>
        </w:trPr>
        <w:tc>
          <w:tcPr>
            <w:tcW w:w="8500" w:type="dxa"/>
            <w:vAlign w:val="bottom"/>
          </w:tcPr>
          <w:p>
            <w:pPr>
              <w:ind w:left="260"/>
              <w:spacing w:after="0"/>
              <w:rPr>
                <w:sz w:val="20"/>
                <w:szCs w:val="20"/>
                <w:color w:val="auto"/>
              </w:rPr>
            </w:pPr>
            <w:r>
              <w:rPr>
                <w:rFonts w:ascii="Arial" w:cs="Arial" w:eastAsia="Arial" w:hAnsi="Arial"/>
                <w:sz w:val="14"/>
                <w:szCs w:val="14"/>
                <w:color w:val="auto"/>
              </w:rPr>
              <w:t>Present value of operating lease obligations</w:t>
            </w:r>
          </w:p>
        </w:tc>
        <w:tc>
          <w:tcPr>
            <w:tcW w:w="1500" w:type="dxa"/>
            <w:vAlign w:val="bottom"/>
          </w:tcPr>
          <w:p>
            <w:pPr>
              <w:jc w:val="right"/>
              <w:spacing w:after="0"/>
              <w:rPr>
                <w:sz w:val="20"/>
                <w:szCs w:val="20"/>
                <w:color w:val="auto"/>
              </w:rPr>
            </w:pPr>
            <w:r>
              <w:rPr>
                <w:rFonts w:ascii="Arial" w:cs="Arial" w:eastAsia="Arial" w:hAnsi="Arial"/>
                <w:sz w:val="14"/>
                <w:szCs w:val="14"/>
                <w:color w:val="auto"/>
              </w:rPr>
              <w:t>3,809</w:t>
            </w:r>
          </w:p>
        </w:tc>
      </w:tr>
      <w:tr>
        <w:trPr>
          <w:trHeight w:val="21"/>
        </w:trPr>
        <w:tc>
          <w:tcPr>
            <w:tcW w:w="8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current portion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(1,411)</w:t>
            </w:r>
          </w:p>
        </w:tc>
      </w:tr>
      <w:tr>
        <w:trPr>
          <w:trHeight w:val="194"/>
        </w:trPr>
        <w:tc>
          <w:tcPr>
            <w:tcW w:w="8500" w:type="dxa"/>
            <w:vAlign w:val="bottom"/>
          </w:tcPr>
          <w:p>
            <w:pPr>
              <w:ind w:left="20"/>
              <w:spacing w:after="0"/>
              <w:rPr>
                <w:sz w:val="20"/>
                <w:szCs w:val="20"/>
                <w:color w:val="auto"/>
              </w:rPr>
            </w:pPr>
            <w:r>
              <w:rPr>
                <w:rFonts w:ascii="Arial" w:cs="Arial" w:eastAsia="Arial" w:hAnsi="Arial"/>
                <w:sz w:val="14"/>
                <w:szCs w:val="14"/>
                <w:color w:val="auto"/>
              </w:rPr>
              <w:t>Noncurrent operating lease obligations</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2,398</w:t>
            </w:r>
          </w:p>
        </w:tc>
      </w:tr>
      <w:tr>
        <w:trPr>
          <w:trHeight w:val="20"/>
        </w:trPr>
        <w:tc>
          <w:tcPr>
            <w:tcW w:w="8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14"/>
          <w:szCs w:val="14"/>
          <w:b w:val="1"/>
          <w:bCs w:val="1"/>
          <w:color w:val="auto"/>
        </w:rPr>
        <w:t>Guarantees and Indemnifications</w:t>
      </w:r>
      <w:r>
        <w:rPr>
          <w:rFonts w:ascii="Arial" w:cs="Arial" w:eastAsia="Arial" w:hAnsi="Arial"/>
          <w:sz w:val="14"/>
          <w:szCs w:val="14"/>
          <w:color w:val="auto"/>
        </w:rPr>
        <w:t>—In the normal course of business, the Company enters into agreements that contain a variety of representations and provide for general indemnification.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Company’s exposure under these agreements is unknown because it involves claims that may be made against the Company in the future. To date, the Company has not paid any claims or been required to defend any action related to its indemnification obligations. As of September 30, 2021 and December 31, 2020, the Company does not have any material indemnification claims that were probable or reasonably possible and consequently has not recorded related liabilities.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47625</wp:posOffset>
            </wp:positionV>
            <wp:extent cx="719137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6" w:right="559" w:bottom="1440" w:gutter="0" w:footer="0" w:header="0"/>
        </w:sectPr>
      </w:pPr>
    </w:p>
    <w:bookmarkStart w:id="16" w:name="page17"/>
    <w:bookmarkEnd w:id="1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color w:val="auto"/>
        </w:rPr>
        <w:t>Legal Proceedings—</w:t>
      </w:r>
      <w:r>
        <w:rPr>
          <w:rFonts w:ascii="Arial" w:cs="Arial" w:eastAsia="Arial" w:hAnsi="Arial"/>
          <w:sz w:val="14"/>
          <w:szCs w:val="14"/>
          <w:color w:val="auto"/>
        </w:rPr>
        <w:t>Liabilities for loss contingencies arising from claims, assessments, litigation, fines, penalties, and other sources are recorded when it is probable that a liability has been</w:t>
      </w:r>
      <w:r>
        <w:rPr>
          <w:rFonts w:ascii="Arial" w:cs="Arial" w:eastAsia="Arial" w:hAnsi="Arial"/>
          <w:sz w:val="14"/>
          <w:szCs w:val="14"/>
          <w:b w:val="1"/>
          <w:bCs w:val="1"/>
          <w:color w:val="auto"/>
        </w:rPr>
        <w:t xml:space="preserve"> </w:t>
      </w:r>
      <w:r>
        <w:rPr>
          <w:rFonts w:ascii="Arial" w:cs="Arial" w:eastAsia="Arial" w:hAnsi="Arial"/>
          <w:sz w:val="14"/>
          <w:szCs w:val="14"/>
          <w:color w:val="auto"/>
        </w:rPr>
        <w:t>incurred and the amount can be reasonably estimated.</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As a result of the merger with Millendo, the Company is party to various litigation matters given Millendo’s role as successor to OvaScience, Inc. (“OvaScience”). OvaScience merged with Millendo in 2018. Prior to the merger with Millendo, OvaScience was sued in three matters that are disclosed below.</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On November 9, 2016, a purported shareholder derivative action was filed in Massachusetts State court (Cima v. Dipp) against certain former officers and directors of OvaScience and OvaScience alleging breach of fiduciary duties, unjust enrichment, abuse of control, gross mismanagement and waste of corporate assets for purported actions related to OvaScience’s January 2015 follow-on public offering. No material proceedings have occurred since the case was filed; in April 2021, the Company filed a unilateral request to continue a stay of the case, which the court has not yet ruled on.</w:t>
      </w:r>
    </w:p>
    <w:p>
      <w:pPr>
        <w:spacing w:after="0" w:line="169" w:lineRule="exact"/>
        <w:rPr>
          <w:sz w:val="20"/>
          <w:szCs w:val="20"/>
          <w:color w:val="auto"/>
        </w:rPr>
      </w:pPr>
    </w:p>
    <w:p>
      <w:pPr>
        <w:jc w:val="both"/>
        <w:spacing w:after="0" w:line="345" w:lineRule="auto"/>
        <w:rPr>
          <w:sz w:val="20"/>
          <w:szCs w:val="20"/>
          <w:color w:val="auto"/>
        </w:rPr>
      </w:pPr>
      <w:r>
        <w:rPr>
          <w:rFonts w:ascii="Arial" w:cs="Arial" w:eastAsia="Arial" w:hAnsi="Arial"/>
          <w:sz w:val="12"/>
          <w:szCs w:val="12"/>
          <w:color w:val="auto"/>
        </w:rPr>
        <w:t>On March 24, 2017, a purported shareholder class action lawsuit was filed in Massachusetts Federal court (Dahhan v. OvaScience, Inc.) OvaScience and certain former officers of OvaScience alleging violations of Sections 10(b) and 20(a) of the Exchange Act (the “Dahhan Action”). Defendants have answered and the case is currently in discovery.</w:t>
      </w:r>
    </w:p>
    <w:p>
      <w:pPr>
        <w:spacing w:after="0" w:line="114"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On July 27, 2017, a purported shareholder derivative complaint was filed in Massachusetts Federal court (Chiu v. Dipp) against OvaScience and certain former officers and directors of OvaScience alleging breach of fiduciary duties, unjust enrichment and violations of Section 14(a) of the Exchange Act. related to OvaScience’s January 2015 follow-on public offering and other public statements concerning OvaScience’s AUGMENT treatment. Following the Court’s dismissal of an amended complaint, the parties agreed that plaintiffs could file a second amended complaint and that the case would be stayed pending the resolution of the Dahhan Action. In May 2018, the court entered an order staying this case pending the resolution of the Dahhan Action.</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With respect to each of the three OvaScience matters described above, the Company is unable to estimate potential losses, if any. However, the Company believes the matters are without merit, and that in light of applicable insurance, any material exposure to the Company is remote.</w:t>
      </w:r>
    </w:p>
    <w:p>
      <w:pPr>
        <w:spacing w:after="0" w:line="158" w:lineRule="exact"/>
        <w:rPr>
          <w:sz w:val="20"/>
          <w:szCs w:val="20"/>
          <w:color w:val="auto"/>
        </w:rPr>
      </w:pPr>
    </w:p>
    <w:p>
      <w:pPr>
        <w:ind w:left="260" w:hanging="253"/>
        <w:spacing w:after="0"/>
        <w:tabs>
          <w:tab w:leader="none" w:pos="26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LOAN PAYABLE (AMOUNTS IN THOUSANDS)</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2"/>
          <w:szCs w:val="12"/>
          <w:color w:val="auto"/>
        </w:rPr>
        <w:t>On January 15, 2021, the Company entered into a loan agreement with a lender to borrow a term loan amount of $35,000 to be funded in three tranches. Tranche A of $15,000 was wired to the Company on January 15, 2021. Tranche B of $10,000 will be available through March 31, 2022 contingent upon achievement of each of the following: i) receipt of at least $50,000 in Series C equity capital, ii) initiation of the Phase 1 combination study of TPST-1495 or monotherapy expansion study, and iii) initiation of Phase 2 trial of TPST-1120 or the 1L Triplet Collaboration study. And Tranche C of $10,000 is available at lender’s option. The term loan matures on August 1, 2025 and has an annual floating interest rate of 7.15% which is an Index Rate plus 7%. Index Rate is the greater of (i) 30-day US LIBOR or (ii) 0.15%. Monthly principal payments of $500 will begin on March 1, 2023. Related to this borrowing, the Company recorded loan discounts totaling $898 and paid $96 of debt issuance costs. These amounts would be amortized as additional interest expense over the life of the loan. As of September 30, 2021, the balance of the loan payable (net of debt issuance costs) was $15,005. The carrying value of the loan approximates fair value.</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For the three and nine months ended September 30, 2021 , total interest expense were $437 and $944,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CONVERTIBLE PREFERRED STOCK</w:t>
      </w:r>
    </w:p>
    <w:p>
      <w:pPr>
        <w:spacing w:after="0" w:line="188" w:lineRule="exact"/>
        <w:rPr>
          <w:sz w:val="20"/>
          <w:szCs w:val="20"/>
          <w:color w:val="auto"/>
        </w:rPr>
      </w:pPr>
    </w:p>
    <w:p>
      <w:pPr>
        <w:jc w:val="both"/>
        <w:spacing w:after="0" w:line="345" w:lineRule="auto"/>
        <w:rPr>
          <w:sz w:val="20"/>
          <w:szCs w:val="20"/>
          <w:color w:val="auto"/>
        </w:rPr>
      </w:pPr>
      <w:r>
        <w:rPr>
          <w:rFonts w:ascii="Arial" w:cs="Arial" w:eastAsia="Arial" w:hAnsi="Arial"/>
          <w:sz w:val="12"/>
          <w:szCs w:val="12"/>
          <w:color w:val="auto"/>
        </w:rPr>
        <w:t>As of September 30, 2021, the Company was authorized to issue up to 5,000,000 shares of preferred stock at a par value of $0.001 as a result of Private Tempest completing the merger with Millendo on June 25, 2021. As of December 31, 2020, Private Tempest was authorized to issue up to 135,936,731 shares of preferred stock at par value of $0.001.</w:t>
      </w:r>
    </w:p>
    <w:p>
      <w:pPr>
        <w:spacing w:after="0" w:line="114"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In October 2011, Private Tempest received a commitment from its venture investor for a Series A Preferred Stock financing totaling $10 million to be taken down in two tranches of $5 million each. Upon execution of the stock purchase agreement, Private Tempest received the first tranche of $5 million, which included $2,399 in cash proceeds and the conversion of notes payable and accrued interest totaling $2,601 for issuing 5,000,000 shares of its Series A Preferred Stock. In June 2012, Private Tempest received cash proceeds of $5 million related to the second tranche of the Series A Preferred Stock financing from the issuance of 5,000,000 shares of Series A Preferred Stock.</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47625</wp:posOffset>
            </wp:positionV>
            <wp:extent cx="719137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6" w:right="559" w:bottom="1440" w:gutter="0" w:footer="0" w:header="0"/>
        </w:sectPr>
      </w:pPr>
    </w:p>
    <w:bookmarkStart w:id="17" w:name="page18"/>
    <w:bookmarkEnd w:id="1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 August 2015, Private Tempest issued an additional 2,000,000 shares of Series A Preferred Stock to its venture investor for cash proceeds of $2 million. In September 2016, Private Tempest issued an additional 5,000,000 shares of Series A Preferred Stock to its venture investor for cash proceeds of $5 million.</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auto"/>
        </w:rPr>
        <w:t>In February 2018, Private Tempest issued 25,186,738 shares of Series B Preferred Stock for $1.00 per share in connection with the closing of the Series B Preferred Stock Purchase Agreement.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Private Tempest’s convertible notes of $8.0 million and accrued interest were converted as part of the Series B offering.</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 February 2019, Private Tempest issued 28,749,997 shares of Series B-1 preferred stock for $0.80 per share for total cash proceeds of $23 million. In January 2020, Private Tempest issued 43,749,996 shares of Series B-1 preferred stock for $0.80 per share for total cash proceeds of $35 million.</w:t>
      </w:r>
    </w:p>
    <w:p>
      <w:pPr>
        <w:spacing w:after="0" w:line="160"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On June 25, 2021, Private Tempest completed the merger with Millendo in accordance with the Merger Agreement. Under the terms of the Merger Agreement, immediately prior to the effective time of the merger, each share Private Tempest’s preferred stock was converted into a share of Private Tempest’s common stock. At closing of the merger, the Company issued an aggregate of approximately 5,365,899 shares of its common stock to Private Tempest stockholders, based on an exchange ratio of 0.0322 shares of the Company’s common stock for each share of Private Tempest common stock outstanding immediately prior to the merger, including those shares of common stock issued upon conversion of the Private Tempest preferred stock.</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The authorized, issued and outstanding shares of the convertible preferred stock and liquidation preferences December 31, 2020 were as follows (in thousands except share and per share amounts):</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December 31, 2020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jc w:val="right"/>
              <w:ind w:right="96"/>
              <w:spacing w:after="0"/>
              <w:rPr>
                <w:sz w:val="20"/>
                <w:szCs w:val="20"/>
                <w:color w:val="auto"/>
              </w:rPr>
            </w:pPr>
            <w:r>
              <w:rPr>
                <w:rFonts w:ascii="Arial" w:cs="Arial" w:eastAsia="Arial" w:hAnsi="Arial"/>
                <w:sz w:val="11"/>
                <w:szCs w:val="11"/>
                <w:b w:val="1"/>
                <w:bCs w:val="1"/>
                <w:color w:val="auto"/>
              </w:rPr>
              <w:t>Shares Issued and</w:t>
            </w:r>
          </w:p>
        </w:tc>
        <w:tc>
          <w:tcPr>
            <w:tcW w:w="1300" w:type="dxa"/>
            <w:vAlign w:val="bottom"/>
            <w:gridSpan w:val="2"/>
          </w:tcPr>
          <w:p>
            <w:pPr>
              <w:jc w:val="right"/>
              <w:ind w:right="75"/>
              <w:spacing w:after="0"/>
              <w:rPr>
                <w:sz w:val="20"/>
                <w:szCs w:val="20"/>
                <w:color w:val="auto"/>
              </w:rPr>
            </w:pPr>
            <w:r>
              <w:rPr>
                <w:rFonts w:ascii="Arial" w:cs="Arial" w:eastAsia="Arial" w:hAnsi="Arial"/>
                <w:sz w:val="11"/>
                <w:szCs w:val="11"/>
                <w:b w:val="1"/>
                <w:bCs w:val="1"/>
                <w:color w:val="auto"/>
              </w:rPr>
              <w:t>Per Share Liquidation</w:t>
            </w:r>
          </w:p>
        </w:tc>
        <w:tc>
          <w:tcPr>
            <w:tcW w:w="12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0"/>
              </w:rPr>
              <w:t>Aggregate Liquidation</w:t>
            </w:r>
          </w:p>
        </w:tc>
        <w:tc>
          <w:tcPr>
            <w:tcW w:w="140" w:type="dxa"/>
            <w:vAlign w:val="bottom"/>
          </w:tcPr>
          <w:p>
            <w:pPr>
              <w:spacing w:after="0"/>
              <w:rPr>
                <w:sz w:val="10"/>
                <w:szCs w:val="1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Proceeds Net of</w:t>
            </w: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51"/>
        </w:trPr>
        <w:tc>
          <w:tcPr>
            <w:tcW w:w="2480" w:type="dxa"/>
            <w:vAlign w:val="bottom"/>
          </w:tcPr>
          <w:p>
            <w:pPr>
              <w:ind w:left="20"/>
              <w:spacing w:after="0"/>
              <w:rPr>
                <w:sz w:val="20"/>
                <w:szCs w:val="20"/>
                <w:color w:val="auto"/>
              </w:rPr>
            </w:pPr>
            <w:r>
              <w:rPr>
                <w:rFonts w:ascii="Arial" w:cs="Arial" w:eastAsia="Arial" w:hAnsi="Arial"/>
                <w:sz w:val="11"/>
                <w:szCs w:val="11"/>
                <w:b w:val="1"/>
                <w:bCs w:val="1"/>
                <w:color w:val="auto"/>
              </w:rPr>
              <w:t>Series</w:t>
            </w:r>
          </w:p>
        </w:tc>
        <w:tc>
          <w:tcPr>
            <w:tcW w:w="122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 Authorized</w:t>
            </w:r>
          </w:p>
        </w:tc>
        <w:tc>
          <w:tcPr>
            <w:tcW w:w="1160" w:type="dxa"/>
            <w:vAlign w:val="bottom"/>
          </w:tcPr>
          <w:p>
            <w:pPr>
              <w:jc w:val="right"/>
              <w:ind w:right="216"/>
              <w:spacing w:after="0"/>
              <w:rPr>
                <w:sz w:val="20"/>
                <w:szCs w:val="20"/>
                <w:color w:val="auto"/>
              </w:rPr>
            </w:pPr>
            <w:r>
              <w:rPr>
                <w:rFonts w:ascii="Arial" w:cs="Arial" w:eastAsia="Arial" w:hAnsi="Arial"/>
                <w:sz w:val="11"/>
                <w:szCs w:val="11"/>
                <w:b w:val="1"/>
                <w:bCs w:val="1"/>
                <w:color w:val="auto"/>
              </w:rPr>
              <w:t>Outstanding</w:t>
            </w:r>
          </w:p>
        </w:tc>
        <w:tc>
          <w:tcPr>
            <w:tcW w:w="280" w:type="dxa"/>
            <w:vAlign w:val="bottom"/>
          </w:tcPr>
          <w:p>
            <w:pPr>
              <w:spacing w:after="0"/>
              <w:rPr>
                <w:sz w:val="13"/>
                <w:szCs w:val="13"/>
                <w:color w:val="auto"/>
              </w:rPr>
            </w:pPr>
          </w:p>
        </w:tc>
        <w:tc>
          <w:tcPr>
            <w:tcW w:w="1020" w:type="dxa"/>
            <w:vAlign w:val="bottom"/>
          </w:tcPr>
          <w:p>
            <w:pPr>
              <w:jc w:val="right"/>
              <w:ind w:right="335"/>
              <w:spacing w:after="0"/>
              <w:rPr>
                <w:sz w:val="20"/>
                <w:szCs w:val="20"/>
                <w:color w:val="auto"/>
              </w:rPr>
            </w:pPr>
            <w:r>
              <w:rPr>
                <w:rFonts w:ascii="Arial" w:cs="Arial" w:eastAsia="Arial" w:hAnsi="Arial"/>
                <w:sz w:val="11"/>
                <w:szCs w:val="11"/>
                <w:b w:val="1"/>
                <w:bCs w:val="1"/>
                <w:color w:val="auto"/>
              </w:rPr>
              <w:t>Preference</w:t>
            </w:r>
          </w:p>
        </w:tc>
        <w:tc>
          <w:tcPr>
            <w:tcW w:w="22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1"/>
              </w:rPr>
              <w:t>Amount</w:t>
            </w:r>
          </w:p>
        </w:tc>
        <w:tc>
          <w:tcPr>
            <w:tcW w:w="14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Issuance Cost</w:t>
            </w:r>
          </w:p>
        </w:tc>
        <w:tc>
          <w:tcPr>
            <w:tcW w:w="100" w:type="dxa"/>
            <w:vAlign w:val="bottom"/>
          </w:tcPr>
          <w:p>
            <w:pPr>
              <w:spacing w:after="0"/>
              <w:rPr>
                <w:sz w:val="13"/>
                <w:szCs w:val="13"/>
                <w:color w:val="auto"/>
              </w:rPr>
            </w:pPr>
          </w:p>
        </w:tc>
        <w:tc>
          <w:tcPr>
            <w:tcW w:w="1060" w:type="dxa"/>
            <w:vAlign w:val="bottom"/>
          </w:tcPr>
          <w:p>
            <w:pPr>
              <w:jc w:val="right"/>
              <w:ind w:right="55"/>
              <w:spacing w:after="0"/>
              <w:rPr>
                <w:sz w:val="20"/>
                <w:szCs w:val="20"/>
                <w:color w:val="auto"/>
              </w:rPr>
            </w:pPr>
            <w:r>
              <w:rPr>
                <w:rFonts w:ascii="Arial" w:cs="Arial" w:eastAsia="Arial" w:hAnsi="Arial"/>
                <w:sz w:val="11"/>
                <w:szCs w:val="11"/>
                <w:b w:val="1"/>
                <w:bCs w:val="1"/>
                <w:color w:val="auto"/>
                <w:w w:val="93"/>
              </w:rPr>
              <w:t>Net Carrying Value</w:t>
            </w:r>
          </w:p>
        </w:tc>
      </w:tr>
      <w:tr>
        <w:trPr>
          <w:trHeight w:val="194"/>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A</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17,000,000</w:t>
            </w:r>
          </w:p>
        </w:tc>
        <w:tc>
          <w:tcPr>
            <w:tcW w:w="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17,000,000</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17,000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16,982</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16,982</w:t>
            </w:r>
          </w:p>
        </w:tc>
      </w:tr>
      <w:tr>
        <w:trPr>
          <w:trHeight w:val="183"/>
        </w:trPr>
        <w:tc>
          <w:tcPr>
            <w:tcW w:w="2480" w:type="dxa"/>
            <w:vAlign w:val="bottom"/>
          </w:tcPr>
          <w:p>
            <w:pPr>
              <w:ind w:left="20"/>
              <w:spacing w:after="0"/>
              <w:rPr>
                <w:sz w:val="20"/>
                <w:szCs w:val="20"/>
                <w:color w:val="auto"/>
              </w:rPr>
            </w:pPr>
            <w:r>
              <w:rPr>
                <w:rFonts w:ascii="Arial" w:cs="Arial" w:eastAsia="Arial" w:hAnsi="Arial"/>
                <w:sz w:val="14"/>
                <w:szCs w:val="14"/>
                <w:color w:val="auto"/>
              </w:rPr>
              <w:t>Series B</w:t>
            </w:r>
          </w:p>
        </w:tc>
        <w:tc>
          <w:tcPr>
            <w:tcW w:w="1160" w:type="dxa"/>
            <w:vAlign w:val="bottom"/>
          </w:tcPr>
          <w:p>
            <w:pPr>
              <w:jc w:val="right"/>
              <w:spacing w:after="0"/>
              <w:rPr>
                <w:sz w:val="20"/>
                <w:szCs w:val="20"/>
                <w:color w:val="auto"/>
              </w:rPr>
            </w:pPr>
            <w:r>
              <w:rPr>
                <w:rFonts w:ascii="Arial" w:cs="Arial" w:eastAsia="Arial" w:hAnsi="Arial"/>
                <w:sz w:val="14"/>
                <w:szCs w:val="14"/>
                <w:color w:val="auto"/>
              </w:rPr>
              <w:t>25,186,738</w:t>
            </w:r>
          </w:p>
        </w:tc>
        <w:tc>
          <w:tcPr>
            <w:tcW w:w="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25,186,738</w:t>
            </w:r>
          </w:p>
        </w:tc>
        <w:tc>
          <w:tcPr>
            <w:tcW w:w="280" w:type="dxa"/>
            <w:vAlign w:val="bottom"/>
          </w:tcPr>
          <w:p>
            <w:pPr>
              <w:spacing w:after="0"/>
              <w:rPr>
                <w:sz w:val="15"/>
                <w:szCs w:val="15"/>
                <w:color w:val="auto"/>
              </w:rPr>
            </w:pPr>
          </w:p>
        </w:tc>
        <w:tc>
          <w:tcPr>
            <w:tcW w:w="1020" w:type="dxa"/>
            <w:vAlign w:val="bottom"/>
          </w:tcPr>
          <w:p>
            <w:pPr>
              <w:jc w:val="right"/>
              <w:ind w:right="75"/>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25,187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24,943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12,235</w:t>
            </w:r>
          </w:p>
        </w:tc>
      </w:tr>
      <w:tr>
        <w:trPr>
          <w:trHeight w:val="21"/>
        </w:trPr>
        <w:tc>
          <w:tcPr>
            <w:tcW w:w="2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4"/>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B-1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93,749,993</w:t>
            </w:r>
          </w:p>
        </w:tc>
        <w:tc>
          <w:tcPr>
            <w:tcW w:w="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72,499,993</w:t>
            </w: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0.80</w:t>
            </w: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58,000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57,489</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57,489</w:t>
            </w:r>
          </w:p>
        </w:tc>
      </w:tr>
      <w:tr>
        <w:trPr>
          <w:trHeight w:val="173"/>
        </w:trPr>
        <w:tc>
          <w:tcPr>
            <w:tcW w:w="2480" w:type="dxa"/>
            <w:vAlign w:val="bottom"/>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135,936,731</w:t>
            </w:r>
          </w:p>
        </w:tc>
        <w:tc>
          <w:tcPr>
            <w:tcW w:w="60" w:type="dxa"/>
            <w:vAlign w:val="bottom"/>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114,686,731</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100,187</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99,414</w:t>
            </w:r>
          </w:p>
        </w:tc>
        <w:tc>
          <w:tcPr>
            <w:tcW w:w="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86,706</w:t>
            </w:r>
          </w:p>
        </w:tc>
      </w:tr>
      <w:tr>
        <w:trPr>
          <w:trHeight w:val="21"/>
        </w:trPr>
        <w:tc>
          <w:tcPr>
            <w:tcW w:w="2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The significant rights, preferences, and privileges of the convertible preferred stock as of September 30, 2021 were as follows:</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Dividends</w:t>
      </w:r>
      <w:r>
        <w:rPr>
          <w:rFonts w:ascii="Arial" w:cs="Arial" w:eastAsia="Arial" w:hAnsi="Arial"/>
          <w:sz w:val="14"/>
          <w:szCs w:val="14"/>
          <w:color w:val="auto"/>
        </w:rPr>
        <w:t>—The holders of the Company’s convertible preferred stock are entitled to receive noncumulative dividends of 8% per share (as adjusted for stock splits, combinations,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reorganizations) per annum on each outstanding share of Series convertible preferred stock. Such dividends shall be payable only when and if declared by the Board of Directors. As of September 30, 2021 and December 31, 2020, the Company’s Board of Directors had not declared any dividends. Dividends on convertible preferred stock shall be payable in preference to and prior to any payments of any dividends on common stock. No dividends have been declared to date.</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b w:val="1"/>
          <w:bCs w:val="1"/>
          <w:i w:val="1"/>
          <w:iCs w:val="1"/>
          <w:color w:val="auto"/>
        </w:rPr>
        <w:t>Voting Rights</w:t>
      </w:r>
      <w:r>
        <w:rPr>
          <w:rFonts w:ascii="Arial" w:cs="Arial" w:eastAsia="Arial" w:hAnsi="Arial"/>
          <w:sz w:val="14"/>
          <w:szCs w:val="14"/>
          <w:color w:val="auto"/>
        </w:rPr>
        <w:t>—The holders of preferred stock are entitled to one vote for each share of common stock into which such preferred stock could then be converted; and with respect to such vote, such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holder shall have full voting rights and powers equal to the voting rights and powers of the holders of common stock.</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Liquidation</w:t>
      </w:r>
      <w:r>
        <w:rPr>
          <w:rFonts w:ascii="Arial" w:cs="Arial" w:eastAsia="Arial" w:hAnsi="Arial"/>
          <w:sz w:val="14"/>
          <w:szCs w:val="14"/>
          <w:color w:val="auto"/>
        </w:rPr>
        <w:t>—The holders of preferred stock are entitled to receive liquidation preferences at an amount per share of preferred stock equal to the original price plus all declared and unpaid dividends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on the preferred stock. Liquidation payments to the holders of preferred stock have priority and are made in preference to any payments to the holders of common stock. After full payment of the liquidation preference to the holders of the preferred stock, the remaining assets, if any, will be distributed ratably to the holders of the common stock and preferred stock on an as-if-converted to common stock basis.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b w:val="1"/>
          <w:bCs w:val="1"/>
          <w:i w:val="1"/>
          <w:iCs w:val="1"/>
          <w:color w:val="auto"/>
        </w:rPr>
        <w:t>Redemption and Balance Sheet Classification</w:t>
      </w:r>
      <w:r>
        <w:rPr>
          <w:rFonts w:ascii="Arial" w:cs="Arial" w:eastAsia="Arial" w:hAnsi="Arial"/>
          <w:sz w:val="14"/>
          <w:szCs w:val="14"/>
          <w:color w:val="auto"/>
        </w:rPr>
        <w:t>— The convertible preferred stock is recorded within mezzanine equity because while it is not mandatorily redeemable, it will become redeemable 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option of the stockholders upon the occurrence of certain deemed liquidation events that are considered not solely within the Company’s control.</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COMMON STOCK</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47625</wp:posOffset>
            </wp:positionV>
            <wp:extent cx="719137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6" w:right="559" w:bottom="1440" w:gutter="0" w:footer="0" w:header="0"/>
        </w:sectPr>
      </w:pPr>
    </w:p>
    <w:bookmarkStart w:id="18" w:name="page19"/>
    <w:bookmarkEnd w:id="1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Upon completion of the merger on June 25, 2021, the Company issued an aggregate of approximately 5,365,899 shares of its common stock to Private Tempest stockholders, based on an exchange ratio of 0.0322 shares of the Company’s common stock for each share of Private Tempest common stock outstanding immediately prior to the merger, including those shares of common stock issued upon conversion of the Private Tempest preferred stock (3,692,912 common shares) and those shares of common stock issued with its pre-merger financing of $30.0 million (1,136,849 common shares).</w:t>
      </w:r>
    </w:p>
    <w:p>
      <w:pPr>
        <w:spacing w:after="0" w:line="169"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As of September 30, 2021, the Company was authorized to issue 196,000,000 shares of common stock at a par value of $0.001. Of the 196,000,000 common stock shares authorized, 6,900,731 are legally issued and outstanding at September 30, 2021, with 136 shares subject to repurchase due to remaining vesting requirements. Common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Except for effecting or validating certain specific actions intended to protect the preferred stockholders, the holders of common stock vote together with preferred stockholders and have the right to elect one member of the Company’s Board of Directors.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July 23, 2021, the Company entered into a sales agreement (the “Sales Agreement”) with Jefferies LLC (the “Agent”), pursuant to which the Company may sell, from time to time, up to an aggregate sales price of $100,000,000 of its common stock through the Agent.</w:t>
      </w:r>
    </w:p>
    <w:p>
      <w:pPr>
        <w:spacing w:after="0" w:line="160" w:lineRule="exact"/>
        <w:rPr>
          <w:sz w:val="20"/>
          <w:szCs w:val="20"/>
          <w:color w:val="auto"/>
        </w:rPr>
      </w:pPr>
    </w:p>
    <w:p>
      <w:pPr>
        <w:jc w:val="both"/>
        <w:spacing w:after="0" w:line="345" w:lineRule="auto"/>
        <w:rPr>
          <w:sz w:val="20"/>
          <w:szCs w:val="20"/>
          <w:color w:val="auto"/>
        </w:rPr>
      </w:pPr>
      <w:r>
        <w:rPr>
          <w:rFonts w:ascii="Arial" w:cs="Arial" w:eastAsia="Arial" w:hAnsi="Arial"/>
          <w:sz w:val="12"/>
          <w:szCs w:val="12"/>
          <w:color w:val="auto"/>
        </w:rPr>
        <w:t>The common stock sold in the offering will be issued pursuant to a prospectus supplement filed with the Securities and Exchange Commission (the “SEC”) on July 23, 2021, and the accompanying base prospectus dated July 23, 2021, forming part of the Company’s registration statement on Form S-3 (Registration No. 333-257990), which was declared effective on July 23, 2021.</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Sales of the common stock, if any, made pursuant to the Sales Agreement may be sold in negotiated transactions or transactions that are deemed to be an “at the market offering”, as defined in Rule 415(a)(4) of the Securities Act of 1933, as amended (the “Securities Act”), including sales made directly on or through the Nasdaq Capital Market, on or through any other existing trading market for the common stock or by any other method permitted by law, at market prices prevailing at the time of sale, at prices related to prevailing market prices or at negotiated prices, or as otherwise agreed between the Company and the Agent. The Agent will be entitled to compensation equal to 3.0% of the gross proceeds from the sale of all shares of common stock sold through it as Agent under the Sales Agreement.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STOCK COMPENSATION</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 2011 Private Tempest adopted the 2011 Equity Incentive Plan, and in 2017, Private Tempest adopted the 2017 Equity Incentive Plan, together “the Tempest Equity Plans”. Upon adoption of the 2017 Equity Incentive Plan, the 2011 Equity Incentive Plan was terminated.</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Board of Millendo adopted the 2019 Equity Incentive Plan (the “2019 Plan”) and 2019 Employee Stock Purchase Plan (the “2019 ESPP,” and together with the 2019 Plan, the “Millendo Equity Plans”) on April 29, 2019, subject to approval by the Company’s stockholders, and became effective with such stockholder approval on June 11, 2019. As a result of the merger, the Tempest Equity Plans and Millendo Equity Plans were assumed by the Company.</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Both the Tempest Equity Plans and the 2019 Plan allow the Company to grant stock awards to employees, directors and consultants of the Company, including incentive stock options (“ISOs”), nonqualified stock options (“NSOs”), stock appreciation rights, restricted stock awards, restricted stock unit awards and other stock awards. The 2019 ESPP enables employees to purchase shares of the Company’s common stock through offerings of rights to purchase the Company’s common stock to all eligible employees.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number of shares of the Company's common stock reserved for issuance under the 2019 Plan will automatically increase on January 1st of each year, for a period of ten years, from January 1, 2020 continuing through January 1, 2029, by 4% of the total number of shares of the Company's common stock outstanding on December 31 of the preceding calendar year, or a lesser number of shares as may be determined by the Board.</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number of shares of the Company's common stock reserved for issuance under the 2019 ESPP will automatically increase on January 1st of each year, for a period of up to ten years, from January 1, 2020 continuing through January 1, 2029, by the lesser of (i) 1% of the total number of shares of the Company's capital stock outstanding on December 31 of the preceding calendar year, or (ii) 133,580 shares of the Company's common stock, unless a lesser number of shares is determined by the Board.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47625</wp:posOffset>
            </wp:positionV>
            <wp:extent cx="719137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6" w:right="559" w:bottom="1440" w:gutter="0" w:footer="0" w:header="0"/>
        </w:sectPr>
      </w:pPr>
    </w:p>
    <w:bookmarkStart w:id="19" w:name="page20"/>
    <w:bookmarkEnd w:id="1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color w:val="auto"/>
        </w:rPr>
        <w:t>The Company measures employee and nonemployee stock-based awards at grant date fair value and records compensation expense on a straight-line basis over the vesting period of the award.</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2021, a total of 469,202 shares are available for future grant under the Tempest Equity Plans and the Millendo Equity Plans.</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Options to purchase the Company’s common stock may be granted at a price not less than the fair market value in the case of both NSOs and ISOs, except for an employee or non-employee with options who owns more than 10 percent of the voting power of all classes of stock of the Company, in which case the exercise price shall be no less than 110 percent of the fair market value per share on the grant date. Stock options granted under the Plans generally vest over four years and expire no later than ten (10) years from the date of grant. Vested options can be exercised at any time.</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The grant date fair market value of the shares of common stock underlying stock options has historically been determined by the Company’s Board of Directors. Because there has been no public market for the Company’s common stock, the Board of Directors exercises reasonable judgment and considers a number of objective and subjective factors to determine the best estimate of the fair market value, which include valuations performed by an independent third-party, important developments in the Company’s operations, sales of convertible preferred stock, actual operating results, financial performance, the conditions in the life sciences industry, the economy in general, the stock price performance and volatility of comparable public companies, and the lack of liquidity of the Company’s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Stock option activity under the Plans is set forth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w w:val="90"/>
              </w:rPr>
              <w:t>Shares Available for</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jc w:val="right"/>
              <w:ind w:right="142"/>
              <w:spacing w:after="0"/>
              <w:rPr>
                <w:sz w:val="20"/>
                <w:szCs w:val="20"/>
                <w:color w:val="auto"/>
              </w:rPr>
            </w:pPr>
            <w:r>
              <w:rPr>
                <w:rFonts w:ascii="Arial" w:cs="Arial" w:eastAsia="Arial" w:hAnsi="Arial"/>
                <w:sz w:val="11"/>
                <w:szCs w:val="11"/>
                <w:b w:val="1"/>
                <w:bCs w:val="1"/>
                <w:color w:val="auto"/>
              </w:rPr>
              <w:t>Total Options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Weighted-Average</w:t>
            </w:r>
          </w:p>
        </w:tc>
        <w:tc>
          <w:tcPr>
            <w:tcW w:w="0" w:type="dxa"/>
            <w:vAlign w:val="bottom"/>
          </w:tcPr>
          <w:p>
            <w:pPr>
              <w:spacing w:after="0"/>
              <w:rPr>
                <w:sz w:val="1"/>
                <w:szCs w:val="1"/>
                <w:color w:val="auto"/>
              </w:rPr>
            </w:pPr>
          </w:p>
        </w:tc>
      </w:tr>
      <w:tr>
        <w:trPr>
          <w:trHeight w:val="151"/>
        </w:trPr>
        <w:tc>
          <w:tcPr>
            <w:tcW w:w="5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jc w:val="right"/>
              <w:ind w:right="317"/>
              <w:spacing w:after="0"/>
              <w:rPr>
                <w:sz w:val="20"/>
                <w:szCs w:val="20"/>
                <w:color w:val="auto"/>
              </w:rPr>
            </w:pPr>
            <w:r>
              <w:rPr>
                <w:rFonts w:ascii="Arial" w:cs="Arial" w:eastAsia="Arial" w:hAnsi="Arial"/>
                <w:sz w:val="11"/>
                <w:szCs w:val="11"/>
                <w:b w:val="1"/>
                <w:bCs w:val="1"/>
                <w:color w:val="auto"/>
              </w:rPr>
              <w:t>Grant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jc w:val="right"/>
              <w:ind w:right="162"/>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Exercise Price</w:t>
            </w:r>
          </w:p>
        </w:tc>
        <w:tc>
          <w:tcPr>
            <w:tcW w:w="0" w:type="dxa"/>
            <w:vAlign w:val="bottom"/>
          </w:tcPr>
          <w:p>
            <w:pPr>
              <w:spacing w:after="0"/>
              <w:rPr>
                <w:sz w:val="1"/>
                <w:szCs w:val="1"/>
                <w:color w:val="auto"/>
              </w:rPr>
            </w:pPr>
          </w:p>
        </w:tc>
      </w:tr>
      <w:tr>
        <w:trPr>
          <w:trHeight w:val="194"/>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Balance—January 1, 2021</w:t>
            </w:r>
          </w:p>
        </w:tc>
        <w:tc>
          <w:tcPr>
            <w:tcW w:w="9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489,797</w:t>
            </w: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w w:val="94"/>
              </w:rPr>
              <w:t>452,165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40" w:type="dxa"/>
            <w:vAlign w:val="bottom"/>
          </w:tcPr>
          <w:p>
            <w:pPr>
              <w:ind w:left="260"/>
              <w:spacing w:after="0"/>
              <w:rPr>
                <w:sz w:val="20"/>
                <w:szCs w:val="20"/>
                <w:color w:val="auto"/>
              </w:rPr>
            </w:pPr>
            <w:r>
              <w:rPr>
                <w:rFonts w:ascii="Arial" w:cs="Arial" w:eastAsia="Arial" w:hAnsi="Arial"/>
                <w:sz w:val="14"/>
                <w:szCs w:val="14"/>
                <w:color w:val="auto"/>
              </w:rPr>
              <w:t>Assumed in reverse recapitalization</w:t>
            </w:r>
          </w:p>
        </w:tc>
        <w:tc>
          <w:tcPr>
            <w:tcW w:w="9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116,509</w:t>
            </w:r>
          </w:p>
        </w:tc>
        <w:tc>
          <w:tcPr>
            <w:tcW w:w="220" w:type="dxa"/>
            <w:vAlign w:val="bottom"/>
          </w:tcPr>
          <w:p>
            <w:pPr>
              <w:spacing w:after="0"/>
              <w:rPr>
                <w:sz w:val="15"/>
                <w:szCs w:val="15"/>
                <w:color w:val="auto"/>
              </w:rPr>
            </w:pPr>
          </w:p>
        </w:tc>
        <w:tc>
          <w:tcPr>
            <w:tcW w:w="1060" w:type="dxa"/>
            <w:vAlign w:val="bottom"/>
            <w:gridSpan w:val="2"/>
          </w:tcPr>
          <w:p>
            <w:pPr>
              <w:ind w:left="560"/>
              <w:spacing w:after="0"/>
              <w:rPr>
                <w:sz w:val="20"/>
                <w:szCs w:val="20"/>
                <w:color w:val="auto"/>
              </w:rPr>
            </w:pPr>
            <w:r>
              <w:rPr>
                <w:rFonts w:ascii="Arial" w:cs="Arial" w:eastAsia="Arial" w:hAnsi="Arial"/>
                <w:sz w:val="14"/>
                <w:szCs w:val="14"/>
                <w:color w:val="auto"/>
                <w:w w:val="94"/>
              </w:rPr>
              <w:t>177,591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179.79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Granted</w:t>
            </w:r>
          </w:p>
        </w:tc>
        <w:tc>
          <w:tcPr>
            <w:tcW w:w="9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(232,669)</w:t>
            </w: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w w:val="94"/>
              </w:rPr>
              <w:t>232,669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19.09</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40" w:type="dxa"/>
            <w:vAlign w:val="bottom"/>
          </w:tcPr>
          <w:p>
            <w:pPr>
              <w:ind w:left="260"/>
              <w:spacing w:after="0"/>
              <w:rPr>
                <w:sz w:val="20"/>
                <w:szCs w:val="20"/>
                <w:color w:val="auto"/>
              </w:rPr>
            </w:pPr>
            <w:r>
              <w:rPr>
                <w:rFonts w:ascii="Arial" w:cs="Arial" w:eastAsia="Arial" w:hAnsi="Arial"/>
                <w:sz w:val="14"/>
                <w:szCs w:val="14"/>
                <w:color w:val="auto"/>
              </w:rPr>
              <w:t>Exercised</w:t>
            </w:r>
          </w:p>
        </w:tc>
        <w:tc>
          <w:tcPr>
            <w:tcW w:w="9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(25,871)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Cancelled and forfeited</w:t>
            </w:r>
          </w:p>
        </w:tc>
        <w:tc>
          <w:tcPr>
            <w:tcW w:w="9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95,488</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(100,459)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107.77</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640" w:type="dxa"/>
            <w:vAlign w:val="bottom"/>
          </w:tcPr>
          <w:p>
            <w:pPr>
              <w:ind w:left="20"/>
              <w:spacing w:after="0"/>
              <w:rPr>
                <w:sz w:val="20"/>
                <w:szCs w:val="20"/>
                <w:color w:val="auto"/>
              </w:rPr>
            </w:pPr>
            <w:r>
              <w:rPr>
                <w:rFonts w:ascii="Arial" w:cs="Arial" w:eastAsia="Arial" w:hAnsi="Arial"/>
                <w:sz w:val="14"/>
                <w:szCs w:val="14"/>
                <w:color w:val="auto"/>
              </w:rPr>
              <w:t>Balance—September 30, 2021</w:t>
            </w:r>
          </w:p>
        </w:tc>
        <w:tc>
          <w:tcPr>
            <w:tcW w:w="92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469,125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color w:val="auto"/>
                <w:w w:val="94"/>
              </w:rPr>
              <w:t>736,095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4"/>
                <w:szCs w:val="14"/>
                <w:color w:val="auto"/>
                <w:w w:val="90"/>
              </w:rPr>
              <w:t>The following table summarizes information about stock options outstanding at September 30, 2021:</w:t>
            </w:r>
          </w:p>
        </w:tc>
        <w:tc>
          <w:tcPr>
            <w:tcW w:w="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6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89"/>
              </w:rPr>
              <w:t>Weighted Average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5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88"/>
              </w:rPr>
              <w:t>Remaining</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3"/>
              </w:rPr>
              <w:t>Contractual Life (In</w:t>
            </w:r>
          </w:p>
        </w:tc>
        <w:tc>
          <w:tcPr>
            <w:tcW w:w="220" w:type="dxa"/>
            <w:vAlign w:val="bottom"/>
          </w:tcPr>
          <w:p>
            <w:pPr>
              <w:spacing w:after="0"/>
              <w:rPr>
                <w:sz w:val="10"/>
                <w:szCs w:val="10"/>
                <w:color w:val="auto"/>
              </w:rPr>
            </w:pPr>
          </w:p>
        </w:tc>
        <w:tc>
          <w:tcPr>
            <w:tcW w:w="1060" w:type="dxa"/>
            <w:vAlign w:val="bottom"/>
            <w:gridSpan w:val="2"/>
          </w:tcPr>
          <w:p>
            <w:pPr>
              <w:jc w:val="right"/>
              <w:ind w:right="142"/>
              <w:spacing w:after="0" w:line="123" w:lineRule="exact"/>
              <w:rPr>
                <w:sz w:val="20"/>
                <w:szCs w:val="20"/>
                <w:color w:val="auto"/>
              </w:rPr>
            </w:pPr>
            <w:r>
              <w:rPr>
                <w:rFonts w:ascii="Arial" w:cs="Arial" w:eastAsia="Arial" w:hAnsi="Arial"/>
                <w:sz w:val="11"/>
                <w:szCs w:val="11"/>
                <w:b w:val="1"/>
                <w:bCs w:val="1"/>
                <w:color w:val="auto"/>
                <w:w w:val="87"/>
              </w:rPr>
              <w:t>Weighted Average</w:t>
            </w:r>
          </w:p>
        </w:tc>
        <w:tc>
          <w:tcPr>
            <w:tcW w:w="100" w:type="dxa"/>
            <w:vAlign w:val="bottom"/>
          </w:tcPr>
          <w:p>
            <w:pPr>
              <w:spacing w:after="0"/>
              <w:rPr>
                <w:sz w:val="10"/>
                <w:szCs w:val="10"/>
                <w:color w:val="auto"/>
              </w:rPr>
            </w:pPr>
          </w:p>
        </w:tc>
        <w:tc>
          <w:tcPr>
            <w:tcW w:w="11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Aggregate Intrinsic</w:t>
            </w:r>
          </w:p>
        </w:tc>
        <w:tc>
          <w:tcPr>
            <w:tcW w:w="0" w:type="dxa"/>
            <w:vAlign w:val="bottom"/>
          </w:tcPr>
          <w:p>
            <w:pPr>
              <w:spacing w:after="0"/>
              <w:rPr>
                <w:sz w:val="1"/>
                <w:szCs w:val="1"/>
                <w:color w:val="auto"/>
              </w:rPr>
            </w:pPr>
          </w:p>
        </w:tc>
      </w:tr>
      <w:tr>
        <w:trPr>
          <w:trHeight w:val="151"/>
        </w:trPr>
        <w:tc>
          <w:tcPr>
            <w:tcW w:w="5640" w:type="dxa"/>
            <w:vAlign w:val="bottom"/>
          </w:tcPr>
          <w:p>
            <w:pPr>
              <w:spacing w:after="0"/>
              <w:rPr>
                <w:sz w:val="13"/>
                <w:szCs w:val="13"/>
                <w:color w:val="auto"/>
              </w:rPr>
            </w:pPr>
          </w:p>
        </w:tc>
        <w:tc>
          <w:tcPr>
            <w:tcW w:w="920" w:type="dxa"/>
            <w:vAlign w:val="bottom"/>
          </w:tcPr>
          <w:p>
            <w:pPr>
              <w:jc w:val="right"/>
              <w:ind w:right="395"/>
              <w:spacing w:after="0"/>
              <w:rPr>
                <w:sz w:val="20"/>
                <w:szCs w:val="20"/>
                <w:color w:val="auto"/>
              </w:rPr>
            </w:pPr>
            <w:r>
              <w:rPr>
                <w:rFonts w:ascii="Arial" w:cs="Arial" w:eastAsia="Arial" w:hAnsi="Arial"/>
                <w:sz w:val="11"/>
                <w:szCs w:val="11"/>
                <w:b w:val="1"/>
                <w:bCs w:val="1"/>
                <w:color w:val="auto"/>
              </w:rPr>
              <w:t>Shares</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89"/>
              </w:rPr>
              <w:t>Years)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jc w:val="right"/>
              <w:ind w:right="242"/>
              <w:spacing w:after="0"/>
              <w:rPr>
                <w:sz w:val="20"/>
                <w:szCs w:val="20"/>
                <w:color w:val="auto"/>
              </w:rPr>
            </w:pPr>
            <w:r>
              <w:rPr>
                <w:rFonts w:ascii="Arial" w:cs="Arial" w:eastAsia="Arial" w:hAnsi="Arial"/>
                <w:sz w:val="11"/>
                <w:szCs w:val="11"/>
                <w:b w:val="1"/>
                <w:bCs w:val="1"/>
                <w:color w:val="auto"/>
                <w:w w:val="95"/>
              </w:rPr>
              <w:t>Exercise Price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240"/>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94"/>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outstanding</w:t>
            </w:r>
          </w:p>
        </w:tc>
        <w:tc>
          <w:tcPr>
            <w:tcW w:w="9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4"/>
                <w:szCs w:val="14"/>
                <w:color w:val="auto"/>
              </w:rPr>
              <w:t>736,095</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4"/>
                <w:szCs w:val="14"/>
                <w:color w:val="auto"/>
              </w:rPr>
              <w:t>8.62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37.47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4,124,738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40" w:type="dxa"/>
            <w:vAlign w:val="bottom"/>
          </w:tcPr>
          <w:p>
            <w:pPr>
              <w:ind w:left="20"/>
              <w:spacing w:after="0"/>
              <w:rPr>
                <w:sz w:val="20"/>
                <w:szCs w:val="20"/>
                <w:color w:val="auto"/>
              </w:rPr>
            </w:pPr>
            <w:r>
              <w:rPr>
                <w:rFonts w:ascii="Arial" w:cs="Arial" w:eastAsia="Arial" w:hAnsi="Arial"/>
                <w:sz w:val="14"/>
                <w:szCs w:val="14"/>
                <w:color w:val="auto"/>
              </w:rPr>
              <w:t>Vested and expected to vest</w:t>
            </w:r>
          </w:p>
        </w:tc>
        <w:tc>
          <w:tcPr>
            <w:tcW w:w="920" w:type="dxa"/>
            <w:vAlign w:val="bottom"/>
          </w:tcPr>
          <w:p>
            <w:pPr>
              <w:jc w:val="right"/>
              <w:ind w:right="135"/>
              <w:spacing w:after="0"/>
              <w:rPr>
                <w:sz w:val="20"/>
                <w:szCs w:val="20"/>
                <w:color w:val="auto"/>
              </w:rPr>
            </w:pPr>
            <w:r>
              <w:rPr>
                <w:rFonts w:ascii="Arial" w:cs="Arial" w:eastAsia="Arial" w:hAnsi="Arial"/>
                <w:sz w:val="14"/>
                <w:szCs w:val="14"/>
                <w:color w:val="auto"/>
              </w:rPr>
              <w:t>735,934</w:t>
            </w:r>
          </w:p>
        </w:tc>
        <w:tc>
          <w:tcPr>
            <w:tcW w:w="1020" w:type="dxa"/>
            <w:vAlign w:val="bottom"/>
          </w:tcPr>
          <w:p>
            <w:pPr>
              <w:jc w:val="right"/>
              <w:ind w:right="17"/>
              <w:spacing w:after="0"/>
              <w:rPr>
                <w:sz w:val="20"/>
                <w:szCs w:val="20"/>
                <w:color w:val="auto"/>
              </w:rPr>
            </w:pPr>
            <w:r>
              <w:rPr>
                <w:rFonts w:ascii="Arial" w:cs="Arial" w:eastAsia="Arial" w:hAnsi="Arial"/>
                <w:sz w:val="14"/>
                <w:szCs w:val="14"/>
                <w:color w:val="auto"/>
              </w:rPr>
              <w:t>8.62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540"/>
              <w:spacing w:after="0"/>
              <w:rPr>
                <w:sz w:val="20"/>
                <w:szCs w:val="20"/>
                <w:color w:val="auto"/>
              </w:rPr>
            </w:pPr>
            <w:r>
              <w:rPr>
                <w:rFonts w:ascii="Arial" w:cs="Arial" w:eastAsia="Arial" w:hAnsi="Arial"/>
                <w:sz w:val="14"/>
                <w:szCs w:val="14"/>
                <w:color w:val="auto"/>
              </w:rPr>
              <w:t>37.48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5"/>
                <w:szCs w:val="15"/>
                <w:color w:val="auto"/>
              </w:rPr>
            </w:pPr>
          </w:p>
        </w:tc>
        <w:tc>
          <w:tcPr>
            <w:tcW w:w="960" w:type="dxa"/>
            <w:vAlign w:val="bottom"/>
          </w:tcPr>
          <w:p>
            <w:pPr>
              <w:jc w:val="right"/>
              <w:ind w:right="15"/>
              <w:spacing w:after="0"/>
              <w:rPr>
                <w:sz w:val="20"/>
                <w:szCs w:val="20"/>
                <w:color w:val="auto"/>
              </w:rPr>
            </w:pPr>
            <w:r>
              <w:rPr>
                <w:rFonts w:ascii="Arial" w:cs="Arial" w:eastAsia="Arial" w:hAnsi="Arial"/>
                <w:sz w:val="14"/>
                <w:szCs w:val="14"/>
                <w:color w:val="auto"/>
              </w:rPr>
              <w:t>4,123,358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Exercisable</w:t>
            </w: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4"/>
                <w:szCs w:val="14"/>
                <w:color w:val="auto"/>
              </w:rPr>
              <w:t>306,998</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4"/>
                <w:szCs w:val="14"/>
                <w:color w:val="auto"/>
              </w:rPr>
              <w:t>8.07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72.78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1,792,906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b w:val="1"/>
          <w:bCs w:val="1"/>
          <w:color w:val="auto"/>
        </w:rPr>
        <w:t>Employee Stock Options</w:t>
      </w:r>
      <w:r>
        <w:rPr>
          <w:rFonts w:ascii="Arial" w:cs="Arial" w:eastAsia="Arial" w:hAnsi="Arial"/>
          <w:sz w:val="14"/>
          <w:szCs w:val="14"/>
          <w:color w:val="auto"/>
        </w:rPr>
        <w:t>—During the nine months ended September 30, 2021, the Company granted employees stock options to purchase 218,034 shares of common stock with a weighted-average grant date fair value of $11.83 per share. As of September 30, 2021, there was total unrecognized compensation costs related to unvested employee stock options of $2,935.0. These costs are expected to be recognized over a weighted-average period of approximately 1.4 years.</w:t>
      </w:r>
    </w:p>
    <w:p>
      <w:pPr>
        <w:spacing w:after="0" w:line="165" w:lineRule="exact"/>
        <w:rPr>
          <w:sz w:val="20"/>
          <w:szCs w:val="20"/>
          <w:color w:val="auto"/>
        </w:rPr>
      </w:pPr>
    </w:p>
    <w:p>
      <w:pPr>
        <w:jc w:val="both"/>
        <w:spacing w:after="0" w:line="345" w:lineRule="auto"/>
        <w:rPr>
          <w:sz w:val="20"/>
          <w:szCs w:val="20"/>
          <w:color w:val="auto"/>
        </w:rPr>
      </w:pPr>
      <w:r>
        <w:rPr>
          <w:rFonts w:ascii="Arial" w:cs="Arial" w:eastAsia="Arial" w:hAnsi="Arial"/>
          <w:sz w:val="12"/>
          <w:szCs w:val="12"/>
          <w:color w:val="auto"/>
        </w:rPr>
        <w:t>The Company estimated the fair value of stock options using the Black-Scholes option pricing valuation model. The fair value of employee stock options is being amortized on the straight-line basis over the requisite service period of the awards. The fair value of employee stock options was estimated using the following assumptions for the nine months ended September 30,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term (in years)</w:t>
            </w:r>
          </w:p>
        </w:tc>
        <w:tc>
          <w:tcPr>
            <w:tcW w:w="4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5.8 - 6.1</w:t>
            </w:r>
          </w:p>
        </w:tc>
      </w:tr>
      <w:tr>
        <w:trPr>
          <w:trHeight w:val="176"/>
        </w:trPr>
        <w:tc>
          <w:tcPr>
            <w:tcW w:w="5340" w:type="dxa"/>
            <w:vAlign w:val="bottom"/>
          </w:tcPr>
          <w:p>
            <w:pPr>
              <w:ind w:left="20"/>
              <w:spacing w:after="0"/>
              <w:rPr>
                <w:sz w:val="20"/>
                <w:szCs w:val="20"/>
                <w:color w:val="auto"/>
              </w:rPr>
            </w:pPr>
            <w:r>
              <w:rPr>
                <w:rFonts w:ascii="Arial" w:cs="Arial" w:eastAsia="Arial" w:hAnsi="Arial"/>
                <w:sz w:val="12"/>
                <w:szCs w:val="12"/>
                <w:color w:val="auto"/>
              </w:rPr>
              <w:t>Expected volatility</w:t>
            </w:r>
          </w:p>
        </w:tc>
        <w:tc>
          <w:tcPr>
            <w:tcW w:w="4740" w:type="dxa"/>
            <w:vAlign w:val="bottom"/>
          </w:tcPr>
          <w:p>
            <w:pPr>
              <w:jc w:val="right"/>
              <w:spacing w:after="0"/>
              <w:rPr>
                <w:sz w:val="20"/>
                <w:szCs w:val="20"/>
                <w:color w:val="auto"/>
              </w:rPr>
            </w:pPr>
            <w:r>
              <w:rPr>
                <w:rFonts w:ascii="Arial" w:cs="Arial" w:eastAsia="Arial" w:hAnsi="Arial"/>
                <w:sz w:val="12"/>
                <w:szCs w:val="12"/>
                <w:color w:val="auto"/>
              </w:rPr>
              <w:t>67% - 68%</w:t>
            </w:r>
          </w:p>
        </w:tc>
      </w:tr>
      <w:tr>
        <w:trPr>
          <w:trHeight w:val="191"/>
        </w:trPr>
        <w:tc>
          <w:tcPr>
            <w:tcW w:w="5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Risk-free interest rate</w:t>
            </w:r>
          </w:p>
        </w:tc>
        <w:tc>
          <w:tcPr>
            <w:tcW w:w="4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 - 1.1%</w:t>
            </w:r>
          </w:p>
        </w:tc>
      </w:tr>
      <w:tr>
        <w:trPr>
          <w:trHeight w:val="169"/>
        </w:trPr>
        <w:tc>
          <w:tcPr>
            <w:tcW w:w="5340" w:type="dxa"/>
            <w:vAlign w:val="bottom"/>
          </w:tcPr>
          <w:p>
            <w:pPr>
              <w:ind w:left="20"/>
              <w:spacing w:after="0"/>
              <w:rPr>
                <w:sz w:val="20"/>
                <w:szCs w:val="20"/>
                <w:color w:val="auto"/>
              </w:rPr>
            </w:pPr>
            <w:r>
              <w:rPr>
                <w:rFonts w:ascii="Arial" w:cs="Arial" w:eastAsia="Arial" w:hAnsi="Arial"/>
                <w:sz w:val="12"/>
                <w:szCs w:val="12"/>
                <w:color w:val="auto"/>
              </w:rPr>
              <w:t>Dividends</w:t>
            </w:r>
          </w:p>
        </w:tc>
        <w:tc>
          <w:tcPr>
            <w:tcW w:w="4740" w:type="dxa"/>
            <w:vAlign w:val="bottom"/>
          </w:tcPr>
          <w:p>
            <w:pPr>
              <w:jc w:val="right"/>
              <w:spacing w:after="0"/>
              <w:rPr>
                <w:sz w:val="20"/>
                <w:szCs w:val="20"/>
                <w:color w:val="auto"/>
              </w:rPr>
            </w:pPr>
            <w:r>
              <w:rPr>
                <w:rFonts w:ascii="Arial" w:cs="Arial" w:eastAsia="Arial" w:hAnsi="Arial"/>
                <w:sz w:val="12"/>
                <w:szCs w:val="12"/>
                <w:color w:val="auto"/>
              </w:rPr>
              <w:t>— %</w:t>
            </w: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47625</wp:posOffset>
            </wp:positionV>
            <wp:extent cx="719137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6" w:right="559" w:bottom="1440" w:gutter="0" w:footer="0" w:header="0"/>
        </w:sectPr>
      </w:pPr>
    </w:p>
    <w:bookmarkStart w:id="20" w:name="page21"/>
    <w:bookmarkEnd w:id="20"/>
    <w:p>
      <w:pPr>
        <w:ind w:left="24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5" w:lineRule="exact"/>
        <w:rPr>
          <w:sz w:val="20"/>
          <w:szCs w:val="20"/>
          <w:color w:val="auto"/>
        </w:rPr>
      </w:pPr>
    </w:p>
    <w:p>
      <w:pPr>
        <w:jc w:val="both"/>
        <w:ind w:left="240" w:right="240"/>
        <w:spacing w:after="0" w:line="261" w:lineRule="auto"/>
        <w:rPr>
          <w:sz w:val="20"/>
          <w:szCs w:val="20"/>
          <w:color w:val="auto"/>
        </w:rPr>
      </w:pPr>
      <w:r>
        <w:rPr>
          <w:rFonts w:ascii="Arial" w:cs="Arial" w:eastAsia="Arial" w:hAnsi="Arial"/>
          <w:sz w:val="14"/>
          <w:szCs w:val="14"/>
          <w:b w:val="1"/>
          <w:bCs w:val="1"/>
          <w:i w:val="1"/>
          <w:iCs w:val="1"/>
          <w:color w:val="auto"/>
        </w:rPr>
        <w:t>Expected Term</w:t>
      </w:r>
      <w:r>
        <w:rPr>
          <w:rFonts w:ascii="Arial" w:cs="Arial" w:eastAsia="Arial" w:hAnsi="Arial"/>
          <w:sz w:val="14"/>
          <w:szCs w:val="14"/>
          <w:color w:val="auto"/>
        </w:rPr>
        <w:t>—The expected term of options granted represents the period of time that the options are expected to be outstanding. Due to the lack of historical exercise history, the expected term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the Company’s employee stock options has been determined utilizing the simplified method for awards that qualify as plain-vanilla options.</w:t>
      </w:r>
    </w:p>
    <w:p>
      <w:pPr>
        <w:spacing w:after="0" w:line="160" w:lineRule="exact"/>
        <w:rPr>
          <w:sz w:val="20"/>
          <w:szCs w:val="20"/>
          <w:color w:val="auto"/>
        </w:rPr>
      </w:pPr>
    </w:p>
    <w:p>
      <w:pPr>
        <w:jc w:val="both"/>
        <w:ind w:left="240" w:right="240"/>
        <w:spacing w:after="0" w:line="252" w:lineRule="auto"/>
        <w:rPr>
          <w:sz w:val="20"/>
          <w:szCs w:val="20"/>
          <w:color w:val="auto"/>
        </w:rPr>
      </w:pPr>
      <w:r>
        <w:rPr>
          <w:rFonts w:ascii="Arial" w:cs="Arial" w:eastAsia="Arial" w:hAnsi="Arial"/>
          <w:sz w:val="14"/>
          <w:szCs w:val="14"/>
          <w:b w:val="1"/>
          <w:bCs w:val="1"/>
          <w:i w:val="1"/>
          <w:iCs w:val="1"/>
          <w:color w:val="auto"/>
        </w:rPr>
        <w:t>Expected Volatility</w:t>
      </w:r>
      <w:r>
        <w:rPr>
          <w:rFonts w:ascii="Arial" w:cs="Arial" w:eastAsia="Arial" w:hAnsi="Arial"/>
          <w:sz w:val="14"/>
          <w:szCs w:val="14"/>
          <w:color w:val="auto"/>
        </w:rPr>
        <w:t>—The expected stock price volatility assumption was determined by examining the historical volatilities for industry peers, as the Company did not have any trading history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Company’s common stock. The Company will continue to analyze the historical stock price volatility and expected term assumption as more historical data for the Company’s common stock becomes available.</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Risk-Free Interest Rate</w:t>
      </w:r>
      <w:r>
        <w:rPr>
          <w:rFonts w:ascii="Arial" w:cs="Arial" w:eastAsia="Arial" w:hAnsi="Arial"/>
          <w:sz w:val="12"/>
          <w:szCs w:val="12"/>
          <w:color w:val="auto"/>
        </w:rPr>
        <w:t>—The risk-free interest rate assumption is based on the U.S. Treasury instruments whose term was consistent with the expected term of the Company’s stock options.</w:t>
      </w:r>
    </w:p>
    <w:p>
      <w:pPr>
        <w:spacing w:after="0" w:line="209" w:lineRule="exact"/>
        <w:rPr>
          <w:sz w:val="20"/>
          <w:szCs w:val="20"/>
          <w:color w:val="auto"/>
        </w:rPr>
      </w:pPr>
    </w:p>
    <w:p>
      <w:pPr>
        <w:jc w:val="both"/>
        <w:ind w:left="240" w:right="240"/>
        <w:spacing w:after="0" w:line="261" w:lineRule="auto"/>
        <w:rPr>
          <w:sz w:val="20"/>
          <w:szCs w:val="20"/>
          <w:color w:val="auto"/>
        </w:rPr>
      </w:pPr>
      <w:r>
        <w:rPr>
          <w:rFonts w:ascii="Arial" w:cs="Arial" w:eastAsia="Arial" w:hAnsi="Arial"/>
          <w:sz w:val="14"/>
          <w:szCs w:val="14"/>
          <w:b w:val="1"/>
          <w:bCs w:val="1"/>
          <w:i w:val="1"/>
          <w:iCs w:val="1"/>
          <w:color w:val="auto"/>
        </w:rPr>
        <w:t>Dividends</w:t>
      </w:r>
      <w:r>
        <w:rPr>
          <w:rFonts w:ascii="Arial" w:cs="Arial" w:eastAsia="Arial" w:hAnsi="Arial"/>
          <w:sz w:val="14"/>
          <w:szCs w:val="14"/>
          <w:color w:val="auto"/>
        </w:rPr>
        <w:t>—The Company has not paid any cash dividends on common stock since inception and does not anticipate paying any dividends in the foreseeable future. Consequently, an expected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dividend yield of zero was used.</w:t>
      </w:r>
    </w:p>
    <w:p>
      <w:pPr>
        <w:spacing w:after="0" w:line="158" w:lineRule="exact"/>
        <w:rPr>
          <w:sz w:val="20"/>
          <w:szCs w:val="20"/>
          <w:color w:val="auto"/>
        </w:rPr>
      </w:pPr>
    </w:p>
    <w:p>
      <w:pPr>
        <w:jc w:val="both"/>
        <w:ind w:left="240" w:right="240"/>
        <w:spacing w:after="0" w:line="254" w:lineRule="auto"/>
        <w:rPr>
          <w:sz w:val="20"/>
          <w:szCs w:val="20"/>
          <w:color w:val="auto"/>
        </w:rPr>
      </w:pPr>
      <w:r>
        <w:rPr>
          <w:rFonts w:ascii="Arial" w:cs="Arial" w:eastAsia="Arial" w:hAnsi="Arial"/>
          <w:sz w:val="14"/>
          <w:szCs w:val="14"/>
          <w:b w:val="1"/>
          <w:bCs w:val="1"/>
          <w:color w:val="auto"/>
        </w:rPr>
        <w:t>Non-Employee Stock Options</w:t>
      </w:r>
      <w:r>
        <w:rPr>
          <w:rFonts w:ascii="Arial" w:cs="Arial" w:eastAsia="Arial" w:hAnsi="Arial"/>
          <w:sz w:val="14"/>
          <w:szCs w:val="14"/>
          <w:color w:val="auto"/>
        </w:rPr>
        <w:t>— During the nine months ended September 30, 2021, the Company granted non-employees stock options to purchase 14,635 shares of common stock with a</w:t>
      </w:r>
      <w:r>
        <w:rPr>
          <w:rFonts w:ascii="Arial" w:cs="Arial" w:eastAsia="Arial" w:hAnsi="Arial"/>
          <w:sz w:val="14"/>
          <w:szCs w:val="14"/>
          <w:b w:val="1"/>
          <w:bCs w:val="1"/>
          <w:color w:val="auto"/>
        </w:rPr>
        <w:t xml:space="preserve"> </w:t>
      </w:r>
      <w:r>
        <w:rPr>
          <w:rFonts w:ascii="Arial" w:cs="Arial" w:eastAsia="Arial" w:hAnsi="Arial"/>
          <w:sz w:val="14"/>
          <w:szCs w:val="14"/>
          <w:color w:val="auto"/>
        </w:rPr>
        <w:t>weighted-average grant date fair value of $8.02 per share. As of September 30, 2021, there was total unrecognized compensation costs related to unvested non-employee stock options of $85.0. These costs are expected to be recognized over a weighted-average period of approximately 1.5 years.</w:t>
      </w:r>
    </w:p>
    <w:p>
      <w:pPr>
        <w:spacing w:after="0" w:line="165" w:lineRule="exact"/>
        <w:rPr>
          <w:sz w:val="20"/>
          <w:szCs w:val="20"/>
          <w:color w:val="auto"/>
        </w:rPr>
      </w:pPr>
    </w:p>
    <w:p>
      <w:pPr>
        <w:jc w:val="both"/>
        <w:ind w:left="240" w:right="240"/>
        <w:spacing w:after="0" w:line="345" w:lineRule="auto"/>
        <w:rPr>
          <w:sz w:val="20"/>
          <w:szCs w:val="20"/>
          <w:color w:val="auto"/>
        </w:rPr>
      </w:pPr>
      <w:r>
        <w:rPr>
          <w:rFonts w:ascii="Arial" w:cs="Arial" w:eastAsia="Arial" w:hAnsi="Arial"/>
          <w:sz w:val="12"/>
          <w:szCs w:val="12"/>
          <w:color w:val="auto"/>
        </w:rPr>
        <w:t>The Company estimated the fair value of stock options using the Black-Scholes option pricing valuation model. The fair value of non-employee stock options is being amortized on the straight-line basis over the requisite service period of the awards. The fair value of non-employee stock options was estimated using the following assumptions for the nine months ended September 30, 2021:</w:t>
      </w:r>
    </w:p>
    <w:p>
      <w:pPr>
        <w:spacing w:after="0" w:line="145"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5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term (in years)</w:t>
            </w:r>
          </w:p>
        </w:tc>
        <w:tc>
          <w:tcPr>
            <w:tcW w:w="4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r>
      <w:tr>
        <w:trPr>
          <w:trHeight w:val="176"/>
        </w:trPr>
        <w:tc>
          <w:tcPr>
            <w:tcW w:w="5300" w:type="dxa"/>
            <w:vAlign w:val="bottom"/>
          </w:tcPr>
          <w:p>
            <w:pPr>
              <w:ind w:left="20"/>
              <w:spacing w:after="0"/>
              <w:rPr>
                <w:sz w:val="20"/>
                <w:szCs w:val="20"/>
                <w:color w:val="auto"/>
              </w:rPr>
            </w:pPr>
            <w:r>
              <w:rPr>
                <w:rFonts w:ascii="Arial" w:cs="Arial" w:eastAsia="Arial" w:hAnsi="Arial"/>
                <w:sz w:val="12"/>
                <w:szCs w:val="12"/>
                <w:color w:val="auto"/>
              </w:rPr>
              <w:t>Expected volatility</w:t>
            </w:r>
          </w:p>
        </w:tc>
        <w:tc>
          <w:tcPr>
            <w:tcW w:w="4660" w:type="dxa"/>
            <w:vAlign w:val="bottom"/>
          </w:tcPr>
          <w:p>
            <w:pPr>
              <w:jc w:val="right"/>
              <w:spacing w:after="0"/>
              <w:rPr>
                <w:sz w:val="20"/>
                <w:szCs w:val="20"/>
                <w:color w:val="auto"/>
              </w:rPr>
            </w:pPr>
            <w:r>
              <w:rPr>
                <w:rFonts w:ascii="Arial" w:cs="Arial" w:eastAsia="Arial" w:hAnsi="Arial"/>
                <w:sz w:val="12"/>
                <w:szCs w:val="12"/>
                <w:color w:val="auto"/>
              </w:rPr>
              <w:t>66% - 67%</w:t>
            </w:r>
          </w:p>
        </w:tc>
      </w:tr>
      <w:tr>
        <w:trPr>
          <w:trHeight w:val="191"/>
        </w:trPr>
        <w:tc>
          <w:tcPr>
            <w:tcW w:w="5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Risk-free interest rate</w:t>
            </w:r>
          </w:p>
        </w:tc>
        <w:tc>
          <w:tcPr>
            <w:tcW w:w="4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1.5 %</w:t>
            </w:r>
          </w:p>
        </w:tc>
      </w:tr>
      <w:tr>
        <w:trPr>
          <w:trHeight w:val="169"/>
        </w:trPr>
        <w:tc>
          <w:tcPr>
            <w:tcW w:w="5300" w:type="dxa"/>
            <w:vAlign w:val="bottom"/>
          </w:tcPr>
          <w:p>
            <w:pPr>
              <w:ind w:left="20"/>
              <w:spacing w:after="0"/>
              <w:rPr>
                <w:sz w:val="20"/>
                <w:szCs w:val="20"/>
                <w:color w:val="auto"/>
              </w:rPr>
            </w:pPr>
            <w:r>
              <w:rPr>
                <w:rFonts w:ascii="Arial" w:cs="Arial" w:eastAsia="Arial" w:hAnsi="Arial"/>
                <w:sz w:val="12"/>
                <w:szCs w:val="12"/>
                <w:color w:val="auto"/>
              </w:rPr>
              <w:t>Dividends</w:t>
            </w:r>
          </w:p>
        </w:tc>
        <w:tc>
          <w:tcPr>
            <w:tcW w:w="4660" w:type="dxa"/>
            <w:vAlign w:val="bottom"/>
          </w:tcPr>
          <w:p>
            <w:pPr>
              <w:jc w:val="right"/>
              <w:spacing w:after="0"/>
              <w:rPr>
                <w:sz w:val="20"/>
                <w:szCs w:val="20"/>
                <w:color w:val="auto"/>
              </w:rPr>
            </w:pPr>
            <w:r>
              <w:rPr>
                <w:rFonts w:ascii="Arial" w:cs="Arial" w:eastAsia="Arial" w:hAnsi="Arial"/>
                <w:sz w:val="12"/>
                <w:szCs w:val="12"/>
                <w:color w:val="auto"/>
              </w:rPr>
              <w:t>— %</w:t>
            </w:r>
          </w:p>
        </w:tc>
      </w:tr>
    </w:tbl>
    <w:p>
      <w:pPr>
        <w:spacing w:after="0" w:line="341" w:lineRule="exact"/>
        <w:rPr>
          <w:sz w:val="20"/>
          <w:szCs w:val="20"/>
          <w:color w:val="auto"/>
        </w:rPr>
      </w:pPr>
    </w:p>
    <w:p>
      <w:pPr>
        <w:jc w:val="both"/>
        <w:ind w:left="240" w:right="240"/>
        <w:spacing w:after="0" w:line="261" w:lineRule="auto"/>
        <w:rPr>
          <w:sz w:val="20"/>
          <w:szCs w:val="20"/>
          <w:color w:val="auto"/>
        </w:rPr>
      </w:pPr>
      <w:r>
        <w:rPr>
          <w:rFonts w:ascii="Arial" w:cs="Arial" w:eastAsia="Arial" w:hAnsi="Arial"/>
          <w:sz w:val="14"/>
          <w:szCs w:val="14"/>
          <w:color w:val="auto"/>
        </w:rPr>
        <w:t>Expected Term—The expected term of options granted represents the period of time that the options are expected to be outstanding. The Company has valued its non-employee stock options using the contractual term as the expected term.</w:t>
      </w:r>
    </w:p>
    <w:p>
      <w:pPr>
        <w:spacing w:after="0" w:line="160" w:lineRule="exact"/>
        <w:rPr>
          <w:sz w:val="20"/>
          <w:szCs w:val="20"/>
          <w:color w:val="auto"/>
        </w:rPr>
      </w:pPr>
    </w:p>
    <w:p>
      <w:pPr>
        <w:jc w:val="both"/>
        <w:ind w:left="240" w:right="240"/>
        <w:spacing w:after="0" w:line="252" w:lineRule="auto"/>
        <w:rPr>
          <w:sz w:val="20"/>
          <w:szCs w:val="20"/>
          <w:color w:val="auto"/>
        </w:rPr>
      </w:pPr>
      <w:r>
        <w:rPr>
          <w:rFonts w:ascii="Arial" w:cs="Arial" w:eastAsia="Arial" w:hAnsi="Arial"/>
          <w:sz w:val="14"/>
          <w:szCs w:val="14"/>
          <w:color w:val="auto"/>
        </w:rPr>
        <w:t>Expected Volatility—The expected stock price volatility assumption was determined by examining the historical volatilities for industry peers, as the 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Risk-Free Interest Rate—The risk-free interest rate assumption is based on the U.S. Treasury instruments whose term was consistent with the expected term of the Company’s stock options.</w:t>
      </w:r>
    </w:p>
    <w:p>
      <w:pPr>
        <w:spacing w:after="0" w:line="209" w:lineRule="exact"/>
        <w:rPr>
          <w:sz w:val="20"/>
          <w:szCs w:val="20"/>
          <w:color w:val="auto"/>
        </w:rPr>
      </w:pPr>
    </w:p>
    <w:p>
      <w:pPr>
        <w:jc w:val="both"/>
        <w:ind w:left="240" w:right="240"/>
        <w:spacing w:after="0" w:line="261" w:lineRule="auto"/>
        <w:rPr>
          <w:sz w:val="20"/>
          <w:szCs w:val="20"/>
          <w:color w:val="auto"/>
        </w:rPr>
      </w:pPr>
      <w:r>
        <w:rPr>
          <w:rFonts w:ascii="Arial" w:cs="Arial" w:eastAsia="Arial" w:hAnsi="Arial"/>
          <w:sz w:val="14"/>
          <w:szCs w:val="14"/>
          <w:color w:val="auto"/>
        </w:rPr>
        <w:t>Dividends—The Company has not paid any cash dividends on common stock since inception and does not anticipate paying any dividends in the foreseeable future. Consequently, an expected dividend yield of zero was used.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Stock-Based Compensation Expense</w:t>
      </w:r>
      <w:r>
        <w:rPr>
          <w:rFonts w:ascii="Arial" w:cs="Arial" w:eastAsia="Arial" w:hAnsi="Arial"/>
          <w:sz w:val="14"/>
          <w:szCs w:val="14"/>
          <w:color w:val="auto"/>
        </w:rPr>
        <w:t>—The following table summarizes the components of stock-based compensation expense recognized in the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Company’s statement of operations and comprehensive loss for the three and nine months ended September 30, 2021 :</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5"/>
          </w:tcPr>
          <w:p>
            <w:pPr>
              <w:spacing w:after="0"/>
              <w:rPr>
                <w:sz w:val="20"/>
                <w:szCs w:val="20"/>
                <w:color w:val="auto"/>
              </w:rPr>
            </w:pPr>
            <w:r>
              <w:rPr>
                <w:rFonts w:ascii="Arial" w:cs="Arial" w:eastAsia="Arial" w:hAnsi="Arial"/>
                <w:sz w:val="11"/>
                <w:szCs w:val="11"/>
                <w:b w:val="1"/>
                <w:bCs w:val="1"/>
                <w:color w:val="auto"/>
                <w:w w:val="97"/>
              </w:rPr>
              <w:t>Three Months Ended September 30,</w:t>
            </w:r>
          </w:p>
        </w:tc>
        <w:tc>
          <w:tcPr>
            <w:tcW w:w="140" w:type="dxa"/>
            <w:vAlign w:val="bottom"/>
          </w:tcPr>
          <w:p>
            <w:pPr>
              <w:spacing w:after="0"/>
              <w:rPr>
                <w:sz w:val="13"/>
                <w:szCs w:val="13"/>
                <w:color w:val="auto"/>
              </w:rPr>
            </w:pPr>
          </w:p>
        </w:tc>
        <w:tc>
          <w:tcPr>
            <w:tcW w:w="3320" w:type="dxa"/>
            <w:vAlign w:val="bottom"/>
            <w:gridSpan w:val="5"/>
          </w:tcPr>
          <w:p>
            <w:pPr>
              <w:jc w:val="center"/>
              <w:ind w:right="1540"/>
              <w:spacing w:after="0"/>
              <w:rPr>
                <w:sz w:val="20"/>
                <w:szCs w:val="20"/>
                <w:color w:val="auto"/>
              </w:rPr>
            </w:pPr>
            <w:r>
              <w:rPr>
                <w:rFonts w:ascii="Arial" w:cs="Arial" w:eastAsia="Arial" w:hAnsi="Arial"/>
                <w:sz w:val="11"/>
                <w:szCs w:val="11"/>
                <w:b w:val="1"/>
                <w:bCs w:val="1"/>
                <w:color w:val="auto"/>
                <w:w w:val="89"/>
              </w:rPr>
              <w:t>Nine Months Ended September 30,</w:t>
            </w:r>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55"/>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37"/>
              <w:spacing w:after="0"/>
              <w:rPr>
                <w:sz w:val="20"/>
                <w:szCs w:val="20"/>
                <w:color w:val="auto"/>
              </w:rPr>
            </w:pPr>
            <w:r>
              <w:rPr>
                <w:rFonts w:ascii="Arial" w:cs="Arial" w:eastAsia="Arial" w:hAnsi="Arial"/>
                <w:sz w:val="11"/>
                <w:szCs w:val="11"/>
                <w:b w:val="1"/>
                <w:bCs w:val="1"/>
                <w:color w:val="auto"/>
              </w:rPr>
              <w:t>2021</w:t>
            </w: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35"/>
              <w:spacing w:after="0"/>
              <w:rPr>
                <w:sz w:val="20"/>
                <w:szCs w:val="20"/>
                <w:color w:val="auto"/>
              </w:rPr>
            </w:pPr>
            <w:r>
              <w:rPr>
                <w:rFonts w:ascii="Arial" w:cs="Arial" w:eastAsia="Arial" w:hAnsi="Arial"/>
                <w:sz w:val="11"/>
                <w:szCs w:val="11"/>
                <w:b w:val="1"/>
                <w:bCs w:val="1"/>
                <w:color w:val="auto"/>
              </w:rPr>
              <w:t>2020</w:t>
            </w: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center"/>
              <w:ind w:right="272"/>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4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right="27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112"/>
              <w:spacing w:after="0"/>
              <w:rPr>
                <w:sz w:val="20"/>
                <w:szCs w:val="20"/>
                <w:color w:val="auto"/>
              </w:rPr>
            </w:pPr>
            <w:r>
              <w:rPr>
                <w:rFonts w:ascii="Arial" w:cs="Arial" w:eastAsia="Arial" w:hAnsi="Arial"/>
                <w:sz w:val="14"/>
                <w:szCs w:val="14"/>
                <w:color w:val="auto"/>
              </w:rPr>
              <w:t>21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40" w:type="dxa"/>
            <w:vAlign w:val="bottom"/>
            <w:tcBorders>
              <w:bottom w:val="single" w:sz="8" w:color="9A9A9A"/>
            </w:tcBorders>
          </w:tcPr>
          <w:p>
            <w:pPr>
              <w:spacing w:after="0"/>
              <w:rPr>
                <w:sz w:val="7"/>
                <w:szCs w:val="7"/>
                <w:color w:val="auto"/>
              </w:rPr>
            </w:pPr>
          </w:p>
        </w:tc>
        <w:tc>
          <w:tcPr>
            <w:tcW w:w="342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-24765</wp:posOffset>
            </wp:positionV>
            <wp:extent cx="3175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-24765</wp:posOffset>
            </wp:positionV>
            <wp:extent cx="3175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1" w:name="page22"/>
    <w:bookmarkEnd w:id="2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RETIREMENT PLAN</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There was no contribution from the Company for the nine months ended September 30, 2021 and 2020.</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NET LOSS PER SHARE</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following table sets forth the computation of the Company’s basis in diluted net loss per share for the three and nine months ended September 30, 2021 and 2020 (in thousands except share and per share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5"/>
          </w:tcPr>
          <w:p>
            <w:pPr>
              <w:ind w:left="80"/>
              <w:spacing w:after="0"/>
              <w:rPr>
                <w:sz w:val="20"/>
                <w:szCs w:val="20"/>
                <w:color w:val="auto"/>
              </w:rPr>
            </w:pPr>
            <w:r>
              <w:rPr>
                <w:rFonts w:ascii="Arial" w:cs="Arial" w:eastAsia="Arial" w:hAnsi="Arial"/>
                <w:sz w:val="11"/>
                <w:szCs w:val="11"/>
                <w:b w:val="1"/>
                <w:bCs w:val="1"/>
                <w:color w:val="auto"/>
              </w:rPr>
              <w:t>Three Months Ended September 30,</w:t>
            </w:r>
          </w:p>
        </w:tc>
        <w:tc>
          <w:tcPr>
            <w:tcW w:w="160" w:type="dxa"/>
            <w:vAlign w:val="bottom"/>
          </w:tcPr>
          <w:p>
            <w:pPr>
              <w:spacing w:after="0"/>
              <w:rPr>
                <w:sz w:val="13"/>
                <w:szCs w:val="13"/>
                <w:color w:val="auto"/>
              </w:rPr>
            </w:pPr>
          </w:p>
        </w:tc>
        <w:tc>
          <w:tcPr>
            <w:tcW w:w="1960" w:type="dxa"/>
            <w:vAlign w:val="bottom"/>
            <w:gridSpan w:val="4"/>
          </w:tcPr>
          <w:p>
            <w:pPr>
              <w:jc w:val="right"/>
              <w:ind w:right="174"/>
              <w:spacing w:after="0"/>
              <w:rPr>
                <w:sz w:val="20"/>
                <w:szCs w:val="20"/>
                <w:color w:val="auto"/>
              </w:rPr>
            </w:pPr>
            <w:r>
              <w:rPr>
                <w:rFonts w:ascii="Arial" w:cs="Arial" w:eastAsia="Arial" w:hAnsi="Arial"/>
                <w:sz w:val="11"/>
                <w:szCs w:val="11"/>
                <w:b w:val="1"/>
                <w:bCs w:val="1"/>
                <w:color w:val="auto"/>
                <w:w w:val="93"/>
              </w:rPr>
              <w:t>Nine Months Ended September 30,</w:t>
            </w:r>
          </w:p>
        </w:tc>
      </w:tr>
      <w:tr>
        <w:trPr>
          <w:trHeight w:val="204"/>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1"/>
                <w:szCs w:val="11"/>
                <w:b w:val="1"/>
                <w:bCs w:val="1"/>
                <w:color w:val="auto"/>
              </w:rPr>
              <w:t>2021</w:t>
            </w: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1"/>
                <w:szCs w:val="11"/>
                <w:b w:val="1"/>
                <w:bCs w:val="1"/>
                <w:color w:val="auto"/>
              </w:rPr>
              <w:t>2020</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1"/>
                <w:szCs w:val="11"/>
                <w:b w:val="1"/>
                <w:bCs w:val="1"/>
                <w:color w:val="auto"/>
              </w:rPr>
              <w:t>2021</w:t>
            </w:r>
          </w:p>
        </w:tc>
        <w:tc>
          <w:tcPr>
            <w:tcW w:w="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1"/>
                <w:szCs w:val="11"/>
                <w:b w:val="1"/>
                <w:bCs w:val="1"/>
                <w:color w:val="auto"/>
              </w:rPr>
              <w:t>2020</w:t>
            </w: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(8,110)</w:t>
            </w:r>
          </w:p>
        </w:tc>
        <w:tc>
          <w:tcPr>
            <w:tcW w:w="140" w:type="dxa"/>
            <w:vAlign w:val="bottom"/>
          </w:tcPr>
          <w:p>
            <w:pPr>
              <w:spacing w:after="0"/>
              <w:rPr>
                <w:sz w:val="15"/>
                <w:szCs w:val="15"/>
                <w:color w:val="auto"/>
              </w:rPr>
            </w:pP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(5,431)</w:t>
            </w:r>
          </w:p>
        </w:tc>
        <w:tc>
          <w:tcPr>
            <w:tcW w:w="14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(20,523)</w:t>
            </w:r>
          </w:p>
        </w:tc>
        <w:tc>
          <w:tcPr>
            <w:tcW w:w="160" w:type="dxa"/>
            <w:vAlign w:val="bottom"/>
          </w:tcPr>
          <w:p>
            <w:pPr>
              <w:spacing w:after="0"/>
              <w:rPr>
                <w:sz w:val="15"/>
                <w:szCs w:val="15"/>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(14,888)</w:t>
            </w:r>
          </w:p>
        </w:tc>
      </w:tr>
      <w:tr>
        <w:trPr>
          <w:trHeight w:val="21"/>
        </w:trPr>
        <w:tc>
          <w:tcPr>
            <w:tcW w:w="5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Weighted-average common shares outstanding</w:t>
            </w:r>
          </w:p>
        </w:tc>
        <w:tc>
          <w:tcPr>
            <w:tcW w:w="140" w:type="dxa"/>
            <w:vAlign w:val="bottom"/>
          </w:tcPr>
          <w:p>
            <w:pPr>
              <w:spacing w:after="0"/>
              <w:rPr>
                <w:sz w:val="15"/>
                <w:szCs w:val="15"/>
                <w:color w:val="auto"/>
              </w:rPr>
            </w:pPr>
          </w:p>
        </w:tc>
        <w:tc>
          <w:tcPr>
            <w:tcW w:w="840" w:type="dxa"/>
            <w:vAlign w:val="bottom"/>
          </w:tcPr>
          <w:p>
            <w:pPr>
              <w:ind w:left="240"/>
              <w:spacing w:after="0"/>
              <w:rPr>
                <w:sz w:val="20"/>
                <w:szCs w:val="20"/>
                <w:color w:val="auto"/>
              </w:rPr>
            </w:pPr>
            <w:r>
              <w:rPr>
                <w:rFonts w:ascii="Arial" w:cs="Arial" w:eastAsia="Arial" w:hAnsi="Arial"/>
                <w:sz w:val="14"/>
                <w:szCs w:val="14"/>
                <w:color w:val="auto"/>
                <w:w w:val="93"/>
              </w:rPr>
              <w:t>6,721,400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521,408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4"/>
                <w:szCs w:val="14"/>
                <w:color w:val="auto"/>
                <w:w w:val="93"/>
              </w:rPr>
              <w:t>2,751,519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519,047</w:t>
            </w:r>
          </w:p>
        </w:tc>
      </w:tr>
      <w:tr>
        <w:trPr>
          <w:trHeight w:val="21"/>
        </w:trPr>
        <w:tc>
          <w:tcPr>
            <w:tcW w:w="5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Weighted-average unvested restricted shares and shares subject to repurchase</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(3,745)</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(37,323)</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(11,917)</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(52,552)</w:t>
            </w:r>
          </w:p>
        </w:tc>
      </w:tr>
      <w:tr>
        <w:trPr>
          <w:trHeight w:val="194"/>
        </w:trPr>
        <w:tc>
          <w:tcPr>
            <w:tcW w:w="5500" w:type="dxa"/>
            <w:vAlign w:val="bottom"/>
          </w:tcPr>
          <w:p>
            <w:pPr>
              <w:ind w:left="20"/>
              <w:spacing w:after="0"/>
              <w:rPr>
                <w:sz w:val="20"/>
                <w:szCs w:val="20"/>
                <w:color w:val="auto"/>
              </w:rPr>
            </w:pPr>
            <w:r>
              <w:rPr>
                <w:rFonts w:ascii="Arial" w:cs="Arial" w:eastAsia="Arial" w:hAnsi="Arial"/>
                <w:sz w:val="14"/>
                <w:szCs w:val="14"/>
                <w:color w:val="auto"/>
              </w:rPr>
              <w:t>Weighted-average shares used to computing basic and diluted net loss per share</w:t>
            </w: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color w:val="auto"/>
                <w:w w:val="93"/>
              </w:rPr>
              <w:t>6,717,655</w:t>
            </w:r>
          </w:p>
        </w:tc>
        <w:tc>
          <w:tcPr>
            <w:tcW w:w="1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484,085</w:t>
            </w: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color w:val="auto"/>
                <w:w w:val="93"/>
              </w:rPr>
              <w:t>2,739,602</w:t>
            </w:r>
          </w:p>
        </w:tc>
        <w:tc>
          <w:tcPr>
            <w:tcW w:w="16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466,495</w:t>
            </w: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3"/>
        </w:trPr>
        <w:tc>
          <w:tcPr>
            <w:tcW w:w="5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2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per share attributable to common stockholders—basic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(11.22)</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(7.49)</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(31.91)</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spacing w:after="0" w:line="314" w:lineRule="auto"/>
        <w:rPr>
          <w:sz w:val="20"/>
          <w:szCs w:val="20"/>
          <w:color w:val="auto"/>
        </w:rPr>
      </w:pPr>
      <w:r>
        <w:rPr>
          <w:rFonts w:ascii="Arial" w:cs="Arial" w:eastAsia="Arial" w:hAnsi="Arial"/>
          <w:sz w:val="12"/>
          <w:szCs w:val="12"/>
          <w:color w:val="auto"/>
        </w:rPr>
        <w:t>As of September 30, 2021 and 2020, the Company’s potentially dilutive securities included unvested stock warrants and stock options, which have been excluded from the computation of diluted net loss per share attributable to common stockholders as the effect would be anti-dilutive. Based on the amounts outstanding as of September 30, 2021 and 2020, the Company excluded the following potential common shares from the computation of diluted net loss per share attributable to common stockholders because including them would have had an anti-dilutive effect: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060" w:type="dxa"/>
            <w:vAlign w:val="bottom"/>
          </w:tcPr>
          <w:p>
            <w:pPr>
              <w:spacing w:after="0"/>
              <w:rPr>
                <w:sz w:val="13"/>
                <w:szCs w:val="13"/>
                <w:color w:val="auto"/>
              </w:rPr>
            </w:pPr>
          </w:p>
        </w:tc>
        <w:tc>
          <w:tcPr>
            <w:tcW w:w="1360" w:type="dxa"/>
            <w:vAlign w:val="bottom"/>
            <w:gridSpan w:val="2"/>
          </w:tcPr>
          <w:p>
            <w:pPr>
              <w:ind w:left="180"/>
              <w:spacing w:after="0"/>
              <w:rPr>
                <w:sz w:val="20"/>
                <w:szCs w:val="20"/>
                <w:color w:val="auto"/>
              </w:rPr>
            </w:pPr>
            <w:r>
              <w:rPr>
                <w:rFonts w:ascii="Arial" w:cs="Arial" w:eastAsia="Arial" w:hAnsi="Arial"/>
                <w:sz w:val="11"/>
                <w:szCs w:val="11"/>
                <w:b w:val="1"/>
                <w:bCs w:val="1"/>
                <w:color w:val="auto"/>
              </w:rPr>
              <w:t>September 30, 2021</w:t>
            </w:r>
          </w:p>
        </w:tc>
        <w:tc>
          <w:tcPr>
            <w:tcW w:w="1260" w:type="dxa"/>
            <w:vAlign w:val="bottom"/>
          </w:tcPr>
          <w:p>
            <w:pPr>
              <w:jc w:val="right"/>
              <w:ind w:right="114"/>
              <w:spacing w:after="0"/>
              <w:rPr>
                <w:sz w:val="20"/>
                <w:szCs w:val="20"/>
                <w:color w:val="auto"/>
              </w:rPr>
            </w:pPr>
            <w:r>
              <w:rPr>
                <w:rFonts w:ascii="Arial" w:cs="Arial" w:eastAsia="Arial" w:hAnsi="Arial"/>
                <w:sz w:val="11"/>
                <w:szCs w:val="11"/>
                <w:b w:val="1"/>
                <w:bCs w:val="1"/>
                <w:color w:val="auto"/>
              </w:rPr>
              <w:t>September 30, 2020</w:t>
            </w:r>
          </w:p>
        </w:tc>
      </w:tr>
      <w:tr>
        <w:trPr>
          <w:trHeight w:val="184"/>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to purchase common stock</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736,095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384,275</w:t>
            </w:r>
          </w:p>
        </w:tc>
      </w:tr>
      <w:tr>
        <w:trPr>
          <w:trHeight w:val="183"/>
        </w:trPr>
        <w:tc>
          <w:tcPr>
            <w:tcW w:w="7060" w:type="dxa"/>
            <w:vAlign w:val="bottom"/>
          </w:tcPr>
          <w:p>
            <w:pPr>
              <w:ind w:left="20"/>
              <w:spacing w:after="0"/>
              <w:rPr>
                <w:sz w:val="20"/>
                <w:szCs w:val="20"/>
                <w:color w:val="auto"/>
              </w:rPr>
            </w:pPr>
            <w:r>
              <w:rPr>
                <w:rFonts w:ascii="Arial" w:cs="Arial" w:eastAsia="Arial" w:hAnsi="Arial"/>
                <w:sz w:val="14"/>
                <w:szCs w:val="14"/>
                <w:color w:val="auto"/>
              </w:rPr>
              <w:t>Redeemable convertible preferred stock</w:t>
            </w: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3,692,909</w:t>
            </w:r>
          </w:p>
        </w:tc>
      </w:tr>
      <w:tr>
        <w:trPr>
          <w:trHeight w:val="21"/>
        </w:trPr>
        <w:tc>
          <w:tcPr>
            <w:tcW w:w="7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restricted common stock</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w:t>
            </w:r>
          </w:p>
        </w:tc>
      </w:tr>
      <w:tr>
        <w:trPr>
          <w:trHeight w:val="183"/>
        </w:trPr>
        <w:tc>
          <w:tcPr>
            <w:tcW w:w="706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280" w:type="dxa"/>
            <w:vAlign w:val="bottom"/>
          </w:tcPr>
          <w:p>
            <w:pPr>
              <w:jc w:val="right"/>
              <w:spacing w:after="0"/>
              <w:rPr>
                <w:sz w:val="20"/>
                <w:szCs w:val="20"/>
                <w:color w:val="auto"/>
              </w:rPr>
            </w:pPr>
            <w:r>
              <w:rPr>
                <w:rFonts w:ascii="Arial" w:cs="Arial" w:eastAsia="Arial" w:hAnsi="Arial"/>
                <w:sz w:val="14"/>
                <w:szCs w:val="14"/>
                <w:color w:val="auto"/>
              </w:rPr>
              <w:t>6,036</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70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9"/>
        </w:trPr>
        <w:tc>
          <w:tcPr>
            <w:tcW w:w="70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742,131</w:t>
            </w:r>
          </w:p>
        </w:tc>
        <w:tc>
          <w:tcPr>
            <w:tcW w:w="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4,077,577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SUBSEQUENT EVENTS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There were no subsequent events through the filing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47625</wp:posOffset>
            </wp:positionV>
            <wp:extent cx="719137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0800"/>
          </w:cols>
          <w:pgMar w:left="540" w:top="316" w:right="55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7"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 xml:space="preserve">Item 2. </w:t>
      </w:r>
      <w:r>
        <w:rPr>
          <w:rFonts w:ascii="Arial" w:cs="Arial" w:eastAsia="Arial" w:hAnsi="Arial"/>
          <w:sz w:val="14"/>
          <w:szCs w:val="14"/>
          <w:b w:val="1"/>
          <w:bCs w:val="1"/>
          <w:i w:val="1"/>
          <w:iCs w:val="1"/>
          <w:color w:val="auto"/>
        </w:rPr>
        <w:t>Management’s Discussion and Analysis of Financial Condition and Results of Operations</w:t>
      </w:r>
    </w:p>
    <w:p>
      <w:pPr>
        <w:spacing w:after="0" w:line="188" w:lineRule="exact"/>
        <w:rPr>
          <w:sz w:val="20"/>
          <w:szCs w:val="20"/>
          <w:color w:val="auto"/>
        </w:rPr>
      </w:pPr>
    </w:p>
    <w:p>
      <w:pPr>
        <w:jc w:val="both"/>
        <w:ind w:left="240"/>
        <w:spacing w:after="0" w:line="248" w:lineRule="auto"/>
        <w:rPr>
          <w:sz w:val="20"/>
          <w:szCs w:val="20"/>
          <w:color w:val="auto"/>
        </w:rPr>
      </w:pPr>
      <w:r>
        <w:rPr>
          <w:rFonts w:ascii="Arial" w:cs="Arial" w:eastAsia="Arial" w:hAnsi="Arial"/>
          <w:sz w:val="14"/>
          <w:szCs w:val="14"/>
          <w:i w:val="1"/>
          <w:iCs w:val="1"/>
          <w:color w:val="auto"/>
        </w:rPr>
        <w:t>You should read the following discussion of our financial condition and results of operations in conjunction with our unaudited Interim Financial Statements and the notes thereto included elsewhere in this Quarterly Report on Form 10-Q. This discussion and other parts of this report contains forward-looking statements that involve risks and uncertainties, such as its plans, objectives, expectations, intentions, and beliefs,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 of this report entitled “Risk Factors,” under Part II, Item 1A of this report and those discussed in our other disclosures and filings.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Overview</w:t>
      </w:r>
    </w:p>
    <w:p>
      <w:pPr>
        <w:spacing w:after="0" w:line="188" w:lineRule="exact"/>
        <w:rPr>
          <w:sz w:val="20"/>
          <w:szCs w:val="20"/>
          <w:color w:val="auto"/>
        </w:rPr>
      </w:pPr>
    </w:p>
    <w:p>
      <w:pPr>
        <w:jc w:val="both"/>
        <w:ind w:left="240"/>
        <w:spacing w:after="0" w:line="246" w:lineRule="auto"/>
        <w:rPr>
          <w:sz w:val="20"/>
          <w:szCs w:val="20"/>
          <w:color w:val="auto"/>
        </w:rPr>
      </w:pPr>
      <w:r>
        <w:rPr>
          <w:rFonts w:ascii="Arial" w:cs="Arial" w:eastAsia="Arial" w:hAnsi="Arial"/>
          <w:sz w:val="14"/>
          <w:szCs w:val="14"/>
          <w:color w:val="auto"/>
        </w:rPr>
        <w:t>We are a clinical-stage oncology company focused on leveraging a deep scientific understanding of cancer biology and medicinal chemistry to develop and advance novel, orally available therapies for the treatment of solid tumors. Our philosophy is to build a company based upon not only creative science and thoughtful management, but also upon the efficient translation of those ideas into therapies that will improve patient’s lives. To this end, we currently are advancing three programs, TPST-1495, TPST-1120 and a TREX-1 antagonist. TPST-1495 is a dual antagonist of the EP2 and EP4 prostaglandin E2 receptors, and, to our knowledge, is the only such dual antagonist in clinical development. TPST-1495 is currently in a Phase 1 trial in solid tumors. Our second clinical program, TPST-1120, is a selective antagonist of peroxisome proliferator-activated receptor alpha, or PPARα, and is also in a Phase 1 trial in solid tumors. Similar to TPST-1495, we believe TPST-1120 is the only PPARα antagonist in clinical development. We also have a third program in preclinical studies that could be the first to target TREX-1, a cellular enzyme that regulates the innate immune response in tumors.</w:t>
      </w:r>
    </w:p>
    <w:p>
      <w:pPr>
        <w:spacing w:after="0" w:line="172"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We have no products approved for commercial sale and have not generated any revenue from product sales. From inception to September 30, 2021, we have raised $148.7 million, through sales of common stock, convertible preferred stock and issuance of debt.</w:t>
      </w:r>
    </w:p>
    <w:p>
      <w:pPr>
        <w:spacing w:after="0" w:line="160"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We have never been profitable and has incurred operating losses in each period since inception. Our net losses were $20.5 million and $14.9 million for the nine months ended September 30, 2021 and 2020, respectively. As of September 30, 2021, we had an accumulated deficit of $92.3 million. Substantially all of the operating losses resulted from expenses incurred in connection with our research and development programs and from general and administrative costs associated with our operations.</w:t>
      </w:r>
    </w:p>
    <w:p>
      <w:pPr>
        <w:spacing w:after="0" w:line="167"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color w:val="auto"/>
        </w:rPr>
        <w:t>We expect to incur significant expenses and increasing operating losses for at least the next several years as we initiate and continue the clinical development of, and seek regulatory approval for, our product candidates and add personnel necessary to advance our pipeline of clinical-stage product candidates. In addition, operating as a publicly traded company will involve the hiring of additional financial and other personnel, upgrading our financial information and other systems, and incurring substantial costs associated with operating as a public company. We expect our operating losses will fluctuate significantly from quarter to quarter and year to year due to timing of clinical development programs and efforts to achieve regulatory approval.</w:t>
      </w:r>
    </w:p>
    <w:p>
      <w:pPr>
        <w:spacing w:after="0" w:line="138"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As of September 30, 2021, we had cash and cash equivalents of $59.7 million. Our ability to fund continued development will require additional capital, and we intend to raise such capital through the issuance of additional debt or equity including in connection with potential merger opportunities, or through business development activities. Our ability to continue as a going concern is dependent upon our ability to successfully accomplish these plans and secure sources of financing and ultimately attain profitable operations. If we are unable to obtain adequate capital, we could be forced to cease operations.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Recent Developments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Oxford Loan and Security Agreement</w:t>
      </w:r>
    </w:p>
    <w:p>
      <w:pPr>
        <w:spacing w:after="0" w:line="186"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color w:val="auto"/>
        </w:rPr>
        <w:t>On January 15, 2021, we entered into a loan and security agreement with Oxford Finance LLC (“Oxford”) to borrow a term loan amount of $35.0 million to be funded in three tranches. Tranche A of $15.0 million was funded to us on January 15, 2021. Tranche B of $10.0 million will be available through March 31, 2022 contingent upon achievement of each of the following: i) receipt of at least $50.0 million in Series C equity capital, ii) initiation of the Phase 1 combination study of TPST-1495 or monotherapy expansion study, and iii) initiation of Phase 2 trial of TPST-1120 or the 1L Triplet Collaboration study. Tranche C of $10.0 million is available at Oxford’s option. The term loan matures on August 1, 2025 and has an</w:t>
      </w:r>
    </w:p>
    <w:p>
      <w:pPr>
        <w:spacing w:after="0" w:line="281"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annual floating interest rate of 7.15% which is an index rate plus 7%. The index rate is the greater of (i) 30-day US LIBOR or (ii) 0.15%.</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Merger Agreement</w:t>
      </w:r>
    </w:p>
    <w:p>
      <w:pPr>
        <w:spacing w:after="0" w:line="186"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On March 29, 2021, TempestTx, Inc. (“Private Tempest”) and Millendo Therapeutics, Inc. (“Millendo”) entered into an Agreement and Plan of Merger (the Merger Agreement). Concurrent with the execution and delivery of the Merger Agreement, Private Tempest entered into funding agreements with certain investors named therein, pursuant to which the investors agreed to purchase, in the aggregate, $30.0 million of common stock of Private Tempest, convertible into securities of Millendo.</w:t>
      </w:r>
    </w:p>
    <w:p>
      <w:pPr>
        <w:spacing w:after="0" w:line="167"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On June 25, 2021, Private Tempest closed the merger with Millendo. Pursuant to the Merger Agreement, Mars Merger Corp. (“Merger Sub”), a direct, wholly owned subsidiary of Millendo merged with and into Private Tempest, with Private Tempest surviving as a wholly owned subsidiary of Millendo. Following the closing of the merger, Millendo changed its corporate name to Tempest Therapeutics, Inc.</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Financial Operations Overview</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Research and Development Expense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Research and development expenses represent costs incurred to conduct research and development, such as the development of our product candidates.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recognize all research and development costs as they are incurred. Research and development expenses consist primarily of the following:</w:t>
      </w:r>
    </w:p>
    <w:p>
      <w:pPr>
        <w:spacing w:after="0" w:line="186" w:lineRule="exact"/>
        <w:rPr>
          <w:sz w:val="20"/>
          <w:szCs w:val="20"/>
          <w:color w:val="auto"/>
        </w:rPr>
      </w:pPr>
    </w:p>
    <w:p>
      <w:pPr>
        <w:ind w:left="980" w:hanging="243"/>
        <w:spacing w:after="0"/>
        <w:tabs>
          <w:tab w:leader="none" w:pos="980" w:val="left"/>
        </w:tabs>
        <w:numPr>
          <w:ilvl w:val="0"/>
          <w:numId w:val="8"/>
        </w:numPr>
        <w:rPr>
          <w:rFonts w:ascii="Arial" w:cs="Arial" w:eastAsia="Arial" w:hAnsi="Arial"/>
          <w:sz w:val="14"/>
          <w:szCs w:val="14"/>
          <w:color w:val="auto"/>
        </w:rPr>
      </w:pPr>
      <w:r>
        <w:rPr>
          <w:rFonts w:ascii="Arial" w:cs="Arial" w:eastAsia="Arial" w:hAnsi="Arial"/>
          <w:sz w:val="14"/>
          <w:szCs w:val="14"/>
          <w:color w:val="auto"/>
        </w:rPr>
        <w:t>Salaries, benefits and stock-based compensation;</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8"/>
        </w:numPr>
        <w:rPr>
          <w:rFonts w:ascii="Arial" w:cs="Arial" w:eastAsia="Arial" w:hAnsi="Arial"/>
          <w:sz w:val="14"/>
          <w:szCs w:val="14"/>
          <w:color w:val="auto"/>
        </w:rPr>
      </w:pPr>
      <w:r>
        <w:rPr>
          <w:rFonts w:ascii="Arial" w:cs="Arial" w:eastAsia="Arial" w:hAnsi="Arial"/>
          <w:sz w:val="14"/>
          <w:szCs w:val="14"/>
          <w:color w:val="auto"/>
        </w:rPr>
        <w:t>licensing costs;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allocated occupancy;</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materials and supplies;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contracted research and manufacturing;</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consulting arrangements; and</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8"/>
        </w:numPr>
        <w:rPr>
          <w:rFonts w:ascii="Arial" w:cs="Arial" w:eastAsia="Arial" w:hAnsi="Arial"/>
          <w:sz w:val="14"/>
          <w:szCs w:val="14"/>
          <w:color w:val="auto"/>
        </w:rPr>
      </w:pPr>
      <w:r>
        <w:rPr>
          <w:rFonts w:ascii="Arial" w:cs="Arial" w:eastAsia="Arial" w:hAnsi="Arial"/>
          <w:sz w:val="14"/>
          <w:szCs w:val="14"/>
          <w:color w:val="auto"/>
        </w:rPr>
        <w:t>other expenses incurred to advance our research and development activities.</w:t>
      </w:r>
    </w:p>
    <w:p>
      <w:pPr>
        <w:spacing w:after="0" w:line="186"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color w:val="auto"/>
        </w:rPr>
        <w:t>The largest component of our operating expenses has historically been the investment in research and development activities. We expect research and development expenses will increase in the future as we advance our product candidates into and through clinical trials and pursues regulatory approvals, which will require a significant investment in costs of clinical trials, regulatory support and contract manufacturing and inventory build-up. In addition, we continue to evaluate opportunities to acquire or in-license other product candidates and technologies, which may result in higher research and development expenses due to license fee and/or milestone payments, as well as added clinical development costs.</w:t>
      </w:r>
    </w:p>
    <w:p>
      <w:pPr>
        <w:spacing w:after="0" w:line="138"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The process of conducting clinical trials necessary to obtain regulatory approval is costly and time consuming. We may never succeed in timely developing and achieving regulatory approval for its product candidates. The probability of success of our product candidates may be affected by numerous factors, including clinical data, competition, manufacturing capability and commercial viability. As a result, we are unable to determine the duration and completion costs of our development projects or when and to what extent we will generate revenue from the commercialization and sale of any of its product candidates.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86"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 Legal costs include general corporate legal fees and patent costs. We expect to incur additional expenses as a result of becoming a public company following completion of the merger, including expenses related to</w:t>
      </w:r>
    </w:p>
    <w:p>
      <w:pPr>
        <w:spacing w:after="0" w:line="31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compliance with the rules and regulations of the SEC and Nasdaq, additional insurance, investor relations and other administrative expenses and professional services.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income (expense), net consists primarily of interest expense, interest income, and various income or expense items of a non-recurring nature.</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Results of Operations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Comparison of the three months ended September 30, 2021 and 2020</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summarizes our operating results for the periods indicated:</w:t>
      </w:r>
    </w:p>
    <w:p>
      <w:pPr>
        <w:spacing w:after="0" w:line="221" w:lineRule="exact"/>
        <w:rPr>
          <w:sz w:val="20"/>
          <w:szCs w:val="20"/>
          <w:color w:val="auto"/>
        </w:rPr>
      </w:pPr>
    </w:p>
    <w:tbl>
      <w:tblPr>
        <w:tblLayout w:type="fixed"/>
        <w:tblInd w:w="240" w:type="dxa"/>
        <w:tblCellMar>
          <w:top w:w="0" w:type="dxa"/>
          <w:left w:w="0" w:type="dxa"/>
          <w:bottom w:w="0" w:type="dxa"/>
          <w:right w:w="0" w:type="dxa"/>
        </w:tblCellMar>
      </w:tblPr>
      <w:tr>
        <w:trPr>
          <w:trHeight w:val="141"/>
        </w:trPr>
        <w:tc>
          <w:tcPr>
            <w:tcW w:w="7140" w:type="dxa"/>
            <w:vAlign w:val="bottom"/>
          </w:tcPr>
          <w:p>
            <w:pPr>
              <w:spacing w:after="0"/>
              <w:rPr>
                <w:sz w:val="12"/>
                <w:szCs w:val="12"/>
                <w:color w:val="auto"/>
              </w:rPr>
            </w:pPr>
          </w:p>
        </w:tc>
        <w:tc>
          <w:tcPr>
            <w:tcW w:w="2340" w:type="dxa"/>
            <w:vAlign w:val="bottom"/>
            <w:gridSpan w:val="4"/>
          </w:tcPr>
          <w:p>
            <w:pPr>
              <w:jc w:val="right"/>
              <w:ind w:right="16"/>
              <w:spacing w:after="0"/>
              <w:rPr>
                <w:sz w:val="20"/>
                <w:szCs w:val="20"/>
                <w:color w:val="auto"/>
              </w:rPr>
            </w:pPr>
            <w:r>
              <w:rPr>
                <w:rFonts w:ascii="Arial" w:cs="Arial" w:eastAsia="Arial" w:hAnsi="Arial"/>
                <w:sz w:val="11"/>
                <w:szCs w:val="11"/>
                <w:b w:val="1"/>
                <w:bCs w:val="1"/>
                <w:color w:val="auto"/>
              </w:rPr>
              <w:t>Three Months Ended September 30,</w:t>
            </w:r>
          </w:p>
        </w:tc>
        <w:tc>
          <w:tcPr>
            <w:tcW w:w="500" w:type="dxa"/>
            <w:vAlign w:val="bottom"/>
          </w:tcPr>
          <w:p>
            <w:pPr>
              <w:spacing w:after="0"/>
              <w:rPr>
                <w:sz w:val="12"/>
                <w:szCs w:val="12"/>
                <w:color w:val="auto"/>
              </w:rPr>
            </w:pPr>
          </w:p>
        </w:tc>
      </w:tr>
      <w:tr>
        <w:trPr>
          <w:trHeight w:val="173"/>
        </w:trPr>
        <w:tc>
          <w:tcPr>
            <w:tcW w:w="7140" w:type="dxa"/>
            <w:vAlign w:val="bottom"/>
          </w:tcPr>
          <w:p>
            <w:pPr>
              <w:spacing w:after="0"/>
              <w:rPr>
                <w:sz w:val="15"/>
                <w:szCs w:val="15"/>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2020</w:t>
            </w:r>
          </w:p>
        </w:tc>
        <w:tc>
          <w:tcPr>
            <w:tcW w:w="500" w:type="dxa"/>
            <w:vAlign w:val="bottom"/>
            <w:tcBorders>
              <w:bottom w:val="single" w:sz="8" w:color="auto"/>
            </w:tcBorders>
          </w:tcPr>
          <w:p>
            <w:pPr>
              <w:spacing w:after="0"/>
              <w:rPr>
                <w:sz w:val="15"/>
                <w:szCs w:val="15"/>
                <w:color w:val="auto"/>
              </w:rPr>
            </w:pPr>
          </w:p>
        </w:tc>
      </w:tr>
      <w:tr>
        <w:trPr>
          <w:trHeight w:val="154"/>
        </w:trPr>
        <w:tc>
          <w:tcPr>
            <w:tcW w:w="7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gridSpan w:val="3"/>
          </w:tcPr>
          <w:p>
            <w:pPr>
              <w:jc w:val="right"/>
              <w:ind w:right="516"/>
              <w:spacing w:after="0"/>
              <w:rPr>
                <w:sz w:val="20"/>
                <w:szCs w:val="20"/>
                <w:color w:val="auto"/>
              </w:rPr>
            </w:pPr>
            <w:r>
              <w:rPr>
                <w:rFonts w:ascii="Arial" w:cs="Arial" w:eastAsia="Arial" w:hAnsi="Arial"/>
                <w:sz w:val="11"/>
                <w:szCs w:val="11"/>
                <w:b w:val="1"/>
                <w:bCs w:val="1"/>
                <w:color w:val="auto"/>
              </w:rPr>
              <w:t>(in thousands)</w:t>
            </w:r>
          </w:p>
        </w:tc>
        <w:tc>
          <w:tcPr>
            <w:tcW w:w="500" w:type="dxa"/>
            <w:vAlign w:val="bottom"/>
          </w:tcPr>
          <w:p>
            <w:pPr>
              <w:spacing w:after="0"/>
              <w:rPr>
                <w:sz w:val="13"/>
                <w:szCs w:val="13"/>
                <w:color w:val="auto"/>
              </w:rPr>
            </w:pPr>
          </w:p>
        </w:tc>
      </w:tr>
      <w:tr>
        <w:trPr>
          <w:trHeight w:val="19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8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r>
      <w:tr>
        <w:trPr>
          <w:trHeight w:val="183"/>
        </w:trPr>
        <w:tc>
          <w:tcPr>
            <w:tcW w:w="714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880" w:type="dxa"/>
            <w:vAlign w:val="bottom"/>
          </w:tcPr>
          <w:p>
            <w:pPr>
              <w:jc w:val="right"/>
              <w:ind w:right="73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4,630</w:t>
            </w:r>
          </w:p>
        </w:tc>
        <w:tc>
          <w:tcPr>
            <w:tcW w:w="80" w:type="dxa"/>
            <w:vAlign w:val="bottom"/>
          </w:tcPr>
          <w:p>
            <w:pPr>
              <w:spacing w:after="0"/>
              <w:rPr>
                <w:sz w:val="15"/>
                <w:szCs w:val="15"/>
                <w:color w:val="auto"/>
              </w:rPr>
            </w:pPr>
          </w:p>
        </w:tc>
        <w:tc>
          <w:tcPr>
            <w:tcW w:w="880" w:type="dxa"/>
            <w:vAlign w:val="bottom"/>
          </w:tcPr>
          <w:p>
            <w:pPr>
              <w:jc w:val="right"/>
              <w:ind w:right="736"/>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4,271</w:t>
            </w:r>
          </w:p>
        </w:tc>
      </w:tr>
      <w:tr>
        <w:trPr>
          <w:trHeight w:val="21"/>
        </w:trPr>
        <w:tc>
          <w:tcPr>
            <w:tcW w:w="7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04"/>
        </w:trPr>
        <w:tc>
          <w:tcPr>
            <w:tcW w:w="7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8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3,106</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1,163</w:t>
            </w:r>
          </w:p>
        </w:tc>
      </w:tr>
      <w:tr>
        <w:trPr>
          <w:trHeight w:val="173"/>
        </w:trPr>
        <w:tc>
          <w:tcPr>
            <w:tcW w:w="7140" w:type="dxa"/>
            <w:vAlign w:val="bottom"/>
          </w:tcPr>
          <w:p>
            <w:pPr>
              <w:ind w:left="520"/>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7,736</w:t>
            </w:r>
          </w:p>
        </w:tc>
        <w:tc>
          <w:tcPr>
            <w:tcW w:w="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5,434</w:t>
            </w:r>
          </w:p>
        </w:tc>
      </w:tr>
      <w:tr>
        <w:trPr>
          <w:trHeight w:val="21"/>
        </w:trPr>
        <w:tc>
          <w:tcPr>
            <w:tcW w:w="7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7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8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(7,736)</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(5,434)</w:t>
            </w:r>
          </w:p>
        </w:tc>
      </w:tr>
      <w:tr>
        <w:trPr>
          <w:trHeight w:val="183"/>
        </w:trPr>
        <w:tc>
          <w:tcPr>
            <w:tcW w:w="71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(437)</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7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 and other income, net</w:t>
            </w:r>
          </w:p>
        </w:tc>
        <w:tc>
          <w:tcPr>
            <w:tcW w:w="8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3"/>
        </w:trPr>
        <w:tc>
          <w:tcPr>
            <w:tcW w:w="714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8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7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9"/>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8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(8,110)</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(5,431)</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Research and development</w:t>
      </w:r>
    </w:p>
    <w:p>
      <w:pPr>
        <w:spacing w:after="0" w:line="186" w:lineRule="exact"/>
        <w:rPr>
          <w:sz w:val="20"/>
          <w:szCs w:val="20"/>
          <w:color w:val="auto"/>
        </w:rPr>
      </w:pPr>
    </w:p>
    <w:p>
      <w:pPr>
        <w:jc w:val="both"/>
        <w:ind w:left="240"/>
        <w:spacing w:after="0" w:line="299" w:lineRule="auto"/>
        <w:rPr>
          <w:sz w:val="20"/>
          <w:szCs w:val="20"/>
          <w:color w:val="auto"/>
        </w:rPr>
      </w:pPr>
      <w:r>
        <w:rPr>
          <w:rFonts w:ascii="Arial" w:cs="Arial" w:eastAsia="Arial" w:hAnsi="Arial"/>
          <w:sz w:val="12"/>
          <w:szCs w:val="12"/>
          <w:color w:val="auto"/>
        </w:rPr>
        <w:t>Our research and development expenses for the three months ended September 30, 2021 and 2020 were primarily incurred in connection with our most advanced product candidates, TPST-1120 and TPST-1495. We have not historically tracked research and development expense by program other than direct external expenses in conducting clinical trials for TPST-1120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 As such, we do not maintain information regarding these costs incurred for these early-stage research and drug discovery programs on a project specific basis.</w:t>
      </w:r>
    </w:p>
    <w:p>
      <w:pPr>
        <w:spacing w:after="0" w:line="141"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Research and development expense increased by $0.4 million to $4.6 million for the three months ended September 30, 2021 . The following table summarizes our research and development expenses for the three months ended September 30, 2021 and 2020:</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141"/>
        </w:trPr>
        <w:tc>
          <w:tcPr>
            <w:tcW w:w="7560" w:type="dxa"/>
            <w:vAlign w:val="bottom"/>
          </w:tcPr>
          <w:p>
            <w:pPr>
              <w:spacing w:after="0"/>
              <w:rPr>
                <w:sz w:val="12"/>
                <w:szCs w:val="12"/>
                <w:color w:val="auto"/>
              </w:rPr>
            </w:pPr>
          </w:p>
        </w:tc>
        <w:tc>
          <w:tcPr>
            <w:tcW w:w="1700" w:type="dxa"/>
            <w:vAlign w:val="bottom"/>
            <w:gridSpan w:val="4"/>
          </w:tcPr>
          <w:p>
            <w:pPr>
              <w:ind w:left="20"/>
              <w:spacing w:after="0"/>
              <w:rPr>
                <w:sz w:val="20"/>
                <w:szCs w:val="20"/>
                <w:color w:val="auto"/>
              </w:rPr>
            </w:pPr>
            <w:r>
              <w:rPr>
                <w:rFonts w:ascii="Arial" w:cs="Arial" w:eastAsia="Arial" w:hAnsi="Arial"/>
                <w:sz w:val="11"/>
                <w:szCs w:val="11"/>
                <w:b w:val="1"/>
                <w:bCs w:val="1"/>
                <w:color w:val="auto"/>
                <w:w w:val="88"/>
              </w:rPr>
              <w:t>Three Months Ended September 30,</w:t>
            </w:r>
          </w:p>
        </w:tc>
      </w:tr>
      <w:tr>
        <w:trPr>
          <w:trHeight w:val="173"/>
        </w:trPr>
        <w:tc>
          <w:tcPr>
            <w:tcW w:w="7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75"/>
              <w:spacing w:after="0"/>
              <w:rPr>
                <w:sz w:val="20"/>
                <w:szCs w:val="20"/>
                <w:color w:val="auto"/>
              </w:rPr>
            </w:pPr>
            <w:r>
              <w:rPr>
                <w:rFonts w:ascii="Arial" w:cs="Arial" w:eastAsia="Arial" w:hAnsi="Arial"/>
                <w:sz w:val="11"/>
                <w:szCs w:val="11"/>
                <w:b w:val="1"/>
                <w:bCs w:val="1"/>
                <w:color w:val="auto"/>
              </w:rPr>
              <w:t>2021</w:t>
            </w: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94"/>
              <w:spacing w:after="0"/>
              <w:rPr>
                <w:sz w:val="20"/>
                <w:szCs w:val="20"/>
                <w:color w:val="auto"/>
              </w:rPr>
            </w:pPr>
            <w:r>
              <w:rPr>
                <w:rFonts w:ascii="Arial" w:cs="Arial" w:eastAsia="Arial" w:hAnsi="Arial"/>
                <w:sz w:val="11"/>
                <w:szCs w:val="11"/>
                <w:b w:val="1"/>
                <w:bCs w:val="1"/>
                <w:color w:val="auto"/>
                <w:w w:val="89"/>
              </w:rPr>
              <w:t>2020</w:t>
            </w:r>
          </w:p>
        </w:tc>
      </w:tr>
      <w:tr>
        <w:trPr>
          <w:trHeight w:val="154"/>
        </w:trPr>
        <w:tc>
          <w:tcPr>
            <w:tcW w:w="7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1"/>
                <w:szCs w:val="11"/>
                <w:b w:val="1"/>
                <w:bCs w:val="1"/>
                <w:color w:val="auto"/>
              </w:rPr>
              <w:t>(in thousands)</w:t>
            </w:r>
          </w:p>
        </w:tc>
        <w:tc>
          <w:tcPr>
            <w:tcW w:w="500" w:type="dxa"/>
            <w:vAlign w:val="bottom"/>
          </w:tcPr>
          <w:p>
            <w:pPr>
              <w:spacing w:after="0"/>
              <w:rPr>
                <w:sz w:val="13"/>
                <w:szCs w:val="13"/>
                <w:color w:val="auto"/>
              </w:rPr>
            </w:pPr>
          </w:p>
        </w:tc>
      </w:tr>
      <w:tr>
        <w:trPr>
          <w:trHeight w:val="194"/>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 outside services</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3,207</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3,008</w:t>
            </w:r>
          </w:p>
        </w:tc>
      </w:tr>
      <w:tr>
        <w:trPr>
          <w:trHeight w:val="183"/>
        </w:trPr>
        <w:tc>
          <w:tcPr>
            <w:tcW w:w="7560" w:type="dxa"/>
            <w:vAlign w:val="bottom"/>
          </w:tcPr>
          <w:p>
            <w:pPr>
              <w:ind w:left="20"/>
              <w:spacing w:after="0"/>
              <w:rPr>
                <w:sz w:val="20"/>
                <w:szCs w:val="20"/>
                <w:color w:val="auto"/>
              </w:rPr>
            </w:pPr>
            <w:r>
              <w:rPr>
                <w:rFonts w:ascii="Arial" w:cs="Arial" w:eastAsia="Arial" w:hAnsi="Arial"/>
                <w:sz w:val="14"/>
                <w:szCs w:val="14"/>
                <w:color w:val="auto"/>
              </w:rPr>
              <w:t>Compensation expense</w:t>
            </w:r>
          </w:p>
        </w:tc>
        <w:tc>
          <w:tcPr>
            <w:tcW w:w="20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617</w:t>
            </w:r>
          </w:p>
        </w:tc>
        <w:tc>
          <w:tcPr>
            <w:tcW w:w="3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590</w:t>
            </w:r>
          </w:p>
        </w:tc>
      </w:tr>
      <w:tr>
        <w:trPr>
          <w:trHeight w:val="21"/>
        </w:trPr>
        <w:tc>
          <w:tcPr>
            <w:tcW w:w="7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4"/>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106</w:t>
            </w:r>
          </w:p>
        </w:tc>
        <w:tc>
          <w:tcPr>
            <w:tcW w:w="3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83"/>
        </w:trPr>
        <w:tc>
          <w:tcPr>
            <w:tcW w:w="7560" w:type="dxa"/>
            <w:vAlign w:val="bottom"/>
          </w:tcPr>
          <w:p>
            <w:pPr>
              <w:ind w:left="20"/>
              <w:spacing w:after="0"/>
              <w:rPr>
                <w:sz w:val="20"/>
                <w:szCs w:val="20"/>
                <w:color w:val="auto"/>
              </w:rPr>
            </w:pPr>
            <w:r>
              <w:rPr>
                <w:rFonts w:ascii="Arial" w:cs="Arial" w:eastAsia="Arial" w:hAnsi="Arial"/>
                <w:sz w:val="14"/>
                <w:szCs w:val="14"/>
                <w:color w:val="auto"/>
              </w:rPr>
              <w:t>Consulting and professional services</w:t>
            </w:r>
          </w:p>
        </w:tc>
        <w:tc>
          <w:tcPr>
            <w:tcW w:w="20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418</w:t>
            </w:r>
          </w:p>
        </w:tc>
        <w:tc>
          <w:tcPr>
            <w:tcW w:w="3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407</w:t>
            </w:r>
          </w:p>
        </w:tc>
      </w:tr>
      <w:tr>
        <w:trPr>
          <w:trHeight w:val="21"/>
        </w:trPr>
        <w:tc>
          <w:tcPr>
            <w:tcW w:w="7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04"/>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expenses</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282</w:t>
            </w:r>
          </w:p>
        </w:tc>
        <w:tc>
          <w:tcPr>
            <w:tcW w:w="3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w:t>
            </w:r>
          </w:p>
        </w:tc>
      </w:tr>
      <w:tr>
        <w:trPr>
          <w:trHeight w:val="194"/>
        </w:trPr>
        <w:tc>
          <w:tcPr>
            <w:tcW w:w="7560" w:type="dxa"/>
            <w:vAlign w:val="bottom"/>
          </w:tcPr>
          <w:p>
            <w:pPr>
              <w:ind w:left="20"/>
              <w:spacing w:after="0"/>
              <w:rPr>
                <w:sz w:val="20"/>
                <w:szCs w:val="20"/>
                <w:color w:val="auto"/>
              </w:rPr>
            </w:pPr>
            <w:r>
              <w:rPr>
                <w:rFonts w:ascii="Arial" w:cs="Arial" w:eastAsia="Arial" w:hAnsi="Arial"/>
                <w:sz w:val="14"/>
                <w:szCs w:val="14"/>
                <w:color w:val="auto"/>
              </w:rPr>
              <w:t>Total research and development expense</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4"/>
                <w:szCs w:val="14"/>
                <w:color w:val="auto"/>
              </w:rPr>
              <w:t>4,630</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4,271</w:t>
            </w:r>
          </w:p>
        </w:tc>
      </w:tr>
      <w:tr>
        <w:trPr>
          <w:trHeight w:val="20"/>
        </w:trPr>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The growth in total research and development expense of $0.4 million for the three months ended September 30, 2021 was attributable to increased costs for outside services, insurance and compensation expenses.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General and administrative</w:t>
      </w:r>
    </w:p>
    <w:p>
      <w:pPr>
        <w:spacing w:after="0" w:line="186"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General and administrative expenses increased by $1.9 million to $3.1 million for the three months ended September 30, 2021 . The increase was primarily due to increased compensation expense of $0.5 million, $0.4 million in fees associated with audit and tax services in connection with the Millendo merger, insurance and rent expenses.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Other income and expense</w:t>
      </w:r>
    </w:p>
    <w:p>
      <w:pPr>
        <w:spacing w:after="0" w:line="186"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For the three months ended September 30, 2021 , total interest expense was $437 related to the Oxford Loan. Interest income was $63 and $3 for the three months ended September 30, 2021 and 2020, respectively.</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Comparison of the nine months ended September 30, 2021 and 2020</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summarizes our operating results for the periods indicated:</w:t>
      </w:r>
    </w:p>
    <w:p>
      <w:pPr>
        <w:spacing w:after="0" w:line="221" w:lineRule="exact"/>
        <w:rPr>
          <w:sz w:val="20"/>
          <w:szCs w:val="20"/>
          <w:color w:val="auto"/>
        </w:rPr>
      </w:pPr>
    </w:p>
    <w:tbl>
      <w:tblPr>
        <w:tblLayout w:type="fixed"/>
        <w:tblInd w:w="240" w:type="dxa"/>
        <w:tblCellMar>
          <w:top w:w="0" w:type="dxa"/>
          <w:left w:w="0" w:type="dxa"/>
          <w:bottom w:w="0" w:type="dxa"/>
          <w:right w:w="0" w:type="dxa"/>
        </w:tblCellMar>
      </w:tblPr>
      <w:tr>
        <w:trPr>
          <w:trHeight w:val="141"/>
        </w:trPr>
        <w:tc>
          <w:tcPr>
            <w:tcW w:w="6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1"/>
              </w:rPr>
              <w:t>Nine Months Ended</w:t>
            </w:r>
          </w:p>
        </w:tc>
        <w:tc>
          <w:tcPr>
            <w:tcW w:w="860" w:type="dxa"/>
            <w:vAlign w:val="bottom"/>
          </w:tcPr>
          <w:p>
            <w:pPr>
              <w:spacing w:after="0"/>
              <w:rPr>
                <w:sz w:val="12"/>
                <w:szCs w:val="12"/>
                <w:color w:val="auto"/>
              </w:rPr>
            </w:pPr>
          </w:p>
        </w:tc>
      </w:tr>
      <w:tr>
        <w:trPr>
          <w:trHeight w:val="173"/>
        </w:trPr>
        <w:tc>
          <w:tcPr>
            <w:tcW w:w="67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7"/>
              </w:rPr>
              <w:t>September 30,</w:t>
            </w:r>
          </w:p>
        </w:tc>
        <w:tc>
          <w:tcPr>
            <w:tcW w:w="860" w:type="dxa"/>
            <w:vAlign w:val="bottom"/>
            <w:tcBorders>
              <w:bottom w:val="single" w:sz="8" w:color="auto"/>
            </w:tcBorders>
          </w:tcPr>
          <w:p>
            <w:pPr>
              <w:spacing w:after="0"/>
              <w:rPr>
                <w:sz w:val="15"/>
                <w:szCs w:val="15"/>
                <w:color w:val="auto"/>
              </w:rPr>
            </w:pPr>
          </w:p>
        </w:tc>
      </w:tr>
      <w:tr>
        <w:trPr>
          <w:trHeight w:val="154"/>
        </w:trPr>
        <w:tc>
          <w:tcPr>
            <w:tcW w:w="67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2020</w:t>
            </w:r>
          </w:p>
        </w:tc>
      </w:tr>
      <w:tr>
        <w:trPr>
          <w:trHeight w:val="173"/>
        </w:trPr>
        <w:tc>
          <w:tcPr>
            <w:tcW w:w="6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Expenses:</w:t>
            </w:r>
          </w:p>
        </w:tc>
        <w:tc>
          <w:tcPr>
            <w:tcW w:w="84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1"/>
                <w:szCs w:val="11"/>
                <w:b w:val="1"/>
                <w:bCs w:val="1"/>
                <w:color w:val="auto"/>
                <w:w w:val="87"/>
              </w:rPr>
              <w:t>(in thousands)</w:t>
            </w:r>
          </w:p>
        </w:tc>
        <w:tc>
          <w:tcPr>
            <w:tcW w:w="860" w:type="dxa"/>
            <w:vAlign w:val="bottom"/>
            <w:shd w:val="clear" w:color="auto" w:fill="CCEEFF"/>
          </w:tcPr>
          <w:p>
            <w:pPr>
              <w:spacing w:after="0"/>
              <w:rPr>
                <w:sz w:val="15"/>
                <w:szCs w:val="15"/>
                <w:color w:val="auto"/>
              </w:rPr>
            </w:pPr>
          </w:p>
        </w:tc>
      </w:tr>
      <w:tr>
        <w:trPr>
          <w:trHeight w:val="183"/>
        </w:trPr>
        <w:tc>
          <w:tcPr>
            <w:tcW w:w="670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840" w:type="dxa"/>
            <w:vAlign w:val="bottom"/>
          </w:tcPr>
          <w:p>
            <w:pPr>
              <w:jc w:val="right"/>
              <w:ind w:right="696"/>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12,451</w:t>
            </w:r>
          </w:p>
        </w:tc>
        <w:tc>
          <w:tcPr>
            <w:tcW w:w="60" w:type="dxa"/>
            <w:vAlign w:val="bottom"/>
          </w:tcPr>
          <w:p>
            <w:pPr>
              <w:spacing w:after="0"/>
              <w:rPr>
                <w:sz w:val="15"/>
                <w:szCs w:val="15"/>
                <w:color w:val="auto"/>
              </w:rPr>
            </w:pPr>
          </w:p>
        </w:tc>
        <w:tc>
          <w:tcPr>
            <w:tcW w:w="520" w:type="dxa"/>
            <w:vAlign w:val="bottom"/>
          </w:tcPr>
          <w:p>
            <w:pPr>
              <w:jc w:val="right"/>
              <w:ind w:right="37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11,392</w:t>
            </w:r>
          </w:p>
        </w:tc>
      </w:tr>
      <w:tr>
        <w:trPr>
          <w:trHeight w:val="21"/>
        </w:trPr>
        <w:tc>
          <w:tcPr>
            <w:tcW w:w="6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4"/>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8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7,197</w:t>
            </w:r>
          </w:p>
        </w:tc>
        <w:tc>
          <w:tcPr>
            <w:tcW w:w="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3,583</w:t>
            </w:r>
          </w:p>
        </w:tc>
      </w:tr>
      <w:tr>
        <w:trPr>
          <w:trHeight w:val="173"/>
        </w:trPr>
        <w:tc>
          <w:tcPr>
            <w:tcW w:w="6700" w:type="dxa"/>
            <w:vAlign w:val="bottom"/>
          </w:tcPr>
          <w:p>
            <w:pPr>
              <w:ind w:left="520"/>
              <w:spacing w:after="0"/>
              <w:rPr>
                <w:sz w:val="20"/>
                <w:szCs w:val="20"/>
                <w:color w:val="auto"/>
              </w:rPr>
            </w:pPr>
            <w:r>
              <w:rPr>
                <w:rFonts w:ascii="Arial" w:cs="Arial" w:eastAsia="Arial" w:hAnsi="Arial"/>
                <w:sz w:val="14"/>
                <w:szCs w:val="14"/>
                <w:color w:val="auto"/>
              </w:rPr>
              <w:t>Total expenses</w:t>
            </w:r>
          </w:p>
        </w:tc>
        <w:tc>
          <w:tcPr>
            <w:tcW w:w="8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19,648</w:t>
            </w:r>
          </w:p>
        </w:tc>
        <w:tc>
          <w:tcPr>
            <w:tcW w:w="6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14,975</w:t>
            </w:r>
          </w:p>
        </w:tc>
      </w:tr>
      <w:tr>
        <w:trPr>
          <w:trHeight w:val="21"/>
        </w:trPr>
        <w:tc>
          <w:tcPr>
            <w:tcW w:w="67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8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(19,648)</w:t>
            </w: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(14,975)</w:t>
            </w: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(944)</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6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 and other income, net</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84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67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(20,523)</w:t>
            </w: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(14,888)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Research and development</w:t>
      </w:r>
    </w:p>
    <w:p>
      <w:pPr>
        <w:spacing w:after="0" w:line="186" w:lineRule="exact"/>
        <w:rPr>
          <w:sz w:val="20"/>
          <w:szCs w:val="20"/>
          <w:color w:val="auto"/>
        </w:rPr>
      </w:pPr>
    </w:p>
    <w:p>
      <w:pPr>
        <w:jc w:val="both"/>
        <w:ind w:left="240"/>
        <w:spacing w:after="0" w:line="299" w:lineRule="auto"/>
        <w:rPr>
          <w:sz w:val="20"/>
          <w:szCs w:val="20"/>
          <w:color w:val="auto"/>
        </w:rPr>
      </w:pPr>
      <w:r>
        <w:rPr>
          <w:rFonts w:ascii="Arial" w:cs="Arial" w:eastAsia="Arial" w:hAnsi="Arial"/>
          <w:sz w:val="12"/>
          <w:szCs w:val="12"/>
          <w:color w:val="auto"/>
        </w:rPr>
        <w:t>Our research and development expenses for the nine months ended September 30, 2021 and 2020 were primarily incurred in connection with our most advanced product candidates, TPST-1120 and TPST-1495. We have not historically tracked research and development expense by program other than direct external expenses in conducting clinical trials for TPST-1120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 As such, we do not maintain information regarding these costs incurred for these early-stage research and drug discovery programs on a project specific basis.</w:t>
      </w:r>
    </w:p>
    <w:p>
      <w:pPr>
        <w:spacing w:after="0" w:line="141"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Research and development expense increased by $1.1 million to $12.5 million for the nine months ended September 30, 2021. The following table summarizes our research and development expenses for the nine months ended September 30, 2021 and 2020:</w:t>
      </w:r>
    </w:p>
    <w:p>
      <w:pPr>
        <w:spacing w:after="0" w:line="200" w:lineRule="exact"/>
        <w:rPr>
          <w:sz w:val="20"/>
          <w:szCs w:val="20"/>
          <w:color w:val="auto"/>
        </w:rPr>
      </w:pP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141"/>
        </w:trPr>
        <w:tc>
          <w:tcPr>
            <w:tcW w:w="8180" w:type="dxa"/>
            <w:vAlign w:val="bottom"/>
          </w:tcPr>
          <w:p>
            <w:pPr>
              <w:spacing w:after="0"/>
              <w:rPr>
                <w:sz w:val="12"/>
                <w:szCs w:val="12"/>
                <w:color w:val="auto"/>
              </w:rPr>
            </w:pPr>
          </w:p>
        </w:tc>
        <w:tc>
          <w:tcPr>
            <w:tcW w:w="1720" w:type="dxa"/>
            <w:vAlign w:val="bottom"/>
            <w:gridSpan w:val="4"/>
          </w:tcPr>
          <w:p>
            <w:pPr>
              <w:jc w:val="right"/>
              <w:spacing w:after="0"/>
              <w:rPr>
                <w:sz w:val="20"/>
                <w:szCs w:val="20"/>
                <w:color w:val="auto"/>
              </w:rPr>
            </w:pPr>
            <w:r>
              <w:rPr>
                <w:rFonts w:ascii="Arial" w:cs="Arial" w:eastAsia="Arial" w:hAnsi="Arial"/>
                <w:sz w:val="11"/>
                <w:szCs w:val="11"/>
                <w:b w:val="1"/>
                <w:bCs w:val="1"/>
                <w:color w:val="auto"/>
                <w:w w:val="91"/>
              </w:rPr>
              <w:t>Nine Months Ended September 30,</w:t>
            </w:r>
          </w:p>
        </w:tc>
      </w:tr>
      <w:tr>
        <w:trPr>
          <w:trHeight w:val="173"/>
        </w:trPr>
        <w:tc>
          <w:tcPr>
            <w:tcW w:w="8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75"/>
              <w:spacing w:after="0"/>
              <w:rPr>
                <w:sz w:val="20"/>
                <w:szCs w:val="20"/>
                <w:color w:val="auto"/>
              </w:rPr>
            </w:pPr>
            <w:r>
              <w:rPr>
                <w:rFonts w:ascii="Arial" w:cs="Arial" w:eastAsia="Arial" w:hAnsi="Arial"/>
                <w:sz w:val="11"/>
                <w:szCs w:val="11"/>
                <w:b w:val="1"/>
                <w:bCs w:val="1"/>
                <w:color w:val="auto"/>
              </w:rPr>
              <w:t>2021</w:t>
            </w:r>
          </w:p>
        </w:tc>
        <w:tc>
          <w:tcPr>
            <w:tcW w:w="3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14"/>
              <w:spacing w:after="0"/>
              <w:rPr>
                <w:sz w:val="20"/>
                <w:szCs w:val="20"/>
                <w:color w:val="auto"/>
              </w:rPr>
            </w:pPr>
            <w:r>
              <w:rPr>
                <w:rFonts w:ascii="Arial" w:cs="Arial" w:eastAsia="Arial" w:hAnsi="Arial"/>
                <w:sz w:val="11"/>
                <w:szCs w:val="11"/>
                <w:b w:val="1"/>
                <w:bCs w:val="1"/>
                <w:color w:val="auto"/>
                <w:w w:val="89"/>
              </w:rPr>
              <w:t>2020</w:t>
            </w:r>
          </w:p>
        </w:tc>
      </w:tr>
      <w:tr>
        <w:trPr>
          <w:trHeight w:val="154"/>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1"/>
                <w:szCs w:val="11"/>
                <w:b w:val="1"/>
                <w:bCs w:val="1"/>
                <w:color w:val="auto"/>
              </w:rPr>
              <w:t>(in thousands)</w:t>
            </w:r>
          </w:p>
        </w:tc>
        <w:tc>
          <w:tcPr>
            <w:tcW w:w="520" w:type="dxa"/>
            <w:vAlign w:val="bottom"/>
          </w:tcPr>
          <w:p>
            <w:pPr>
              <w:spacing w:after="0"/>
              <w:rPr>
                <w:sz w:val="13"/>
                <w:szCs w:val="13"/>
                <w:color w:val="auto"/>
              </w:rPr>
            </w:pPr>
          </w:p>
        </w:tc>
      </w:tr>
      <w:tr>
        <w:trPr>
          <w:trHeight w:val="19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 outside services</w:t>
            </w: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8,170</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7,893</w:t>
            </w:r>
          </w:p>
        </w:tc>
      </w:tr>
      <w:tr>
        <w:trPr>
          <w:trHeight w:val="183"/>
        </w:trPr>
        <w:tc>
          <w:tcPr>
            <w:tcW w:w="8180" w:type="dxa"/>
            <w:vAlign w:val="bottom"/>
          </w:tcPr>
          <w:p>
            <w:pPr>
              <w:ind w:left="20"/>
              <w:spacing w:after="0"/>
              <w:rPr>
                <w:sz w:val="20"/>
                <w:szCs w:val="20"/>
                <w:color w:val="auto"/>
              </w:rPr>
            </w:pPr>
            <w:r>
              <w:rPr>
                <w:rFonts w:ascii="Arial" w:cs="Arial" w:eastAsia="Arial" w:hAnsi="Arial"/>
                <w:sz w:val="14"/>
                <w:szCs w:val="14"/>
                <w:color w:val="auto"/>
              </w:rPr>
              <w:t>Compensation expense</w:t>
            </w:r>
          </w:p>
        </w:tc>
        <w:tc>
          <w:tcPr>
            <w:tcW w:w="20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2,016</w:t>
            </w:r>
          </w:p>
        </w:tc>
        <w:tc>
          <w:tcPr>
            <w:tcW w:w="3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1,564</w:t>
            </w:r>
          </w:p>
        </w:tc>
      </w:tr>
      <w:tr>
        <w:trPr>
          <w:trHeight w:val="21"/>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227</w:t>
            </w:r>
          </w:p>
        </w:tc>
        <w:tc>
          <w:tcPr>
            <w:tcW w:w="3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w:t>
            </w:r>
          </w:p>
        </w:tc>
      </w:tr>
      <w:tr>
        <w:trPr>
          <w:trHeight w:val="183"/>
        </w:trPr>
        <w:tc>
          <w:tcPr>
            <w:tcW w:w="8180" w:type="dxa"/>
            <w:vAlign w:val="bottom"/>
          </w:tcPr>
          <w:p>
            <w:pPr>
              <w:ind w:left="20"/>
              <w:spacing w:after="0"/>
              <w:rPr>
                <w:sz w:val="20"/>
                <w:szCs w:val="20"/>
                <w:color w:val="auto"/>
              </w:rPr>
            </w:pPr>
            <w:r>
              <w:rPr>
                <w:rFonts w:ascii="Arial" w:cs="Arial" w:eastAsia="Arial" w:hAnsi="Arial"/>
                <w:sz w:val="14"/>
                <w:szCs w:val="14"/>
                <w:color w:val="auto"/>
              </w:rPr>
              <w:t>Consulting and professional services</w:t>
            </w:r>
          </w:p>
        </w:tc>
        <w:tc>
          <w:tcPr>
            <w:tcW w:w="200" w:type="dxa"/>
            <w:vAlign w:val="bottom"/>
          </w:tcPr>
          <w:p>
            <w:pPr>
              <w:spacing w:after="0"/>
              <w:rPr>
                <w:sz w:val="15"/>
                <w:szCs w:val="15"/>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1,309</w:t>
            </w:r>
          </w:p>
        </w:tc>
        <w:tc>
          <w:tcPr>
            <w:tcW w:w="3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963</w:t>
            </w:r>
          </w:p>
        </w:tc>
      </w:tr>
      <w:tr>
        <w:trPr>
          <w:trHeight w:val="21"/>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expenses</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729</w:t>
            </w:r>
          </w:p>
        </w:tc>
        <w:tc>
          <w:tcPr>
            <w:tcW w:w="3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682</w:t>
            </w:r>
          </w:p>
        </w:tc>
      </w:tr>
      <w:tr>
        <w:trPr>
          <w:trHeight w:val="194"/>
        </w:trPr>
        <w:tc>
          <w:tcPr>
            <w:tcW w:w="8180" w:type="dxa"/>
            <w:vAlign w:val="bottom"/>
          </w:tcPr>
          <w:p>
            <w:pPr>
              <w:ind w:left="20"/>
              <w:spacing w:after="0"/>
              <w:rPr>
                <w:sz w:val="20"/>
                <w:szCs w:val="20"/>
                <w:color w:val="auto"/>
              </w:rPr>
            </w:pPr>
            <w:r>
              <w:rPr>
                <w:rFonts w:ascii="Arial" w:cs="Arial" w:eastAsia="Arial" w:hAnsi="Arial"/>
                <w:sz w:val="14"/>
                <w:szCs w:val="14"/>
                <w:color w:val="auto"/>
              </w:rPr>
              <w:t>Total research and development expense</w:t>
            </w: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4"/>
                <w:szCs w:val="14"/>
                <w:color w:val="auto"/>
              </w:rPr>
              <w:t>12,451</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11,392</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The growth in total research and development expense of $1.1 million for the nine months ended September 30, 2021 was attributable to increased compensation expenses and fees for consulting services.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General and administrative</w:t>
      </w:r>
    </w:p>
    <w:p>
      <w:pPr>
        <w:spacing w:after="0" w:line="186"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General and administrative expenses increased by $3.6 million to $7.2 million for the nine months ended September 30, 2021. The increase was primarily due to an increase in compensation related expense of $1.5 million and fees associated with audit and tax services related to the Millendo merger of $0.9 million.</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Other income and expense</w:t>
      </w:r>
    </w:p>
    <w:p>
      <w:pPr>
        <w:spacing w:after="0" w:line="186"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For the nine months ended September 30, 2021, total interest expense was $944 related to the Oxford Loan. There was no interest expense for the nine months ended September 30, 2020. Interest income was $69 and $87 for the nine months ended September 30, 2021 and 2020, respectively.</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Liquidity and Capital Resources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186" w:lineRule="exact"/>
        <w:rPr>
          <w:sz w:val="20"/>
          <w:szCs w:val="20"/>
          <w:color w:val="auto"/>
        </w:rPr>
      </w:pPr>
    </w:p>
    <w:p>
      <w:pPr>
        <w:jc w:val="both"/>
        <w:ind w:left="240"/>
        <w:spacing w:after="0" w:line="314" w:lineRule="auto"/>
        <w:rPr>
          <w:sz w:val="20"/>
          <w:szCs w:val="20"/>
          <w:color w:val="auto"/>
        </w:rPr>
      </w:pPr>
      <w:r>
        <w:rPr>
          <w:rFonts w:ascii="Arial" w:cs="Arial" w:eastAsia="Arial" w:hAnsi="Arial"/>
          <w:sz w:val="12"/>
          <w:szCs w:val="12"/>
          <w:color w:val="auto"/>
        </w:rPr>
        <w:t>Since inception through September 30, 2021, our operations have been financed primarily by net cash proceeds from the sale of its common stock, convertible preferred stock and issuance of debt. As of September 30, 2021, we had $59.7 million in cash and cash equivalents and an accumulated deficit of $92.3 million. We expect that our research and development and general and administrative expenses will increase, and, as a result, we anticipate that we will continue to incur increasing losses in the foreseeable future.</w:t>
      </w:r>
    </w:p>
    <w:p>
      <w:pPr>
        <w:spacing w:after="0" w:line="132"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Therefore, we will need to raise additional capital to fund our operations, which may be through the issuance of additional equity or through borrowings, including in connection with the merger, or through business development activities.</w:t>
      </w:r>
    </w:p>
    <w:p>
      <w:pPr>
        <w:spacing w:after="0" w:line="160" w:lineRule="exact"/>
        <w:rPr>
          <w:sz w:val="20"/>
          <w:szCs w:val="20"/>
          <w:color w:val="auto"/>
        </w:rPr>
      </w:pPr>
    </w:p>
    <w:p>
      <w:pPr>
        <w:jc w:val="both"/>
        <w:ind w:left="240"/>
        <w:spacing w:after="0" w:line="299" w:lineRule="auto"/>
        <w:rPr>
          <w:sz w:val="20"/>
          <w:szCs w:val="20"/>
          <w:color w:val="auto"/>
        </w:rPr>
      </w:pPr>
      <w:r>
        <w:rPr>
          <w:rFonts w:ascii="Arial" w:cs="Arial" w:eastAsia="Arial" w:hAnsi="Arial"/>
          <w:sz w:val="12"/>
          <w:szCs w:val="12"/>
          <w:color w:val="auto"/>
        </w:rPr>
        <w:t>On January 15, 2021, Private Tempest entered into a loan and security agreement with a lender to borrow a term loan amount of $35.0 million to be funded in three tranches. Tranche A of $15.0 million was funded to Private Tempest on January 15, 2021. Tranche B of $10.0 million will be available through March 31, 2022 contingent upon achievement of each of the following: i) receipt of at least $50.0 million in Series C equity capital, ii) initiation of the Phase 1 combination study of TPST-1495 or monotherapy expansion study, and iii) initiation of Phase 2 trial of TPST-1120 or the 1L Triplet Collaboration study. And Tranche C of $10.0 million is available at Oxford’s option. The term loan matures on August 1, 2025 and has an annual floating interest rate of 7.15% which is an index rate plus 7%. The index rate is the greater of (i) 30-day US LIBOR or (ii) 0.15%.</w:t>
      </w:r>
    </w:p>
    <w:p>
      <w:pPr>
        <w:spacing w:after="0" w:line="141"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On March 29, 2021, Private Tempest entered into the Merger Agreement with Millendo. Concurrent with the execution and delivery of the Merger Agreement, Private Tempest entered into funding agreements with certain investors named therein, pursuant to which the investors agreed to purchase, in the aggregate, $30.0 million of common stock of Private Tempest, convertible into securities of Millendo.</w:t>
      </w:r>
    </w:p>
    <w:p>
      <w:pPr>
        <w:spacing w:after="0" w:line="167"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On June 25, 2021, Private Tempest closed the merger with Millendo. Pursuant to the Merger Agreement, Merger Sub merged with and into Private Tempest, with Private Tempest surviving as a wholly owned subsidiary of Millendo. Following the closing of the merger, Millendo changed its corporate name to Tempest Therapeutics, Inc.</w:t>
      </w:r>
    </w:p>
    <w:p>
      <w:pPr>
        <w:spacing w:after="0" w:line="200" w:lineRule="exact"/>
        <w:rPr>
          <w:sz w:val="20"/>
          <w:szCs w:val="20"/>
          <w:color w:val="auto"/>
        </w:rPr>
      </w:pP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On July 23, 2021, we entered into a sales agreement (the “Sales Agreement”) with Jefferies LLC (the “Agent”), pursuant to which we may sell, from time to time, up to an aggregate sales price of $100.0 million of its common stock through the Agent.</w:t>
      </w:r>
    </w:p>
    <w:p>
      <w:pPr>
        <w:spacing w:after="0" w:line="160"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color w:val="auto"/>
        </w:rPr>
        <w:t>The common stock sold in the offering will be issued pursuant to a prospectus supplement filed with the Securities and Exchange Commission (the “SEC”) on July 23, 2021, and the accompanying base prospectus dated July 23, 2021, forming part of our registration statement on Form S-3 (Registration No. 333-257990), which was declared effective on July 23, 2021.</w:t>
      </w:r>
    </w:p>
    <w:p>
      <w:pPr>
        <w:spacing w:after="0" w:line="114" w:lineRule="exact"/>
        <w:rPr>
          <w:sz w:val="20"/>
          <w:szCs w:val="20"/>
          <w:color w:val="auto"/>
        </w:rPr>
      </w:pPr>
    </w:p>
    <w:p>
      <w:pPr>
        <w:jc w:val="both"/>
        <w:ind w:left="240"/>
        <w:spacing w:after="0" w:line="248" w:lineRule="auto"/>
        <w:rPr>
          <w:sz w:val="20"/>
          <w:szCs w:val="20"/>
          <w:color w:val="auto"/>
        </w:rPr>
      </w:pPr>
      <w:r>
        <w:rPr>
          <w:rFonts w:ascii="Arial" w:cs="Arial" w:eastAsia="Arial" w:hAnsi="Arial"/>
          <w:sz w:val="14"/>
          <w:szCs w:val="14"/>
          <w:color w:val="auto"/>
        </w:rPr>
        <w:t>Sales of the common stock, if any, made pursuant to the Sales Agreement may be sold in negotiated transactions or transactions that are deemed to be an “at the market offering”, as defined in Rule 415(a)(4) of the Securities Act of 1933, as amended (the “Securities Act”), including sales made directly on or through the Nasdaq Capital Market, on or through any other existing trading market for the common stock or by any other method permitted by law, at market prices prevailing at the time of sale, at prices related to prevailing market prices or at negotiated prices, or as otherwise agreed between us and the Agent. The Agent will be entitled to compensation equal to 3.0% of the gross proceeds from the sale of all shares of common stock sold through it as Agent under the Sales Agreement.</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Cash Flows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summarizes our cash flows for the nine months period indicated:</w:t>
      </w:r>
    </w:p>
    <w:p>
      <w:pPr>
        <w:spacing w:after="0" w:line="221" w:lineRule="exact"/>
        <w:rPr>
          <w:sz w:val="20"/>
          <w:szCs w:val="20"/>
          <w:color w:val="auto"/>
        </w:rPr>
      </w:pPr>
    </w:p>
    <w:tbl>
      <w:tblPr>
        <w:tblLayout w:type="fixed"/>
        <w:tblInd w:w="240" w:type="dxa"/>
        <w:tblCellMar>
          <w:top w:w="0" w:type="dxa"/>
          <w:left w:w="0" w:type="dxa"/>
          <w:bottom w:w="0" w:type="dxa"/>
          <w:right w:w="0" w:type="dxa"/>
        </w:tblCellMar>
      </w:tblPr>
      <w:tr>
        <w:trPr>
          <w:trHeight w:val="141"/>
        </w:trPr>
        <w:tc>
          <w:tcPr>
            <w:tcW w:w="7040" w:type="dxa"/>
            <w:vAlign w:val="bottom"/>
          </w:tcPr>
          <w:p>
            <w:pPr>
              <w:spacing w:after="0"/>
              <w:rPr>
                <w:sz w:val="12"/>
                <w:szCs w:val="12"/>
                <w:color w:val="auto"/>
              </w:rPr>
            </w:pPr>
          </w:p>
        </w:tc>
        <w:tc>
          <w:tcPr>
            <w:tcW w:w="2180" w:type="dxa"/>
            <w:vAlign w:val="bottom"/>
            <w:gridSpan w:val="4"/>
          </w:tcPr>
          <w:p>
            <w:pPr>
              <w:jc w:val="right"/>
              <w:spacing w:after="0"/>
              <w:rPr>
                <w:sz w:val="20"/>
                <w:szCs w:val="20"/>
                <w:color w:val="auto"/>
              </w:rPr>
            </w:pPr>
            <w:r>
              <w:rPr>
                <w:rFonts w:ascii="Arial" w:cs="Arial" w:eastAsia="Arial" w:hAnsi="Arial"/>
                <w:sz w:val="11"/>
                <w:szCs w:val="11"/>
                <w:b w:val="1"/>
                <w:bCs w:val="1"/>
                <w:color w:val="auto"/>
              </w:rPr>
              <w:t>Nine Months Ended September 30,</w:t>
            </w:r>
          </w:p>
        </w:tc>
        <w:tc>
          <w:tcPr>
            <w:tcW w:w="500" w:type="dxa"/>
            <w:vAlign w:val="bottom"/>
          </w:tcPr>
          <w:p>
            <w:pPr>
              <w:spacing w:after="0"/>
              <w:rPr>
                <w:sz w:val="12"/>
                <w:szCs w:val="12"/>
                <w:color w:val="auto"/>
              </w:rPr>
            </w:pPr>
          </w:p>
        </w:tc>
      </w:tr>
      <w:tr>
        <w:trPr>
          <w:trHeight w:val="173"/>
        </w:trPr>
        <w:tc>
          <w:tcPr>
            <w:tcW w:w="70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00" w:type="dxa"/>
            <w:vAlign w:val="bottom"/>
            <w:tcBorders>
              <w:bottom w:val="single" w:sz="8" w:color="auto"/>
            </w:tcBorders>
          </w:tcPr>
          <w:p>
            <w:pPr>
              <w:spacing w:after="0"/>
              <w:rPr>
                <w:sz w:val="15"/>
                <w:szCs w:val="15"/>
                <w:color w:val="auto"/>
              </w:rPr>
            </w:pPr>
          </w:p>
        </w:tc>
      </w:tr>
      <w:tr>
        <w:trPr>
          <w:trHeight w:val="176"/>
        </w:trPr>
        <w:tc>
          <w:tcPr>
            <w:tcW w:w="704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gridSpan w:val="3"/>
            <w:shd w:val="clear" w:color="auto" w:fill="CCEEFF"/>
          </w:tcPr>
          <w:p>
            <w:pPr>
              <w:jc w:val="right"/>
              <w:ind w:right="396"/>
              <w:spacing w:after="0"/>
              <w:rPr>
                <w:sz w:val="20"/>
                <w:szCs w:val="20"/>
                <w:color w:val="auto"/>
              </w:rPr>
            </w:pPr>
            <w:r>
              <w:rPr>
                <w:rFonts w:ascii="Arial" w:cs="Arial" w:eastAsia="Arial" w:hAnsi="Arial"/>
                <w:sz w:val="12"/>
                <w:szCs w:val="12"/>
                <w:b w:val="1"/>
                <w:bCs w:val="1"/>
                <w:color w:val="auto"/>
              </w:rPr>
              <w:t>(in thousands)</w:t>
            </w:r>
          </w:p>
        </w:tc>
        <w:tc>
          <w:tcPr>
            <w:tcW w:w="500" w:type="dxa"/>
            <w:vAlign w:val="bottom"/>
            <w:tcBorders>
              <w:bottom w:val="single" w:sz="8" w:color="auto"/>
            </w:tcBorders>
            <w:shd w:val="clear" w:color="auto" w:fill="CCEEFF"/>
          </w:tcPr>
          <w:p>
            <w:pPr>
              <w:spacing w:after="0"/>
              <w:rPr>
                <w:sz w:val="15"/>
                <w:szCs w:val="15"/>
                <w:color w:val="auto"/>
              </w:rPr>
            </w:pPr>
          </w:p>
        </w:tc>
      </w:tr>
      <w:tr>
        <w:trPr>
          <w:trHeight w:val="181"/>
        </w:trPr>
        <w:tc>
          <w:tcPr>
            <w:tcW w:w="7040" w:type="dxa"/>
            <w:vAlign w:val="bottom"/>
          </w:tcPr>
          <w:p>
            <w:pPr>
              <w:ind w:left="20"/>
              <w:spacing w:after="0"/>
              <w:rPr>
                <w:sz w:val="20"/>
                <w:szCs w:val="20"/>
                <w:color w:val="auto"/>
              </w:rPr>
            </w:pPr>
            <w:r>
              <w:rPr>
                <w:rFonts w:ascii="Arial" w:cs="Arial" w:eastAsia="Arial" w:hAnsi="Arial"/>
                <w:sz w:val="14"/>
                <w:szCs w:val="14"/>
                <w:color w:val="auto"/>
              </w:rPr>
              <w:t>Cash used in operating activities</w:t>
            </w:r>
          </w:p>
        </w:tc>
        <w:tc>
          <w:tcPr>
            <w:tcW w:w="800" w:type="dxa"/>
            <w:vAlign w:val="bottom"/>
          </w:tcPr>
          <w:p>
            <w:pPr>
              <w:jc w:val="right"/>
              <w:ind w:right="659"/>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1"/>
              </w:rPr>
              <w:t>(17,972)</w:t>
            </w:r>
          </w:p>
        </w:tc>
        <w:tc>
          <w:tcPr>
            <w:tcW w:w="60" w:type="dxa"/>
            <w:vAlign w:val="bottom"/>
          </w:tcPr>
          <w:p>
            <w:pPr>
              <w:spacing w:after="0"/>
              <w:rPr>
                <w:sz w:val="15"/>
                <w:szCs w:val="15"/>
                <w:color w:val="auto"/>
              </w:rPr>
            </w:pPr>
          </w:p>
        </w:tc>
        <w:tc>
          <w:tcPr>
            <w:tcW w:w="800" w:type="dxa"/>
            <w:vAlign w:val="bottom"/>
          </w:tcPr>
          <w:p>
            <w:pPr>
              <w:jc w:val="right"/>
              <w:ind w:right="656"/>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88"/>
              </w:rPr>
              <w:t>(14,743)</w:t>
            </w:r>
          </w:p>
        </w:tc>
      </w:tr>
      <w:tr>
        <w:trPr>
          <w:trHeight w:val="21"/>
        </w:trPr>
        <w:tc>
          <w:tcPr>
            <w:tcW w:w="7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4"/>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used in investing activities</w:t>
            </w:r>
          </w:p>
        </w:tc>
        <w:tc>
          <w:tcPr>
            <w:tcW w:w="8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7040" w:type="dxa"/>
            <w:vAlign w:val="bottom"/>
          </w:tcPr>
          <w:p>
            <w:pPr>
              <w:ind w:left="20"/>
              <w:spacing w:after="0"/>
              <w:rPr>
                <w:sz w:val="20"/>
                <w:szCs w:val="20"/>
                <w:color w:val="auto"/>
              </w:rPr>
            </w:pPr>
            <w:r>
              <w:rPr>
                <w:rFonts w:ascii="Arial" w:cs="Arial" w:eastAsia="Arial" w:hAnsi="Arial"/>
                <w:sz w:val="14"/>
                <w:szCs w:val="14"/>
                <w:color w:val="auto"/>
              </w:rPr>
              <w:t>Cash provided by financing activities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59,072</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34,569</w:t>
            </w:r>
          </w:p>
        </w:tc>
      </w:tr>
      <w:tr>
        <w:trPr>
          <w:trHeight w:val="21"/>
        </w:trPr>
        <w:tc>
          <w:tcPr>
            <w:tcW w:w="70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94"/>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8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704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80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40,941</w:t>
            </w:r>
          </w:p>
        </w:tc>
        <w:tc>
          <w:tcPr>
            <w:tcW w:w="6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19,825</w:t>
            </w:r>
          </w:p>
        </w:tc>
      </w:tr>
      <w:tr>
        <w:trPr>
          <w:trHeight w:val="20"/>
        </w:trPr>
        <w:tc>
          <w:tcPr>
            <w:tcW w:w="7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Cash flows from operating activities</w:t>
      </w:r>
    </w:p>
    <w:p>
      <w:pPr>
        <w:spacing w:after="0" w:line="186"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color w:val="auto"/>
        </w:rPr>
        <w:t>Cash used in operating activities for the nine months ended September 30, 2021 was $18.0 million, consisting of a net loss of $20.5 million, add back of non-cash adjustments for depreciation, stock-based compensation, non-cash operating lease expense and other non-cash items totaling $2.2 million, plus changes in operating assets and liabilities of $0.3 million.</w:t>
      </w:r>
    </w:p>
    <w:p>
      <w:pPr>
        <w:spacing w:after="0" w:line="114"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color w:val="auto"/>
        </w:rPr>
        <w:t>Cash used in operating activities for the nine months ended September 30, 2020 was $14.7 million consisting of a net loss of $14.9 million, add back of non-cash adjustments for depreciation, stock-based compensation, non-cash operating lease expense and other non-cash items totaling $1.0 million, less changes in operating assets and liabilities of $0.8 million.</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Cash flows from investing activities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Cash used in investing activities for the nine months ended September 30, 2021 was related to purchases of property and equipment, primarily related to office, laboratory and computer equipment.</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Cash provided by investing activities for the nine months ended September 30, 2021 and 2020 was due to a repayment of promissory notes of $38 and $44, respectively.</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Cash flows from financing activities</w:t>
      </w:r>
    </w:p>
    <w:p>
      <w:pPr>
        <w:spacing w:after="0" w:line="186"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Cash provided by financing activities for the nine months ended September 30, 2021 was $59.1 million consisting of (i) proceeds from Oxford Loan of $14.9 million (net of issuance costs), (ii) issuance of common stock of $30.0 million concurrent with closing of the merger with Millendo and (iii) cash of $17.0 million brought over by Millendo as a result of the merger, offset by payment of reverse recapitalization costs of $6.4 million. Cash provided by financing activities for the nine months ended September 30, 2020 was primarily related to proceeds from the issuance of Series B-1 preferred stock of $34.5 million (net of issuance costs).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Future Funding Requirements</w:t>
      </w: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247" w:lineRule="auto"/>
        <w:rPr>
          <w:sz w:val="20"/>
          <w:szCs w:val="20"/>
          <w:color w:val="auto"/>
        </w:rPr>
      </w:pPr>
      <w:r>
        <w:rPr>
          <w:rFonts w:ascii="Arial" w:cs="Arial" w:eastAsia="Arial" w:hAnsi="Arial"/>
          <w:sz w:val="14"/>
          <w:szCs w:val="14"/>
          <w:color w:val="auto"/>
        </w:rPr>
        <w:t>We have not generated any revenue from product sales, and does not know when, or if, we will generate any revenue from product sales. We do not expect to generate any revenue from product sales unless and until we obtain regulatory approval of and commercializes any of our product candidates. At the same time, we expect our expenses to increase in connection with our ongoing development activities, particularly as we continue the research, development and clinical trials of, and seeks regulatory approval for, our product candidates. In addition, subject to obtaining regulatory approval of any of our product candidates, we anticipate that we will need substantial additional funding in connection with our continuing operations. We plan to continue to fund our operations and capital requirements through equity financing, debt financing and/or business development activities, but there are no assurances that we will be able to raise sufficient amounts of funding in the future on acceptable terms, or at all.</w:t>
      </w:r>
    </w:p>
    <w:p>
      <w:pPr>
        <w:spacing w:after="0" w:line="170" w:lineRule="exact"/>
        <w:rPr>
          <w:sz w:val="20"/>
          <w:szCs w:val="20"/>
          <w:color w:val="auto"/>
        </w:rPr>
      </w:pPr>
    </w:p>
    <w:p>
      <w:pPr>
        <w:jc w:val="both"/>
        <w:ind w:left="240"/>
        <w:spacing w:after="0" w:line="292" w:lineRule="auto"/>
        <w:rPr>
          <w:sz w:val="20"/>
          <w:szCs w:val="20"/>
          <w:color w:val="auto"/>
        </w:rPr>
      </w:pPr>
      <w:r>
        <w:rPr>
          <w:rFonts w:ascii="Arial" w:cs="Arial" w:eastAsia="Arial" w:hAnsi="Arial"/>
          <w:sz w:val="12"/>
          <w:szCs w:val="12"/>
          <w:color w:val="auto"/>
        </w:rPr>
        <w:t>Until we can generate a sufficient amount of product revenue to finance our cash requirements, we expect to finance our future cash needs primarily through the issuance of additional equity, borrowings and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commercialization efforts or grant rights to develop and market product candidates to third parties that we would otherwise prefer to develop and market itself.</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Contractual Obligations</w:t>
      </w:r>
    </w:p>
    <w:p>
      <w:pPr>
        <w:spacing w:after="0" w:line="188"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We enter into contracts in the normal course of business with various third parties for preclinical research studies, clinical trials, testing and other services. These contracts generally provide for termination upon notice, and therefore we believe that our non-cancelable obligations under these agreements are not material.</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Off-Balance Sheet Arrangements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have not entered into any off-balance sheet arrangements and does not have any holdings in variable interest entities.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188"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We are exposed to market risks in the ordinary course of its business. These risks primarily include interest rate fluctuation. As of September 30, 2021, and December 31, 2020, we had cash and cash equivalents of approximately $59.7 million and $18.8 million, respectively, which consisted primarily of bank deposit and money market funds. Such interest-earning instruments carry a degree of interest rate risk; however, historical fluctuations of interest income have not been significant.</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Critical Accounting Polices and Estimates</w:t>
      </w:r>
    </w:p>
    <w:p>
      <w:pPr>
        <w:spacing w:after="0" w:line="188" w:lineRule="exact"/>
        <w:rPr>
          <w:sz w:val="20"/>
          <w:szCs w:val="20"/>
          <w:color w:val="auto"/>
        </w:rPr>
      </w:pPr>
    </w:p>
    <w:p>
      <w:pPr>
        <w:jc w:val="both"/>
        <w:ind w:left="240"/>
        <w:spacing w:after="0" w:line="247" w:lineRule="auto"/>
        <w:rPr>
          <w:sz w:val="20"/>
          <w:szCs w:val="20"/>
          <w:color w:val="auto"/>
        </w:rPr>
      </w:pPr>
      <w:r>
        <w:rPr>
          <w:rFonts w:ascii="Arial" w:cs="Arial" w:eastAsia="Arial" w:hAnsi="Arial"/>
          <w:sz w:val="14"/>
          <w:szCs w:val="14"/>
          <w:color w:val="auto"/>
        </w:rPr>
        <w:t>Our management’s discussion and analysis of financial condition and results of operations is based on our financial statements, which have been prepared in accordance with US GAAP. The preparation of these financial statements requires us to make estimates and judgments that affect the reported amounts of assets, liabilities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We believe that the accounting policies discussed below are critical to understanding our historical and future performance, as these policies relate to the more significant areas involving management’s judgments and estimates.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Accrued Research and Development Expenses</w:t>
      </w:r>
    </w:p>
    <w:p>
      <w:pPr>
        <w:spacing w:after="0" w:line="186"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We record accrued expenses for estimated costs of our research and development activities conducted by third-party service providers, which include the conduct of preclinical studies and clinical trials and contract manufacturing activities. We record the estimated costs of research and development activities based upon the estimated amount of services provided but not yet invoiced, and we include these costs in accrued liabilities in the balance sheets and within research and development expense</w:t>
      </w:r>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in the statement of operations and comprehensive loss. These costs are a significant component of our research and development expense. We record accrued expenses for these costs based on the estimated amount of work completed and in accordance with agreements established with these third parties.</w:t>
      </w:r>
    </w:p>
    <w:p>
      <w:pPr>
        <w:spacing w:after="0" w:line="160" w:lineRule="exact"/>
        <w:rPr>
          <w:sz w:val="20"/>
          <w:szCs w:val="20"/>
          <w:color w:val="auto"/>
        </w:rPr>
      </w:pPr>
    </w:p>
    <w:p>
      <w:pPr>
        <w:jc w:val="both"/>
        <w:ind w:left="240"/>
        <w:spacing w:after="0" w:line="299" w:lineRule="auto"/>
        <w:rPr>
          <w:sz w:val="20"/>
          <w:szCs w:val="20"/>
          <w:color w:val="auto"/>
        </w:rPr>
      </w:pPr>
      <w:r>
        <w:rPr>
          <w:rFonts w:ascii="Arial" w:cs="Arial" w:eastAsia="Arial" w:hAnsi="Arial"/>
          <w:sz w:val="12"/>
          <w:szCs w:val="12"/>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clinical research organizations and other third-party service providers.</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86" w:lineRule="exact"/>
        <w:rPr>
          <w:sz w:val="20"/>
          <w:szCs w:val="20"/>
          <w:color w:val="auto"/>
        </w:rPr>
      </w:pPr>
    </w:p>
    <w:p>
      <w:pPr>
        <w:jc w:val="both"/>
        <w:ind w:left="240"/>
        <w:spacing w:after="0" w:line="314" w:lineRule="auto"/>
        <w:rPr>
          <w:sz w:val="20"/>
          <w:szCs w:val="20"/>
          <w:color w:val="auto"/>
        </w:rPr>
      </w:pPr>
      <w:r>
        <w:rPr>
          <w:rFonts w:ascii="Arial" w:cs="Arial" w:eastAsia="Arial" w:hAnsi="Arial"/>
          <w:sz w:val="12"/>
          <w:szCs w:val="12"/>
          <w:color w:val="auto"/>
        </w:rPr>
        <w:t>We recognize noncash stock-based compensation expense related to stock-based awards to employees, non-employees and directors, including stock options, based on the fair value on the grant date using the Black-Scholes option pricing model. The related stock-based compensation is recognized as expense on a straight line-basis over the employee’s, non-employee’s or director’s requisite service period (generally the vesting period). Noncash stock compensation expense is based on awards ultimately expected to vest and is reduced by an estimate for future forfeitures.</w:t>
      </w:r>
    </w:p>
    <w:p>
      <w:pPr>
        <w:spacing w:after="0" w:line="132"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In determining the fair value of stock options, we use the Black-Scholes option-pricing model and assumptions discussed below. Each of these inputs is subjective and generally requires significant judgment to determine.</w:t>
      </w:r>
    </w:p>
    <w:p>
      <w:pPr>
        <w:spacing w:after="0" w:line="160"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b w:val="1"/>
          <w:bCs w:val="1"/>
          <w:i w:val="1"/>
          <w:iCs w:val="1"/>
          <w:color w:val="auto"/>
        </w:rPr>
        <w:t>Fair Value of Common Stock</w:t>
      </w:r>
      <w:r>
        <w:rPr>
          <w:rFonts w:ascii="Arial" w:cs="Arial" w:eastAsia="Arial" w:hAnsi="Arial"/>
          <w:sz w:val="12"/>
          <w:szCs w:val="12"/>
          <w:color w:val="auto"/>
        </w:rPr>
        <w:t>—The fair value of the shares of common stock underlying stock options has historically been determined by our board of directors. Because there has been no public</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market for its common stock, the board of directors exercises reasonable judgment and considers a number of objective and subjective factors to determine the best estimate of the fair value of our common stock, including important developments in its operations, sales of redeemable convertible preferred stock, actual operating results and financial performance, the conditions in the life sciences industry and the economy in general, the stock price performance and volatility of comparable public companies, and the lack of liquidity of its common stock, among other factors.</w:t>
      </w:r>
    </w:p>
    <w:p>
      <w:pPr>
        <w:spacing w:after="0" w:line="138"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Expected Term</w:t>
      </w:r>
      <w:r>
        <w:rPr>
          <w:rFonts w:ascii="Arial" w:cs="Arial" w:eastAsia="Arial" w:hAnsi="Arial"/>
          <w:sz w:val="14"/>
          <w:szCs w:val="14"/>
          <w:color w:val="auto"/>
        </w:rPr>
        <w:t>—Our expected term represents the period that the stock-based awards are expected to be outstanding and is determined using the simplified method (based on the mid-point between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vesting date and the end of the contractual term) for employee options.</w:t>
      </w:r>
    </w:p>
    <w:p>
      <w:pPr>
        <w:spacing w:after="0" w:line="160"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b w:val="1"/>
          <w:bCs w:val="1"/>
          <w:i w:val="1"/>
          <w:iCs w:val="1"/>
          <w:color w:val="auto"/>
        </w:rPr>
        <w:t>Expected Volatility</w:t>
      </w:r>
      <w:r>
        <w:rPr>
          <w:rFonts w:ascii="Arial" w:cs="Arial" w:eastAsia="Arial" w:hAnsi="Arial"/>
          <w:sz w:val="12"/>
          <w:szCs w:val="12"/>
          <w:color w:val="auto"/>
        </w:rPr>
        <w:t>—The expected stock price volatility assumption was determined by examining the historical volatilities for industry peers, as we did not have any trading history for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common stock. We will continue to analyze the historical stock price volatility and expected term assumption as more historical data for our common stock becomes available.</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Risk-Free Interest Rate</w:t>
      </w:r>
      <w:r>
        <w:rPr>
          <w:rFonts w:ascii="Arial" w:cs="Arial" w:eastAsia="Arial" w:hAnsi="Arial"/>
          <w:sz w:val="12"/>
          <w:szCs w:val="12"/>
          <w:color w:val="auto"/>
        </w:rPr>
        <w:t>—The risk-free interest rate is based on the U.S. Treasury zero coupon issues in effect at the time of grant for periods corresponding with the expected term of option.</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Expected Dividend</w:t>
      </w:r>
      <w:r>
        <w:rPr>
          <w:rFonts w:ascii="Arial" w:cs="Arial" w:eastAsia="Arial" w:hAnsi="Arial"/>
          <w:sz w:val="12"/>
          <w:szCs w:val="12"/>
          <w:color w:val="auto"/>
        </w:rPr>
        <w:t>—We have never paid dividends on its common stock and has no plans to pay dividends on its common stock. Therefore, we use an expected dividend yield of zero.</w:t>
      </w:r>
    </w:p>
    <w:p>
      <w:pPr>
        <w:spacing w:after="0" w:line="209"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For the nine months ended September 30, 2021 and 2020, stock-based compensation expense was $827 thousand and $321 thousand, respectively. Of the amount of $827 thousand in stock-based compensation expense, $227 thousand was recorded in research and development and $600 thousand was recorded in general and administrative for the nine months ended September 30, 2021. Of the amount of $321 thousand in stock-based compensation expense, $290 thousand was recorded in research and development and $31 thousand was recorded in general and administrative for the nine months ended September 30, 2020.</w:t>
      </w:r>
    </w:p>
    <w:p>
      <w:pPr>
        <w:spacing w:after="0" w:line="169"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As of September 30, 2021, we had $3.0 million of total unrecognized stock-based compensation costs, net of estimated forfeitures, which it expects to recognize over a weighted-average period of 1.4 years.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 xml:space="preserve">Item 3. </w:t>
      </w:r>
      <w:r>
        <w:rPr>
          <w:rFonts w:ascii="Arial" w:cs="Arial" w:eastAsia="Arial" w:hAnsi="Arial"/>
          <w:sz w:val="14"/>
          <w:szCs w:val="14"/>
          <w:b w:val="1"/>
          <w:bCs w:val="1"/>
          <w:i w:val="1"/>
          <w:iCs w:val="1"/>
          <w:color w:val="auto"/>
        </w:rPr>
        <w:t>Quantitative and Qualitative Disclosures about Market Risk</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Not required for smaller reporting companies.</w:t>
      </w: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4. </w:t>
      </w:r>
      <w:r>
        <w:rPr>
          <w:rFonts w:ascii="Arial" w:cs="Arial" w:eastAsia="Arial" w:hAnsi="Arial"/>
          <w:sz w:val="14"/>
          <w:szCs w:val="14"/>
          <w:b w:val="1"/>
          <w:bCs w:val="1"/>
          <w:i w:val="1"/>
          <w:iCs w:val="1"/>
          <w:color w:val="auto"/>
        </w:rPr>
        <w:t>Controls and Procedures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186" w:lineRule="exact"/>
        <w:rPr>
          <w:sz w:val="20"/>
          <w:szCs w:val="20"/>
          <w:color w:val="auto"/>
        </w:rPr>
      </w:pPr>
    </w:p>
    <w:p>
      <w:pPr>
        <w:jc w:val="both"/>
        <w:ind w:left="240"/>
        <w:spacing w:after="0" w:line="299" w:lineRule="auto"/>
        <w:rPr>
          <w:sz w:val="20"/>
          <w:szCs w:val="20"/>
          <w:color w:val="auto"/>
        </w:rPr>
      </w:pPr>
      <w:r>
        <w:rPr>
          <w:rFonts w:ascii="Arial" w:cs="Arial" w:eastAsia="Arial" w:hAnsi="Arial"/>
          <w:sz w:val="12"/>
          <w:szCs w:val="12"/>
          <w:color w:val="auto"/>
        </w:rPr>
        <w:t>Our management, with the participation of our Chief Executive Officer (principal executive officer) and Vice-President, Strategy and Finance (principal financial officer), evaluated the effectiveness of our disclosure controls and procedures (as defined in the Securities Exchange Act of 1934 Rules 13a-15(e) or 15d-15(e)) as required by paragraph (b) of Exchange Act Rules 13a-15 or 15d-15, as of September 30, 2021. Based on the evaluation of our disclosure controls and procedures as of September 30, 2021, our Chief Executive Officer and Vice-President, Strategy and Finance concluded that, as of such date, our disclosure controls and procedures were not effective at a reasonable assurance level because of the material weaknesses in internal control over financial reporting set forth below; provided, however, that we have made improvements with respect to addressing such material weaknesses and will continue to execute on an existing plan to remedy them.</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Internal Control Over Financial Reporting</w:t>
      </w:r>
    </w:p>
    <w:p>
      <w:pPr>
        <w:spacing w:after="0" w:line="186" w:lineRule="exact"/>
        <w:rPr>
          <w:sz w:val="20"/>
          <w:szCs w:val="20"/>
          <w:color w:val="auto"/>
        </w:rPr>
      </w:pPr>
    </w:p>
    <w:p>
      <w:pPr>
        <w:jc w:val="both"/>
        <w:ind w:left="240"/>
        <w:spacing w:after="0" w:line="248"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defined in Rules 13a-15(f) and 15d (f) under the Exchange Act). Internal control over financial reporting is a process designed to provide reasonable assurance regarding the reliability of financial reporting and the preparation of financial statements for external reporting purposes in accordance with US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9"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color w:val="auto"/>
        </w:rPr>
        <w:t>A company’s internal control over financial reporting is a process designed by, or under the supervision of, a company’s principal executive and principal financial officers, or persons performing similar functions, and effected by a company’s board of directors, management and other personnel to provide reasonable assurance regarding the reliability of financial reporting and the preparation of financial statements in accordance with generally accepted accounting principles.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38"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In preparing the financial statements as of and for the year ended December 31, 2020, our management identified material weaknesses in its internal control over financial reporting. The material weaknesses identified were as follows:</w:t>
      </w:r>
    </w:p>
    <w:p>
      <w:pPr>
        <w:spacing w:after="0" w:line="160" w:lineRule="exact"/>
        <w:rPr>
          <w:sz w:val="20"/>
          <w:szCs w:val="20"/>
          <w:color w:val="auto"/>
        </w:rPr>
      </w:pPr>
    </w:p>
    <w:p>
      <w:pPr>
        <w:ind w:left="240" w:firstLine="7"/>
        <w:spacing w:after="0" w:line="261" w:lineRule="auto"/>
        <w:tabs>
          <w:tab w:leader="none" w:pos="481"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There was a material weakness in our internal control environment over financial reporting as a result of insufficient resources with appropriate knowledge and expertise to design, implement, document and operate effective internal controls over financial reporting.</w:t>
      </w:r>
    </w:p>
    <w:p>
      <w:pPr>
        <w:spacing w:after="0" w:line="160" w:lineRule="exact"/>
        <w:rPr>
          <w:rFonts w:ascii="Arial" w:cs="Arial" w:eastAsia="Arial" w:hAnsi="Arial"/>
          <w:sz w:val="14"/>
          <w:szCs w:val="14"/>
          <w:color w:val="auto"/>
        </w:rPr>
      </w:pPr>
    </w:p>
    <w:p>
      <w:pPr>
        <w:jc w:val="both"/>
        <w:ind w:left="240" w:firstLine="7"/>
        <w:spacing w:after="0" w:line="252" w:lineRule="auto"/>
        <w:tabs>
          <w:tab w:leader="none" w:pos="478"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There was a material weakness in our internal control activities due to a failure in the design and implementation of controls to review clinical trial expenses, including the evaluation of the terms of clinical trial contracts. Specifically, Tempest failed to properly review and evaluate progress of expense incurred in clinical trial contracts which resulted in the inaccurate accrual of its clinical trial expenses.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As a result of the material weaknesses described above, management concluded that, as of December 31, 2020, our internal control over financial reporting was ineffective.</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Remediation of Material Weaknesses in Internal Control over Financial Reporting</w:t>
      </w:r>
    </w:p>
    <w:p>
      <w:pPr>
        <w:spacing w:after="0" w:line="188" w:lineRule="exact"/>
        <w:rPr>
          <w:sz w:val="20"/>
          <w:szCs w:val="20"/>
          <w:color w:val="auto"/>
        </w:rPr>
      </w:pPr>
    </w:p>
    <w:p>
      <w:pPr>
        <w:ind w:left="240"/>
        <w:spacing w:after="0" w:line="261" w:lineRule="auto"/>
        <w:rPr>
          <w:sz w:val="20"/>
          <w:szCs w:val="20"/>
          <w:color w:val="auto"/>
        </w:rPr>
      </w:pPr>
      <w:r>
        <w:rPr>
          <w:rFonts w:ascii="Arial" w:cs="Arial" w:eastAsia="Arial" w:hAnsi="Arial"/>
          <w:sz w:val="14"/>
          <w:szCs w:val="14"/>
          <w:color w:val="auto"/>
        </w:rPr>
        <w:t>Our management, under the supervision of its Chief Executive Officer, has undertaken a plan to remediate the material weaknesses identified above. The remediation efforts summarized below, which are in the process of being implemented, are intended to address the identified material weaknesses.</w:t>
      </w:r>
    </w:p>
    <w:p>
      <w:pPr>
        <w:spacing w:after="0" w:line="344" w:lineRule="exact"/>
        <w:rPr>
          <w:sz w:val="20"/>
          <w:szCs w:val="20"/>
          <w:color w:val="auto"/>
        </w:rPr>
      </w:pPr>
    </w:p>
    <w:p>
      <w:pPr>
        <w:ind w:left="240" w:firstLine="7"/>
        <w:spacing w:after="0" w:line="261" w:lineRule="auto"/>
        <w:tabs>
          <w:tab w:leader="none" w:pos="481"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will seek to recruit and hire additional accounting personnel with appropriate experience, certification, education and training to help design, implement, document and operate effective internal controls over financial reporting; and</w:t>
      </w:r>
    </w:p>
    <w:p>
      <w:pPr>
        <w:spacing w:after="0" w:line="160" w:lineRule="exact"/>
        <w:rPr>
          <w:rFonts w:ascii="Arial" w:cs="Arial" w:eastAsia="Arial" w:hAnsi="Arial"/>
          <w:sz w:val="14"/>
          <w:szCs w:val="14"/>
          <w:color w:val="auto"/>
        </w:rPr>
      </w:pPr>
    </w:p>
    <w:p>
      <w:pPr>
        <w:ind w:left="480" w:hanging="233"/>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will design and implement controls related to review of clinical trial expenses to properly evaluate progress of expense incurred in clinical trial contracts.</w:t>
      </w: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color w:val="auto"/>
        </w:rPr>
        <w:t>Our management cannot assure you that the material weaknesses identified at the Company will be remediated by the combined company on the timelines currently anticipated by us, or at all, and/or that there will not be additional material weaknesses or significant deficiencies in the combined company’s internal control over financial reporting in the future.</w:t>
      </w:r>
    </w:p>
    <w:p>
      <w:pPr>
        <w:spacing w:after="0" w:line="114"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Notwithstanding the existence of the material weaknesses as described above, we believe that the Consolidated Financial Statements in this Quarterly Report fairly present, in all material respects, our financial position, results of operations and cash flows as of the dates, and for the periods, presented, in conformity with U.S. GAAP.</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186" w:lineRule="exact"/>
        <w:rPr>
          <w:sz w:val="20"/>
          <w:szCs w:val="20"/>
          <w:color w:val="auto"/>
        </w:rPr>
      </w:pPr>
    </w:p>
    <w:p>
      <w:pPr>
        <w:jc w:val="both"/>
        <w:ind w:left="240"/>
        <w:spacing w:after="0" w:line="314" w:lineRule="auto"/>
        <w:rPr>
          <w:sz w:val="20"/>
          <w:szCs w:val="20"/>
          <w:color w:val="auto"/>
        </w:rPr>
      </w:pPr>
      <w:r>
        <w:rPr>
          <w:rFonts w:ascii="Arial" w:cs="Arial" w:eastAsia="Arial" w:hAnsi="Arial"/>
          <w:sz w:val="12"/>
          <w:szCs w:val="12"/>
          <w:color w:val="auto"/>
        </w:rPr>
        <w:t>There were no changes in internal control over financial reporting during the quarter ended September 30, 2021 that have materially affected, or are reasonably likely to materially affect, our internal control over financial reporting. We have not experienced any material impact to our internal controls over financial reporting despite the fact that our employees are working remotely due to the COVID-19 pandemic. We are continually monitoring and assessing the COVID-19 situation on our internal controls to minimize the impact on their design and operating effectiveness.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Inherent Limitations on Effectiveness of Controls</w:t>
      </w:r>
    </w:p>
    <w:p>
      <w:pPr>
        <w:spacing w:after="0" w:line="186" w:lineRule="exact"/>
        <w:rPr>
          <w:sz w:val="20"/>
          <w:szCs w:val="20"/>
          <w:color w:val="auto"/>
        </w:rPr>
      </w:pPr>
    </w:p>
    <w:p>
      <w:pPr>
        <w:jc w:val="both"/>
        <w:ind w:left="240"/>
        <w:spacing w:after="0" w:line="291" w:lineRule="auto"/>
        <w:rPr>
          <w:sz w:val="20"/>
          <w:szCs w:val="20"/>
          <w:color w:val="auto"/>
        </w:rPr>
      </w:pPr>
      <w:r>
        <w:rPr>
          <w:rFonts w:ascii="Arial" w:cs="Arial" w:eastAsia="Arial" w:hAnsi="Arial"/>
          <w:sz w:val="12"/>
          <w:szCs w:val="12"/>
          <w:color w:val="auto"/>
        </w:rPr>
        <w:t>Our management, including our Chief Executive Officer and our Vice-President, Strategy and Finance,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7"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PART II - OTHER INFORMATION</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 xml:space="preserve">Item 1. </w:t>
      </w:r>
      <w:r>
        <w:rPr>
          <w:rFonts w:ascii="Arial" w:cs="Arial" w:eastAsia="Arial" w:hAnsi="Arial"/>
          <w:sz w:val="14"/>
          <w:szCs w:val="14"/>
          <w:b w:val="1"/>
          <w:bCs w:val="1"/>
          <w:i w:val="1"/>
          <w:iCs w:val="1"/>
          <w:color w:val="auto"/>
        </w:rPr>
        <w:t>Legal Proceedings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Information pertaining to legal proceedings is provided in Note 8 to the Consolidated Financial Statements and is incorporated by reference herein.</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 xml:space="preserve">Item lA. </w:t>
      </w:r>
      <w:r>
        <w:rPr>
          <w:rFonts w:ascii="Arial" w:cs="Arial" w:eastAsia="Arial" w:hAnsi="Arial"/>
          <w:sz w:val="14"/>
          <w:szCs w:val="14"/>
          <w:b w:val="1"/>
          <w:bCs w:val="1"/>
          <w:i w:val="1"/>
          <w:iCs w:val="1"/>
          <w:color w:val="auto"/>
        </w:rPr>
        <w:t>Risk Factors</w:t>
      </w:r>
    </w:p>
    <w:p>
      <w:pPr>
        <w:spacing w:after="0" w:line="188" w:lineRule="exact"/>
        <w:rPr>
          <w:sz w:val="20"/>
          <w:szCs w:val="20"/>
          <w:color w:val="auto"/>
        </w:rPr>
      </w:pPr>
    </w:p>
    <w:p>
      <w:pPr>
        <w:jc w:val="both"/>
        <w:ind w:left="240"/>
        <w:spacing w:after="0" w:line="247" w:lineRule="auto"/>
        <w:rPr>
          <w:sz w:val="20"/>
          <w:szCs w:val="20"/>
          <w:color w:val="auto"/>
        </w:rPr>
      </w:pPr>
      <w:r>
        <w:rPr>
          <w:rFonts w:ascii="Arial" w:cs="Arial" w:eastAsia="Arial" w:hAnsi="Arial"/>
          <w:sz w:val="14"/>
          <w:szCs w:val="14"/>
          <w:i w:val="1"/>
          <w:iCs w:val="1"/>
          <w:color w:val="auto"/>
        </w:rPr>
        <w:t>Our business involves significant risks, some of which are described below. You should carefully consider the risks described below, together with all of the other information contained in this Quarterly Report on Form 10-Q, including the section entitled “Management’s Discussion and Analysis of Financial Condition and Results of Operations” and the financial statements and the related notes.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 Such risks may be amplified by the COVID-19 pandemic and its potential impact on our business and the global economy.</w:t>
      </w:r>
    </w:p>
    <w:p>
      <w:pPr>
        <w:spacing w:after="0" w:line="170"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 on Form 10-Q.</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Unless otherwise stated in these risk/actors or the context otherwise requires, references in these risk/actors to:</w:t>
      </w:r>
    </w:p>
    <w:p>
      <w:pPr>
        <w:spacing w:after="0" w:line="186" w:lineRule="exact"/>
        <w:rPr>
          <w:sz w:val="20"/>
          <w:szCs w:val="20"/>
          <w:color w:val="auto"/>
        </w:rPr>
      </w:pPr>
    </w:p>
    <w:p>
      <w:pPr>
        <w:ind w:left="980" w:hanging="243"/>
        <w:spacing w:after="0"/>
        <w:tabs>
          <w:tab w:leader="none" w:pos="9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“Tempest” refers to Tempest Therapeutics, Inc., a Delaware corporation, known before June 25, 2021 as Millendo Therapeutics, Inc.</w:t>
      </w:r>
    </w:p>
    <w:p>
      <w:pPr>
        <w:spacing w:after="0" w:line="186"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11"/>
        </w:numPr>
        <w:rPr>
          <w:rFonts w:ascii="Arial" w:cs="Arial" w:eastAsia="Arial" w:hAnsi="Arial"/>
          <w:sz w:val="14"/>
          <w:szCs w:val="14"/>
          <w:color w:val="auto"/>
        </w:rPr>
      </w:pPr>
      <w:r>
        <w:rPr>
          <w:rFonts w:ascii="Arial" w:cs="Arial" w:eastAsia="Arial" w:hAnsi="Arial"/>
          <w:sz w:val="14"/>
          <w:szCs w:val="14"/>
          <w:color w:val="auto"/>
        </w:rPr>
        <w:t>“Millendo” refers to Millendo Therapeutics, Inc., a Delaware corporation, prior to the Merger. On June 25, 2021, Millendo effected a 1-for-15 reverse stock split of its common stock, completed the Merger and changed its name to “Tempest Therapeutics, Inc.”</w:t>
      </w:r>
    </w:p>
    <w:p>
      <w:pPr>
        <w:spacing w:after="0" w:line="160" w:lineRule="exact"/>
        <w:rPr>
          <w:rFonts w:ascii="Arial" w:cs="Arial" w:eastAsia="Arial" w:hAnsi="Arial"/>
          <w:sz w:val="14"/>
          <w:szCs w:val="14"/>
          <w:color w:val="auto"/>
        </w:rPr>
      </w:pPr>
    </w:p>
    <w:p>
      <w:pPr>
        <w:ind w:left="980" w:hanging="243"/>
        <w:spacing w:after="0"/>
        <w:tabs>
          <w:tab w:leader="none" w:pos="9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“Private Tempest” refers to TempestTx, Inc., previously known as “Tempest Therapeutics, Inc.”</w:t>
      </w:r>
    </w:p>
    <w:p>
      <w:pPr>
        <w:spacing w:after="0" w:line="186" w:lineRule="exact"/>
        <w:rPr>
          <w:rFonts w:ascii="Arial" w:cs="Arial" w:eastAsia="Arial" w:hAnsi="Arial"/>
          <w:sz w:val="14"/>
          <w:szCs w:val="14"/>
          <w:color w:val="auto"/>
        </w:rPr>
      </w:pPr>
    </w:p>
    <w:p>
      <w:pPr>
        <w:jc w:val="both"/>
        <w:ind w:left="980" w:hanging="243"/>
        <w:spacing w:after="0" w:line="252" w:lineRule="auto"/>
        <w:tabs>
          <w:tab w:leader="none" w:pos="977"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“Merger” refers to the series of transaction, completed on June 25, 2021, on which, among other things, Mars Merger Corp., a Delaware corporation and subsidiary of Millendo, merged with and into Private Tempest, with Private Tempest continuing as the wholly owned subsidiary of Millendo and the surviving corporation of the merger. Following the completion of the Merger, the business conducted by Tempest became the business conducted by Private Tempest.</w:t>
      </w:r>
    </w:p>
    <w:p>
      <w:pPr>
        <w:spacing w:after="0" w:line="166" w:lineRule="exact"/>
        <w:rPr>
          <w:rFonts w:ascii="Arial" w:cs="Arial" w:eastAsia="Arial" w:hAnsi="Arial"/>
          <w:sz w:val="14"/>
          <w:szCs w:val="14"/>
          <w:color w:val="auto"/>
        </w:rPr>
      </w:pPr>
    </w:p>
    <w:p>
      <w:pPr>
        <w:ind w:left="980" w:hanging="243"/>
        <w:spacing w:after="0"/>
        <w:tabs>
          <w:tab w:leader="none" w:pos="9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References to “we,” “our,” “us” and the “company” in this document refer to Tempest.</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Summary Risk Factors</w:t>
      </w:r>
    </w:p>
    <w:p>
      <w:pPr>
        <w:spacing w:after="0" w:line="188" w:lineRule="exact"/>
        <w:rPr>
          <w:sz w:val="20"/>
          <w:szCs w:val="20"/>
          <w:color w:val="auto"/>
        </w:rPr>
      </w:pPr>
    </w:p>
    <w:p>
      <w:pPr>
        <w:ind w:left="240"/>
        <w:spacing w:after="0" w:line="261" w:lineRule="auto"/>
        <w:rPr>
          <w:sz w:val="20"/>
          <w:szCs w:val="20"/>
          <w:color w:val="auto"/>
        </w:rPr>
      </w:pPr>
      <w:r>
        <w:rPr>
          <w:rFonts w:ascii="Arial" w:cs="Arial" w:eastAsia="Arial" w:hAnsi="Arial"/>
          <w:sz w:val="14"/>
          <w:szCs w:val="14"/>
          <w:color w:val="auto"/>
        </w:rPr>
        <w:t>Investing in our common stock involves a high degree of risk because our business is subject to numerous risks and uncertainties, as fully described below. The principal factors and uncertainties that make investing in our common stock speculative or risky include, among others:</w:t>
      </w:r>
    </w:p>
    <w:p>
      <w:pPr>
        <w:spacing w:after="0" w:line="160" w:lineRule="exact"/>
        <w:rPr>
          <w:sz w:val="20"/>
          <w:szCs w:val="20"/>
          <w:color w:val="auto"/>
        </w:rPr>
      </w:pPr>
    </w:p>
    <w:p>
      <w:pPr>
        <w:ind w:left="240"/>
        <w:spacing w:after="0" w:line="345" w:lineRule="auto"/>
        <w:rPr>
          <w:sz w:val="20"/>
          <w:szCs w:val="20"/>
          <w:color w:val="auto"/>
        </w:rPr>
      </w:pPr>
      <w:r>
        <w:rPr>
          <w:rFonts w:ascii="Arial" w:cs="Arial" w:eastAsia="Arial" w:hAnsi="Arial"/>
          <w:sz w:val="12"/>
          <w:szCs w:val="12"/>
          <w:color w:val="auto"/>
        </w:rPr>
        <w:t>We have a history of operating losses, and we may not achieve or sustain profitability. We anticipate that it will continue to incur losses for the foreseeable future. If we fail to obtain additional funding to conduct its planned research and development efforts, we could be forced to delay, reduce or eliminate our product development programs or commercial development efforts.</w:t>
      </w:r>
    </w:p>
    <w:p>
      <w:pPr>
        <w:spacing w:after="0" w:line="114" w:lineRule="exact"/>
        <w:rPr>
          <w:sz w:val="20"/>
          <w:szCs w:val="20"/>
          <w:color w:val="auto"/>
        </w:rPr>
      </w:pPr>
    </w:p>
    <w:p>
      <w:pPr>
        <w:jc w:val="both"/>
        <w:ind w:left="980" w:hanging="243"/>
        <w:spacing w:after="0" w:line="252" w:lineRule="auto"/>
        <w:tabs>
          <w:tab w:leader="none" w:pos="977"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expect that we will need to raise additional funding before we can expect to become profitable from any potential future sales of our product candidates. This additional financing may not be available on acceptable terms or at all. Failure to obtain this necessary capital when needed may force Tempest to delay, limit or terminate its product development efforts or other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463550</wp:posOffset>
            </wp:positionV>
            <wp:extent cx="719137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ind w:left="980" w:hanging="243"/>
        <w:spacing w:after="0" w:line="261" w:lineRule="auto"/>
        <w:tabs>
          <w:tab w:leader="none" w:pos="977" w:val="left"/>
        </w:tabs>
        <w:numPr>
          <w:ilvl w:val="0"/>
          <w:numId w:val="13"/>
        </w:numPr>
        <w:rPr>
          <w:rFonts w:ascii="Arial" w:cs="Arial" w:eastAsia="Arial" w:hAnsi="Arial"/>
          <w:sz w:val="14"/>
          <w:szCs w:val="14"/>
          <w:color w:val="auto"/>
        </w:rPr>
      </w:pPr>
      <w:r>
        <w:rPr>
          <w:rFonts w:ascii="Arial" w:cs="Arial" w:eastAsia="Arial" w:hAnsi="Arial"/>
          <w:sz w:val="14"/>
          <w:szCs w:val="14"/>
          <w:color w:val="auto"/>
        </w:rPr>
        <w:t>If we are unable to develop, obtain regulatory approval for and commercialize TPST-1495 and TPST-1120 and its future product candidates, or if we experience significant delays in doing so, our business will be materially harmed.</w:t>
      </w:r>
    </w:p>
    <w:p>
      <w:pPr>
        <w:spacing w:after="0" w:line="160"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13"/>
        </w:numPr>
        <w:rPr>
          <w:rFonts w:ascii="Arial" w:cs="Arial" w:eastAsia="Arial" w:hAnsi="Arial"/>
          <w:sz w:val="14"/>
          <w:szCs w:val="14"/>
          <w:color w:val="auto"/>
        </w:rPr>
      </w:pPr>
      <w:r>
        <w:rPr>
          <w:rFonts w:ascii="Arial" w:cs="Arial" w:eastAsia="Arial" w:hAnsi="Arial"/>
          <w:sz w:val="14"/>
          <w:szCs w:val="14"/>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60"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commercial success of our product candidates, including TPST-1495 and TPST-1120, will depend upon their degree of market acceptance by providers, patients, patient advocacy groups, third-party payors and the general medical community.</w:t>
      </w:r>
    </w:p>
    <w:p>
      <w:pPr>
        <w:spacing w:after="0" w:line="160" w:lineRule="exact"/>
        <w:rPr>
          <w:rFonts w:ascii="Arial" w:cs="Arial" w:eastAsia="Arial" w:hAnsi="Arial"/>
          <w:sz w:val="14"/>
          <w:szCs w:val="14"/>
          <w:color w:val="auto"/>
        </w:rPr>
      </w:pPr>
    </w:p>
    <w:p>
      <w:pPr>
        <w:jc w:val="both"/>
        <w:ind w:left="980" w:hanging="243"/>
        <w:spacing w:after="0" w:line="252" w:lineRule="auto"/>
        <w:tabs>
          <w:tab w:leader="none" w:pos="977"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TPST-1495, TPST-1120, and our other product candidates.</w:t>
      </w:r>
    </w:p>
    <w:p>
      <w:pPr>
        <w:spacing w:after="0" w:line="166"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13"/>
        </w:numPr>
        <w:rPr>
          <w:rFonts w:ascii="Arial" w:cs="Arial" w:eastAsia="Arial" w:hAnsi="Arial"/>
          <w:sz w:val="14"/>
          <w:szCs w:val="14"/>
          <w:color w:val="auto"/>
        </w:rPr>
      </w:pPr>
      <w:r>
        <w:rPr>
          <w:rFonts w:ascii="Arial" w:cs="Arial" w:eastAsia="Arial" w:hAnsi="Arial"/>
          <w:sz w:val="14"/>
          <w:szCs w:val="14"/>
          <w:color w:val="auto"/>
        </w:rPr>
        <w:t>If we are unable to establish sales and marketing capabilities or enter into agreements with third parties to market and sell Tempest’s product candidates, we may be unable to generate any revenues.</w:t>
      </w:r>
    </w:p>
    <w:p>
      <w:pPr>
        <w:spacing w:after="0" w:line="160"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FDA regulatory approval process is lengthy and time-consuming, and we may experience significant delays in the clinical development and regulatory approval of our product candidates.</w:t>
      </w:r>
    </w:p>
    <w:p>
      <w:pPr>
        <w:spacing w:after="0" w:line="160" w:lineRule="exact"/>
        <w:rPr>
          <w:rFonts w:ascii="Arial" w:cs="Arial" w:eastAsia="Arial" w:hAnsi="Arial"/>
          <w:sz w:val="14"/>
          <w:szCs w:val="14"/>
          <w:color w:val="auto"/>
        </w:rPr>
      </w:pPr>
    </w:p>
    <w:p>
      <w:pPr>
        <w:ind w:left="980" w:hanging="243"/>
        <w:spacing w:after="0"/>
        <w:tabs>
          <w:tab w:leader="none" w:pos="9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expect to expand its development and regulatory capabilities, and as a result, we may encounter difficulties in managing its growth, which could disrupt our operations.</w:t>
      </w:r>
    </w:p>
    <w:p>
      <w:pPr>
        <w:spacing w:after="0" w:line="209" w:lineRule="exact"/>
        <w:rPr>
          <w:rFonts w:ascii="Arial" w:cs="Arial" w:eastAsia="Arial" w:hAnsi="Arial"/>
          <w:sz w:val="12"/>
          <w:szCs w:val="12"/>
          <w:color w:val="auto"/>
        </w:rPr>
      </w:pPr>
    </w:p>
    <w:p>
      <w:pPr>
        <w:ind w:left="980" w:hanging="243"/>
        <w:spacing w:after="0"/>
        <w:tabs>
          <w:tab w:leader="none" w:pos="9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Private Tempest and Millendo may be unable to integrate successfully and realize the anticipated benefits of the Merger.</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Risks Related to Our Business and Strategy</w:t>
      </w:r>
    </w:p>
    <w:p>
      <w:pPr>
        <w:spacing w:after="0" w:line="188" w:lineRule="exact"/>
        <w:rPr>
          <w:sz w:val="20"/>
          <w:szCs w:val="20"/>
          <w:color w:val="auto"/>
        </w:rPr>
      </w:pPr>
    </w:p>
    <w:p>
      <w:pPr>
        <w:jc w:val="both"/>
        <w:ind w:left="240"/>
        <w:spacing w:after="0" w:line="398" w:lineRule="auto"/>
        <w:rPr>
          <w:sz w:val="20"/>
          <w:szCs w:val="20"/>
          <w:color w:val="auto"/>
        </w:rPr>
      </w:pPr>
      <w:r>
        <w:rPr>
          <w:rFonts w:ascii="Arial" w:cs="Arial" w:eastAsia="Arial" w:hAnsi="Arial"/>
          <w:sz w:val="11"/>
          <w:szCs w:val="11"/>
          <w:b w:val="1"/>
          <w:bCs w:val="1"/>
          <w:i w:val="1"/>
          <w:iCs w:val="1"/>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91"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 Private Tempest has incurred net losses in each year since its inception.</w:t>
      </w:r>
    </w:p>
    <w:p>
      <w:pPr>
        <w:spacing w:after="0" w:line="169" w:lineRule="exact"/>
        <w:rPr>
          <w:sz w:val="20"/>
          <w:szCs w:val="20"/>
          <w:color w:val="auto"/>
        </w:rPr>
      </w:pPr>
    </w:p>
    <w:p>
      <w:pPr>
        <w:jc w:val="both"/>
        <w:ind w:left="240"/>
        <w:spacing w:after="0" w:line="296" w:lineRule="auto"/>
        <w:rPr>
          <w:sz w:val="20"/>
          <w:szCs w:val="20"/>
          <w:color w:val="auto"/>
        </w:rPr>
      </w:pPr>
      <w:r>
        <w:rPr>
          <w:rFonts w:ascii="Arial" w:cs="Arial" w:eastAsia="Arial" w:hAnsi="Arial"/>
          <w:sz w:val="12"/>
          <w:szCs w:val="12"/>
          <w:color w:val="auto"/>
        </w:rPr>
        <w:t>Private Tempest incurred net losses of $14.4 million and $19.2 million for the year ended December 31, 2019 and the year ended December 31, 2020, respectively. As of December 31, 2020, Private Tempest had an accumulated deficit of $71.8 million. Substantially all of Private Tempest’s operating losses have resulted from costs incurred in connection with Private Tempest’s research and development programs and from general and administrative costs associated with Private Tempest’s operations. We expect to continue to incur significant expenses and operating losses over the next several years and for the foreseeable future as we intend to continue to conduct research and development, clinical testing, regulatory compliance activities, manufacturing activities, and, if any of our product candidates is approved, sales and marketing activities that, together with anticipated general and administrative expenses, will likely result in us incurring significant losses for the foreseeable future. Private Tempest’s prior losses, combined with our expected future losses, have had and will continue to have an adverse effect on our stockholders’ equity and working capital.</w:t>
      </w:r>
    </w:p>
    <w:p>
      <w:pPr>
        <w:spacing w:after="0" w:line="143"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Millendo’s net loss was $36.4 million and $44.6 million and for the years ended December 31, 2020 and 2019, respectively. As of December 31, 2020, Millendo had an accumulated deficit of $245.1 million.</w:t>
      </w:r>
    </w:p>
    <w:p>
      <w:pPr>
        <w:spacing w:after="0" w:line="160"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We expect that we will need to raise additional funding before we can expect to become profitable from any potential future sales of our product candidates. This additional financing may not be available on acceptable terms or at all. Failure to obtain</w:t>
      </w:r>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this necessary capital when needed may force us to delay, limit or terminate our product development efforts or other operations.</w:t>
      </w:r>
    </w:p>
    <w:p>
      <w:pPr>
        <w:spacing w:after="0" w:line="186" w:lineRule="exact"/>
        <w:rPr>
          <w:sz w:val="20"/>
          <w:szCs w:val="20"/>
          <w:color w:val="auto"/>
        </w:rPr>
      </w:pPr>
    </w:p>
    <w:p>
      <w:pPr>
        <w:jc w:val="both"/>
        <w:ind w:left="240"/>
        <w:spacing w:after="0" w:line="247" w:lineRule="auto"/>
        <w:rPr>
          <w:sz w:val="20"/>
          <w:szCs w:val="20"/>
          <w:color w:val="auto"/>
        </w:rPr>
      </w:pPr>
      <w:r>
        <w:rPr>
          <w:rFonts w:ascii="Arial" w:cs="Arial" w:eastAsia="Arial" w:hAnsi="Arial"/>
          <w:sz w:val="14"/>
          <w:szCs w:val="14"/>
          <w:color w:val="auto"/>
        </w:rPr>
        <w:t>We will require substantial future capital in order to complete planned and future preclinical and clinical development for our product candidates and potentially commercialize these product candidates. Based upon our current operating plan, we believe that our cash and cash equivalents as of September 30, 2021 of $59.7 million, will enable us to fund our operating expenses and capital expenditure requirements into early 2023. We expect our spending levels to increase in connection with our preclinical studies and clinical trials of our product candidates. In addition, if we obtain marketing approval for any of our product candidates, we expect to incur significant expenses related to commercial launch, product sales, medical affairs, marketing, manufacturing and distribution. Furthermore, we expect to incur additional costs associated with operating as a public company. Accordingly, we will need to obtain substantial additional funding in connection with its continuing operations before any commercial revenue may occur.</w:t>
      </w:r>
    </w:p>
    <w:p>
      <w:pPr>
        <w:spacing w:after="0" w:line="170" w:lineRule="exact"/>
        <w:rPr>
          <w:sz w:val="20"/>
          <w:szCs w:val="20"/>
          <w:color w:val="auto"/>
        </w:rPr>
      </w:pPr>
    </w:p>
    <w:p>
      <w:pPr>
        <w:jc w:val="both"/>
        <w:ind w:left="240"/>
        <w:spacing w:after="0" w:line="314" w:lineRule="auto"/>
        <w:rPr>
          <w:sz w:val="20"/>
          <w:szCs w:val="20"/>
          <w:color w:val="auto"/>
        </w:rPr>
      </w:pPr>
      <w:r>
        <w:rPr>
          <w:rFonts w:ascii="Arial" w:cs="Arial" w:eastAsia="Arial" w:hAnsi="Arial"/>
          <w:sz w:val="12"/>
          <w:szCs w:val="12"/>
          <w:color w:val="auto"/>
        </w:rPr>
        <w:t>Additional capital might not be available when we need it and our actual cash requirements might be greater than anticipated. If we require additional capital at a time when investment in its industry or in the marketplace in general is limited, we might not be able to raise funding on favorable terms, if at all. If we are not able to obtain financing when needed or on terms favorable to us, we may need to delay, reduce or eliminate certain research and development programs or other operations, sell some or all of our assets or merge with another entity.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Our operations have consumed significant amounts of cash since inception. Our future capital requirements will depend on many factors, including:</w:t>
      </w:r>
    </w:p>
    <w:p>
      <w:pPr>
        <w:spacing w:after="0" w:line="186" w:lineRule="exact"/>
        <w:rPr>
          <w:sz w:val="20"/>
          <w:szCs w:val="20"/>
          <w:color w:val="auto"/>
        </w:rPr>
      </w:pPr>
    </w:p>
    <w:p>
      <w:pPr>
        <w:ind w:left="980" w:hanging="243"/>
        <w:spacing w:after="0"/>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costs associated with the scope, progress and results of discovery, preclinical development, laboratory testing and clinical trials for our product candidates;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costs associated with the manufacturing of our product candidates;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costs related to the extent to which we enter into partnerships or other arrangements with third parties to further develop our product candidates;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costs and fees associated with the discovery, acquisition or in-license of product candidates or technologies;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ability to establish collaborations on favorable terms, if at all;</w:t>
      </w:r>
    </w:p>
    <w:p>
      <w:pPr>
        <w:spacing w:after="0" w:line="186"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costs of future commercialization activities, if any, including product sales, marketing, manufacturing and distribution, for any of our product candidates for which we receive marketing approval;</w:t>
      </w:r>
    </w:p>
    <w:p>
      <w:pPr>
        <w:spacing w:after="0" w:line="160" w:lineRule="exact"/>
        <w:rPr>
          <w:rFonts w:ascii="Arial" w:cs="Arial" w:eastAsia="Arial" w:hAnsi="Arial"/>
          <w:sz w:val="14"/>
          <w:szCs w:val="14"/>
          <w:color w:val="auto"/>
        </w:rPr>
      </w:pPr>
    </w:p>
    <w:p>
      <w:pPr>
        <w:ind w:left="980" w:hanging="243"/>
        <w:spacing w:after="0"/>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revenue, if any, received from commercial sales of our product candidates, should any of our product candidates receive marketing approval; and</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costs of preparing, filing and prosecuting patent applications, maintaining and enforcing our intellectual property rights and defending intellectual property-related claims.</w:t>
      </w:r>
    </w:p>
    <w:p>
      <w:pPr>
        <w:spacing w:after="0" w:line="209"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which may not be available to us on acceptable terms, or at all.</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Our ability to utilize our net operating loss carryforwards and tax credit carryforwards may be subject to limitations.</w:t>
      </w:r>
    </w:p>
    <w:p>
      <w:pPr>
        <w:spacing w:after="0" w:line="186"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color w:val="auto"/>
        </w:rPr>
        <w:t>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its NOLs.</w:t>
      </w:r>
    </w:p>
    <w:p>
      <w:pPr>
        <w:spacing w:after="0" w:line="114"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color w:val="auto"/>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or taxes may be limited. A Section 382 “ownership change” is generally defined as a greater than 50 percentage point change (by value) in its equity ownership by certain stockholders over a three-year period. We may have experienced ownership changes in the past, including as a result of the Merger, and may experience ownership changes in the future due to subsequent shifts in our stock ownership (some of which are outside of its control).</w:t>
      </w:r>
    </w:p>
    <w:p>
      <w:pPr>
        <w:spacing w:after="0" w:line="281"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299" w:lineRule="auto"/>
        <w:rPr>
          <w:sz w:val="20"/>
          <w:szCs w:val="20"/>
          <w:color w:val="auto"/>
        </w:rPr>
      </w:pPr>
      <w:r>
        <w:rPr>
          <w:rFonts w:ascii="Arial" w:cs="Arial" w:eastAsia="Arial" w:hAnsi="Arial"/>
          <w:sz w:val="12"/>
          <w:szCs w:val="12"/>
          <w:color w:val="auto"/>
        </w:rPr>
        <w:t>Furthermore, the Merger constituted an ownership change (within the meaning of Section 382 of the Code) of Millendo which may have eliminated or otherwise substantially limited our ability to use Millendo’s federal and state NOLs to offset our future taxable income. Consequently, even if we achieve profitability, we may not be able to utilize a material portion of Private Tempest’s, Millendo’s or our combined NOL carryforwards and other tax attributes, which could have a material adverse effect on cash flow and results of operations. Similar provisions of state tax law may also apply to limit our ability to use of accumulated state tax attributes. There is also a risk that due to regulatory changes, such as suspensions on the use of NOLs, or other unforeseen reasons, our existing NOLs could expire or otherwise be unavailable to offset future income tax liabilities.</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If we fail to maintain proper and effective internal controls, our ability to produce accurate financial statements on a timely basis could be impaired.</w:t>
      </w:r>
    </w:p>
    <w:p>
      <w:pPr>
        <w:spacing w:after="0" w:line="186" w:lineRule="exact"/>
        <w:rPr>
          <w:sz w:val="20"/>
          <w:szCs w:val="20"/>
          <w:color w:val="auto"/>
        </w:rPr>
      </w:pPr>
    </w:p>
    <w:p>
      <w:pPr>
        <w:jc w:val="both"/>
        <w:ind w:left="240"/>
        <w:spacing w:after="0" w:line="294" w:lineRule="auto"/>
        <w:rPr>
          <w:sz w:val="20"/>
          <w:szCs w:val="20"/>
          <w:color w:val="auto"/>
        </w:rPr>
      </w:pPr>
      <w:r>
        <w:rPr>
          <w:rFonts w:ascii="Arial" w:cs="Arial" w:eastAsia="Arial" w:hAnsi="Arial"/>
          <w:sz w:val="12"/>
          <w:szCs w:val="12"/>
          <w:color w:val="auto"/>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that, after a transitional period, we furnish a report by management on, among other things, the effectiveness of our internal control over financial reporting. This assessment includes disclosure of any material weaknesses identified by our management in our internal control over financial reporting. However, due to recent changes in SEC rules related to smaller reporting companies, Millendo was not required to have its auditors formally attest to the effectiveness of its internal control over financial reporting in connection with this Annual Report on Form 10-K for the year ended December 31, 2020. Additionally, we will not be required to have our auditors formally attest to the effectiveness of our internal control over financial reporting until we cease to be a smaller reporting company.</w:t>
      </w:r>
    </w:p>
    <w:p>
      <w:pPr>
        <w:spacing w:after="0" w:line="144"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69" w:lineRule="exact"/>
        <w:rPr>
          <w:sz w:val="20"/>
          <w:szCs w:val="20"/>
          <w:color w:val="auto"/>
        </w:rPr>
      </w:pPr>
    </w:p>
    <w:p>
      <w:pPr>
        <w:jc w:val="both"/>
        <w:ind w:left="240"/>
        <w:spacing w:after="0" w:line="314" w:lineRule="auto"/>
        <w:rPr>
          <w:sz w:val="20"/>
          <w:szCs w:val="20"/>
          <w:color w:val="auto"/>
        </w:rPr>
      </w:pPr>
      <w:r>
        <w:rPr>
          <w:rFonts w:ascii="Arial" w:cs="Arial" w:eastAsia="Arial" w:hAnsi="Arial"/>
          <w:sz w:val="12"/>
          <w:szCs w:val="12"/>
          <w:color w:val="auto"/>
        </w:rPr>
        <w:t>If we are not able to comply with the requirements of Section 404 of the Sarbanes-Oxley Act, or Section 404,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Securities and Exchange Commission (“SEC”), or other regulatory authorities.</w:t>
      </w:r>
    </w:p>
    <w:p>
      <w:pPr>
        <w:spacing w:after="0" w:line="132" w:lineRule="exact"/>
        <w:rPr>
          <w:sz w:val="20"/>
          <w:szCs w:val="20"/>
          <w:color w:val="auto"/>
        </w:rPr>
      </w:pPr>
    </w:p>
    <w:p>
      <w:pPr>
        <w:jc w:val="both"/>
        <w:ind w:left="240"/>
        <w:spacing w:after="0" w:line="291" w:lineRule="auto"/>
        <w:rPr>
          <w:sz w:val="20"/>
          <w:szCs w:val="20"/>
          <w:color w:val="auto"/>
        </w:rPr>
      </w:pPr>
      <w:r>
        <w:rPr>
          <w:rFonts w:ascii="Arial" w:cs="Arial" w:eastAsia="Arial" w:hAnsi="Arial"/>
          <w:sz w:val="12"/>
          <w:szCs w:val="12"/>
          <w:color w:val="auto"/>
        </w:rPr>
        <w:t>Additionally, as a privately held company, Private Tempest was not required to evaluate its internal control over financial reporting in a manner that meets the standards of publicly traded companies required by Section 404. In preparing Private Tempest’s financial statements as of and for the year ended December 31, 2020, management of Private Tempest identified material weaknesses in its internal control over financial reporting. We cannot assure you that the material weaknesses identified at Private Tempest will be remediated by us on the timelines currently anticipated, or at all, and/or that there will not be additional material weaknesses or significant deficiencies in the internal control over financial reporting in the future. Any failure to maintain effective internal control over financial reporting could severely inhibit our ability to accurately report our financial condition, results of operations or cash flows. If we are unable to conclude that our internal control over financial reporting is effective, or if the company’s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49"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Private Tempest had identified material weaknesses in its internal control over financial reporting. Failure to achieve and maintain effective internal control over financial reporting could harm our business and negatively impact the value of our common stock.</w:t>
      </w:r>
    </w:p>
    <w:p>
      <w:pPr>
        <w:spacing w:after="0" w:line="160"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color w:val="auto"/>
        </w:rPr>
        <w:t>Private Tempest had identified material weaknesses in its internal control over financial reporting. A material weakness is a deficiency, or a combination of deficiencies, in internal control over financial reporting, such that there is a reasonable possibility that a material misstatement of Private Tempest’s annual or interim financial statements will not be prevented or</w:t>
      </w:r>
    </w:p>
    <w:p>
      <w:pPr>
        <w:spacing w:after="0" w:line="257"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ind w:left="240"/>
        <w:spacing w:after="0" w:line="261" w:lineRule="auto"/>
        <w:rPr>
          <w:sz w:val="20"/>
          <w:szCs w:val="20"/>
          <w:color w:val="auto"/>
        </w:rPr>
      </w:pPr>
      <w:r>
        <w:rPr>
          <w:rFonts w:ascii="Arial" w:cs="Arial" w:eastAsia="Arial" w:hAnsi="Arial"/>
          <w:sz w:val="14"/>
          <w:szCs w:val="14"/>
          <w:color w:val="auto"/>
        </w:rPr>
        <w:t>detected on a timely basis. In preparing Private Tempest’s financial statements as of and for the year ended December 31, 2020, management of Private Tempest identified the following material weaknesses in its internal control over financial reporting:</w:t>
      </w:r>
    </w:p>
    <w:p>
      <w:pPr>
        <w:spacing w:after="0" w:line="160" w:lineRule="exact"/>
        <w:rPr>
          <w:sz w:val="20"/>
          <w:szCs w:val="20"/>
          <w:color w:val="auto"/>
        </w:rPr>
      </w:pPr>
    </w:p>
    <w:p>
      <w:pPr>
        <w:ind w:left="980" w:hanging="243"/>
        <w:spacing w:after="0" w:line="261" w:lineRule="auto"/>
        <w:tabs>
          <w:tab w:leader="none" w:pos="977"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Private Tempest did not have sufficient resources with appropriate knowledge and expertise to design, implement, document and operate effective internal controls over financial reporting.</w:t>
      </w:r>
    </w:p>
    <w:p>
      <w:pPr>
        <w:spacing w:after="0" w:line="160" w:lineRule="exact"/>
        <w:rPr>
          <w:rFonts w:ascii="Arial" w:cs="Arial" w:eastAsia="Arial" w:hAnsi="Arial"/>
          <w:sz w:val="14"/>
          <w:szCs w:val="14"/>
          <w:color w:val="auto"/>
        </w:rPr>
      </w:pPr>
    </w:p>
    <w:p>
      <w:pPr>
        <w:ind w:left="980" w:hanging="243"/>
        <w:spacing w:after="0" w:line="345" w:lineRule="auto"/>
        <w:tabs>
          <w:tab w:leader="none" w:pos="977" w:val="left"/>
        </w:tabs>
        <w:numPr>
          <w:ilvl w:val="0"/>
          <w:numId w:val="15"/>
        </w:numPr>
        <w:rPr>
          <w:rFonts w:ascii="Arial" w:cs="Arial" w:eastAsia="Arial" w:hAnsi="Arial"/>
          <w:sz w:val="12"/>
          <w:szCs w:val="12"/>
          <w:color w:val="auto"/>
        </w:rPr>
      </w:pPr>
      <w:r>
        <w:rPr>
          <w:rFonts w:ascii="Arial" w:cs="Arial" w:eastAsia="Arial" w:hAnsi="Arial"/>
          <w:sz w:val="12"/>
          <w:szCs w:val="12"/>
          <w:color w:val="auto"/>
        </w:rPr>
        <w:t>Private Tempest did not design and implement controls surrounding review of clinical trial expenses, including the evaluation of the terms of its clinical trial contracts. Specifically, Private Tempest failed to properly review and evaluate the progress of expenses incurred in its clinical trial contracts that resulted in the inaccurate accrual of clinical trial expenses.</w:t>
      </w:r>
    </w:p>
    <w:p>
      <w:pPr>
        <w:spacing w:after="0" w:line="114"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These material weaknesses resulted in adjustments to Private Tempest’s financial statements. Additionally, these material weaknesses could result in a misstatement of Private Tempest’s accounts or disclosures that would result in a material misstatement of its annual or interim financial statements that would not be prevented or detected, and accordingly, Private Tempest determined that these control deficiencies constitute material weaknesses.</w:t>
      </w:r>
    </w:p>
    <w:p>
      <w:pPr>
        <w:spacing w:after="0" w:line="167"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We are actively recruiting additional accounting personnel with appropriate experience, certification, education and training as a component of its plans to remediate the material weaknesses. We also plan to design and implement controls related to review of clinical trial expenses to properly evaluate progress of expense incurred in clinical trial contracts. To the extent that we are not able to hire and retain such individuals, or is unable to successfully design and implement such controls, the material weaknesses identified may not be remediated and management may be required to record additional adjustments to its financial statements in the future.</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Our limited operating history may make it difficult for you to evaluate the success of our business to date and to assess our future viability.</w:t>
      </w:r>
    </w:p>
    <w:p>
      <w:pPr>
        <w:spacing w:after="0" w:line="186"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color w:val="auto"/>
        </w:rPr>
        <w:t>Our operations to date have been limited to organizing and staffing,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138"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color w:val="auto"/>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We expect to expand our development and regulatory capabilities, and as a result, we may encounter difficulties in managing our growth, which could disrupt our operations.</w:t>
      </w:r>
    </w:p>
    <w:p>
      <w:pPr>
        <w:spacing w:after="0" w:line="209" w:lineRule="exact"/>
        <w:rPr>
          <w:sz w:val="20"/>
          <w:szCs w:val="20"/>
          <w:color w:val="auto"/>
        </w:rPr>
      </w:pPr>
    </w:p>
    <w:p>
      <w:pPr>
        <w:jc w:val="both"/>
        <w:ind w:left="240"/>
        <w:spacing w:after="0" w:line="296" w:lineRule="auto"/>
        <w:rPr>
          <w:sz w:val="20"/>
          <w:szCs w:val="20"/>
          <w:color w:val="auto"/>
        </w:rPr>
      </w:pPr>
      <w:r>
        <w:rPr>
          <w:rFonts w:ascii="Arial" w:cs="Arial" w:eastAsia="Arial" w:hAnsi="Arial"/>
          <w:sz w:val="12"/>
          <w:szCs w:val="12"/>
          <w:color w:val="auto"/>
        </w:rPr>
        <w:t>We expect to experience significant growth in the number of our employees and the scope of our operations, particularly in the areas of product candidate development, growing our capability to conduct clinical trials, and, if approved, through commercialization of our product candidates. To manage its anticipated future growth, we must continue to implement and improve its managerial, operational and financial systems, expand its facilities and continue to recruit and train additional qualified personnel, or contract with third parties to provide these capabilities.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must attract and retain highly skilled employees to succeed.</w:t>
      </w:r>
    </w:p>
    <w:p>
      <w:pPr>
        <w:spacing w:after="0" w:line="186" w:lineRule="exact"/>
        <w:rPr>
          <w:sz w:val="20"/>
          <w:szCs w:val="20"/>
          <w:color w:val="auto"/>
        </w:rPr>
      </w:pPr>
    </w:p>
    <w:p>
      <w:pPr>
        <w:jc w:val="both"/>
        <w:ind w:left="240"/>
        <w:spacing w:after="0" w:line="248" w:lineRule="auto"/>
        <w:rPr>
          <w:sz w:val="20"/>
          <w:szCs w:val="20"/>
          <w:color w:val="auto"/>
        </w:rPr>
      </w:pPr>
      <w:r>
        <w:rPr>
          <w:rFonts w:ascii="Arial" w:cs="Arial" w:eastAsia="Arial" w:hAnsi="Arial"/>
          <w:sz w:val="14"/>
          <w:szCs w:val="14"/>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its business plan, harm our results of operations and increase our capabilities to successfully commercialize its product candidates. In particular, we believe that its future success is highly dependent upon the contributions of its senior management, particularly our Chief Executive Officer, Stephen Brady, our President, Tom Dubensky and our Chief Medical Officer, Sam Whiting. The loss of services of Messrs. Dubensky or Brady or Whiting, or any of our other senior management, could delay or prevent the</w:t>
      </w:r>
    </w:p>
    <w:p>
      <w:pPr>
        <w:spacing w:after="0" w:line="31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67" w:lineRule="exact"/>
        <w:rPr>
          <w:sz w:val="20"/>
          <w:szCs w:val="20"/>
          <w:color w:val="auto"/>
        </w:rPr>
      </w:pPr>
    </w:p>
    <w:p>
      <w:pPr>
        <w:jc w:val="both"/>
        <w:ind w:left="240"/>
        <w:spacing w:after="0" w:line="314" w:lineRule="auto"/>
        <w:rPr>
          <w:sz w:val="20"/>
          <w:szCs w:val="20"/>
          <w:color w:val="auto"/>
        </w:rPr>
      </w:pPr>
      <w:r>
        <w:rPr>
          <w:rFonts w:ascii="Arial" w:cs="Arial" w:eastAsia="Arial" w:hAnsi="Arial"/>
          <w:sz w:val="12"/>
          <w:szCs w:val="12"/>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Future acquisitions or strategic alliances could disrupt our business and harm our financial condition and results of operations.</w:t>
      </w:r>
    </w:p>
    <w:p>
      <w:pPr>
        <w:spacing w:after="0" w:line="186" w:lineRule="exact"/>
        <w:rPr>
          <w:sz w:val="20"/>
          <w:szCs w:val="20"/>
          <w:color w:val="auto"/>
        </w:rPr>
      </w:pPr>
    </w:p>
    <w:p>
      <w:pPr>
        <w:jc w:val="both"/>
        <w:ind w:left="240"/>
        <w:spacing w:after="0" w:line="248" w:lineRule="auto"/>
        <w:rPr>
          <w:sz w:val="20"/>
          <w:szCs w:val="20"/>
          <w:color w:val="auto"/>
        </w:rPr>
      </w:pPr>
      <w:r>
        <w:rPr>
          <w:rFonts w:ascii="Arial" w:cs="Arial" w:eastAsia="Arial" w:hAnsi="Arial"/>
          <w:sz w:val="14"/>
          <w:szCs w:val="14"/>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169" w:lineRule="exact"/>
        <w:rPr>
          <w:sz w:val="20"/>
          <w:szCs w:val="20"/>
          <w:color w:val="auto"/>
        </w:rPr>
      </w:pPr>
    </w:p>
    <w:p>
      <w:pPr>
        <w:ind w:left="980" w:hanging="243"/>
        <w:spacing w:after="0"/>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diversion of management time and focus from operating our business to addressing acquisition integration challenges;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coordination of research and development efforts;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retention of key employees from the acquired company;</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in relationships with strategic partners as a result of product acquisitions or strategic positioning resulting from the acquisition;</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cultural challenges associated with integrating employees from the acquired company into our organization;</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need to implement or improve controls, procedures and policies at a business that prior to the acquisition may have lacked sufficiently effective controls, procedures and policies;</w:t>
      </w:r>
    </w:p>
    <w:p>
      <w:pPr>
        <w:spacing w:after="0" w:line="209" w:lineRule="exact"/>
        <w:rPr>
          <w:rFonts w:ascii="Arial" w:cs="Arial" w:eastAsia="Arial" w:hAnsi="Arial"/>
          <w:sz w:val="12"/>
          <w:szCs w:val="12"/>
          <w:color w:val="auto"/>
        </w:rPr>
      </w:pPr>
    </w:p>
    <w:p>
      <w:pPr>
        <w:ind w:left="980" w:hanging="243"/>
        <w:spacing w:after="0" w:line="261" w:lineRule="auto"/>
        <w:tabs>
          <w:tab w:leader="none" w:pos="977" w:val="left"/>
        </w:tabs>
        <w:numPr>
          <w:ilvl w:val="0"/>
          <w:numId w:val="16"/>
        </w:numPr>
        <w:rPr>
          <w:rFonts w:ascii="Arial" w:cs="Arial" w:eastAsia="Arial" w:hAnsi="Arial"/>
          <w:sz w:val="14"/>
          <w:szCs w:val="14"/>
          <w:color w:val="auto"/>
        </w:rPr>
      </w:pPr>
      <w:r>
        <w:rPr>
          <w:rFonts w:ascii="Arial" w:cs="Arial" w:eastAsia="Arial" w:hAnsi="Arial"/>
          <w:sz w:val="14"/>
          <w:szCs w:val="14"/>
          <w:color w:val="auto"/>
        </w:rPr>
        <w:t>liability for activities of the acquired company before the acquisition, including intellectual property infringement claims, violation of laws, commercial disputes, tax liabilities and other known liabilities;</w:t>
      </w:r>
    </w:p>
    <w:p>
      <w:pPr>
        <w:spacing w:after="0" w:line="160" w:lineRule="exact"/>
        <w:rPr>
          <w:rFonts w:ascii="Arial" w:cs="Arial" w:eastAsia="Arial" w:hAnsi="Arial"/>
          <w:sz w:val="14"/>
          <w:szCs w:val="14"/>
          <w:color w:val="auto"/>
        </w:rPr>
      </w:pPr>
    </w:p>
    <w:p>
      <w:pPr>
        <w:ind w:left="980" w:hanging="243"/>
        <w:spacing w:after="0"/>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unanticipated write-offs or charges; and</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litigation or other claims in connection with the acquired company, including claims from terminated employees, customers, former stockholders or other third parties.</w:t>
      </w:r>
    </w:p>
    <w:p>
      <w:pPr>
        <w:spacing w:after="0" w:line="209"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Our failure to address these risks or other problems encountered in connection with its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Risks Related to Our Product Development and Regulatory Approval</w:t>
      </w:r>
    </w:p>
    <w:p>
      <w:pPr>
        <w:spacing w:after="0" w:line="188"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If we are unable to develop, obtain regulatory approval for and commercialize TPST-1495 and TPST-1120 and its future product candidates, or if we experience significant delays in doing so, our business will be materially harmed.</w:t>
      </w:r>
    </w:p>
    <w:p>
      <w:pPr>
        <w:spacing w:after="0" w:line="160"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We plan to invest a substantial amount of our efforts and financial resources in its current lead product candidates, TPST-1495, a dual EP2/EP4 prostaglandin (“PGE2”) receptor antagonist, and TPST-1120, a peroxisome proliferator-activated receptor alpha (“PPARα”) antagonist for the treatment of various cancers. We have initiated phase 1 clinical trials of TPST-1495 and TPST-1120 for the treatment of advanced solid tumors. In addition, we plan to advance our TREX-1</w:t>
      </w:r>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inhibitor program and select a development candidate for this program by first half of 2022. Our ability to generate product revenue will depend heavily on the successful development and eventual commercialization of TPST-1495 and TPST-1120 and our other product candidates, which may never occur. We currently generate no revenue from sales of any product and we may never be able to develop or commercialize a marketable product.</w:t>
      </w:r>
    </w:p>
    <w:p>
      <w:pPr>
        <w:spacing w:after="0" w:line="167" w:lineRule="exact"/>
        <w:rPr>
          <w:sz w:val="20"/>
          <w:szCs w:val="20"/>
          <w:color w:val="auto"/>
        </w:rPr>
      </w:pPr>
    </w:p>
    <w:p>
      <w:pPr>
        <w:jc w:val="both"/>
        <w:ind w:left="240"/>
        <w:spacing w:after="0" w:line="248" w:lineRule="auto"/>
        <w:rPr>
          <w:sz w:val="20"/>
          <w:szCs w:val="20"/>
          <w:color w:val="auto"/>
        </w:rPr>
      </w:pPr>
      <w:r>
        <w:rPr>
          <w:rFonts w:ascii="Arial" w:cs="Arial" w:eastAsia="Arial" w:hAnsi="Arial"/>
          <w:sz w:val="14"/>
          <w:szCs w:val="14"/>
          <w:color w:val="auto"/>
        </w:rPr>
        <w:t>Each of our programs and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TPST-1495 and TPST-1120 and our other product candidates must be authorized for marketing by the U.S. Food and Drug Administration (“FDA”), the Health Products and Food Branch of Health Canada (“HPFB”), the European Medicines Agency (“EMA”), and certain other foreign regulatory agencies before we may commercialize any of our product candidates in the United States, Canada, EU, or other jurisdictions.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success of TPST-1495 and TPST-1120 and our other product candidates depends on multiple factors, including:</w:t>
      </w:r>
    </w:p>
    <w:p>
      <w:pPr>
        <w:spacing w:after="0" w:line="186" w:lineRule="exact"/>
        <w:rPr>
          <w:sz w:val="20"/>
          <w:szCs w:val="20"/>
          <w:color w:val="auto"/>
        </w:rPr>
      </w:pPr>
    </w:p>
    <w:p>
      <w:pPr>
        <w:ind w:left="980" w:hanging="243"/>
        <w:spacing w:after="0" w:line="261" w:lineRule="auto"/>
        <w:tabs>
          <w:tab w:leader="none" w:pos="977" w:val="left"/>
        </w:tabs>
        <w:numPr>
          <w:ilvl w:val="0"/>
          <w:numId w:val="17"/>
        </w:numPr>
        <w:rPr>
          <w:rFonts w:ascii="Arial" w:cs="Arial" w:eastAsia="Arial" w:hAnsi="Arial"/>
          <w:sz w:val="14"/>
          <w:szCs w:val="14"/>
          <w:color w:val="auto"/>
        </w:rPr>
      </w:pPr>
      <w:r>
        <w:rPr>
          <w:rFonts w:ascii="Arial" w:cs="Arial" w:eastAsia="Arial" w:hAnsi="Arial"/>
          <w:sz w:val="14"/>
          <w:szCs w:val="14"/>
          <w:color w:val="auto"/>
        </w:rPr>
        <w:t>successful completion of preclinical studies, including those compliant with Good Laboratory Practices (“GLP”), or GLP toxicology studies, biodistribution studies and minimum effective dose studies in animals, and successful enrollment and completion of clinical trials compliant with current Good Clinical Practices (“GCPs”);</w:t>
      </w:r>
    </w:p>
    <w:p>
      <w:pPr>
        <w:spacing w:after="0" w:line="160"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17"/>
        </w:numPr>
        <w:rPr>
          <w:rFonts w:ascii="Arial" w:cs="Arial" w:eastAsia="Arial" w:hAnsi="Arial"/>
          <w:sz w:val="14"/>
          <w:szCs w:val="14"/>
          <w:color w:val="auto"/>
        </w:rPr>
      </w:pPr>
      <w:r>
        <w:rPr>
          <w:rFonts w:ascii="Arial" w:cs="Arial" w:eastAsia="Arial" w:hAnsi="Arial"/>
          <w:sz w:val="14"/>
          <w:szCs w:val="14"/>
          <w:color w:val="auto"/>
        </w:rPr>
        <w:t>effective Investigational New Drug applications (“INDs”) or other regulatory applications, that allow commencement of our planned clinical trials or future clinical trials for our product candidates in relevant territories;</w:t>
      </w:r>
    </w:p>
    <w:p>
      <w:pPr>
        <w:spacing w:after="0" w:line="160"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17"/>
        </w:numPr>
        <w:rPr>
          <w:rFonts w:ascii="Arial" w:cs="Arial" w:eastAsia="Arial" w:hAnsi="Arial"/>
          <w:sz w:val="14"/>
          <w:szCs w:val="14"/>
          <w:color w:val="auto"/>
        </w:rPr>
      </w:pPr>
      <w:r>
        <w:rPr>
          <w:rFonts w:ascii="Arial" w:cs="Arial" w:eastAsia="Arial" w:hAnsi="Arial"/>
          <w:sz w:val="14"/>
          <w:szCs w:val="14"/>
          <w:color w:val="auto"/>
        </w:rPr>
        <w:t>Establishing and maintaining relationships with contract research organizations (“CROs”) and clinical sites for the clinical development of our product candidates, both in the United States and internationally;</w:t>
      </w:r>
    </w:p>
    <w:p>
      <w:pPr>
        <w:spacing w:after="0" w:line="160"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17"/>
        </w:numPr>
        <w:rPr>
          <w:rFonts w:ascii="Arial" w:cs="Arial" w:eastAsia="Arial" w:hAnsi="Arial"/>
          <w:sz w:val="14"/>
          <w:szCs w:val="14"/>
          <w:color w:val="auto"/>
        </w:rPr>
      </w:pPr>
      <w:r>
        <w:rPr>
          <w:rFonts w:ascii="Arial" w:cs="Arial" w:eastAsia="Arial" w:hAnsi="Arial"/>
          <w:sz w:val="14"/>
          <w:szCs w:val="14"/>
          <w:color w:val="auto"/>
        </w:rPr>
        <w:t>maintenance of arrangements with third-party contract manufacturing organizations (“CMOs”) for key materials used in our manufacturing processes and to establish backup sources for clinical and large-scale commercial supply;</w:t>
      </w:r>
    </w:p>
    <w:p>
      <w:pPr>
        <w:spacing w:after="0" w:line="160"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17"/>
        </w:numPr>
        <w:rPr>
          <w:rFonts w:ascii="Arial" w:cs="Arial" w:eastAsia="Arial" w:hAnsi="Arial"/>
          <w:sz w:val="14"/>
          <w:szCs w:val="14"/>
          <w:color w:val="auto"/>
        </w:rPr>
      </w:pPr>
      <w:r>
        <w:rPr>
          <w:rFonts w:ascii="Arial" w:cs="Arial" w:eastAsia="Arial" w:hAnsi="Arial"/>
          <w:sz w:val="14"/>
          <w:szCs w:val="14"/>
          <w:color w:val="auto"/>
        </w:rPr>
        <w:t>positive results from our clinical programs that are supportive of safety and efficacy and provide an acceptable risk-benefit profile for our product candidates in the intended patient populations;</w:t>
      </w:r>
    </w:p>
    <w:p>
      <w:pPr>
        <w:spacing w:after="0" w:line="160" w:lineRule="exact"/>
        <w:rPr>
          <w:rFonts w:ascii="Arial" w:cs="Arial" w:eastAsia="Arial" w:hAnsi="Arial"/>
          <w:sz w:val="14"/>
          <w:szCs w:val="14"/>
          <w:color w:val="auto"/>
        </w:rPr>
      </w:pPr>
    </w:p>
    <w:p>
      <w:pPr>
        <w:ind w:left="980" w:hanging="243"/>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receipt of regulatory approvals from applicable regulatory authorities, including those necessary for pricing and reimbursement of its product candidates;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establishment and maintenance of patent and trade secret protection and regulatory exclusivity for our product candidates;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commercial launch of our product candidates, if and when approved, whether alone or in collaboration with others;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acceptance of our product candidates, if and when approved, by patients, patient advocacy groups, third-party payors and the general medical community;</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effectively compete with developers of other therapies available in the market;</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establishment and maintenance of adequate reimbursement from third-party payors for our product candidates;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acquire or in-license additional product candidates;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prosecution, maintenance, enforcement and defense of intellectual property rights and claims;</w:t>
      </w:r>
    </w:p>
    <w:p>
      <w:pPr>
        <w:spacing w:after="0" w:line="186"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17"/>
        </w:numPr>
        <w:rPr>
          <w:rFonts w:ascii="Arial" w:cs="Arial" w:eastAsia="Arial" w:hAnsi="Arial"/>
          <w:sz w:val="14"/>
          <w:szCs w:val="14"/>
          <w:color w:val="auto"/>
        </w:rPr>
      </w:pPr>
      <w:r>
        <w:rPr>
          <w:rFonts w:ascii="Arial" w:cs="Arial" w:eastAsia="Arial" w:hAnsi="Arial"/>
          <w:sz w:val="14"/>
          <w:szCs w:val="14"/>
          <w:color w:val="auto"/>
        </w:rPr>
        <w:t>maintenance of a continued acceptable safety profile of our product candidates following approval, including meeting any post-marketing commitments or requirements imposed by or agreed to with applicable regulatory authorities;</w:t>
      </w:r>
    </w:p>
    <w:p>
      <w:pPr>
        <w:spacing w:after="0" w:line="160"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17"/>
        </w:numPr>
        <w:rPr>
          <w:rFonts w:ascii="Arial" w:cs="Arial" w:eastAsia="Arial" w:hAnsi="Arial"/>
          <w:sz w:val="14"/>
          <w:szCs w:val="14"/>
          <w:color w:val="auto"/>
        </w:rPr>
      </w:pPr>
      <w:r>
        <w:rPr>
          <w:rFonts w:ascii="Arial" w:cs="Arial" w:eastAsia="Arial" w:hAnsi="Arial"/>
          <w:sz w:val="14"/>
          <w:szCs w:val="14"/>
          <w:color w:val="auto"/>
        </w:rPr>
        <w:t>political factors surrounding the approval process, such as government shutdowns, political instability or global pandemics such as the outbreak of the novel strain of coronavirus, COVID-19; or</w:t>
      </w:r>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left="980" w:hanging="243"/>
        <w:spacing w:after="0"/>
        <w:tabs>
          <w:tab w:leader="none" w:pos="9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disruptions in enrollment of our clinical trials due to the COVID-19 pandemic.</w:t>
      </w:r>
    </w:p>
    <w:p>
      <w:pPr>
        <w:spacing w:after="0" w:line="186"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If we do not succeed in one or more of these factors in a timely manner or at all, we could experience significant delays or an inability to successfully commercialize its product candidates, which would materially harm our business. If we do not receive regulatory approvals for our product candidates, we may not be able to continue its operations.</w:t>
      </w:r>
    </w:p>
    <w:p>
      <w:pPr>
        <w:spacing w:after="0" w:line="160"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60" w:lineRule="exact"/>
        <w:rPr>
          <w:sz w:val="20"/>
          <w:szCs w:val="20"/>
          <w:color w:val="auto"/>
        </w:rPr>
      </w:pPr>
    </w:p>
    <w:p>
      <w:pPr>
        <w:jc w:val="both"/>
        <w:ind w:left="240"/>
        <w:spacing w:after="0" w:line="246" w:lineRule="auto"/>
        <w:rPr>
          <w:sz w:val="20"/>
          <w:szCs w:val="20"/>
          <w:color w:val="auto"/>
        </w:rPr>
      </w:pPr>
      <w:r>
        <w:rPr>
          <w:rFonts w:ascii="Arial" w:cs="Arial" w:eastAsia="Arial" w:hAnsi="Arial"/>
          <w:sz w:val="14"/>
          <w:szCs w:val="14"/>
          <w:color w:val="auto"/>
        </w:rPr>
        <w:t>Clinical development is expensive and can take many years to complete, and its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 as favorable an outcome in later-stage or larger clinical trials, even if successful. We will be required to demonstrate through adequate and well-controlled clinical trials that our product candidates are safe and effective for their intended uses before we can seek regulatory approvals for their commercial sale. The conduct of phase 3 trials and the submission of an NDA is a complicated process. We have not previously completed any clinical trials, has limited experience in preparing, submitting and supporting regulatory filings, and has not previously submitted an NDA. Consequently, we may be unable to successfully and efficiently execute and complete necessary clinical trials and other requirements in a way that leads to NDA submission and approval of any product candidate we are developing.</w:t>
      </w:r>
    </w:p>
    <w:p>
      <w:pPr>
        <w:spacing w:after="0" w:line="172" w:lineRule="exact"/>
        <w:rPr>
          <w:sz w:val="20"/>
          <w:szCs w:val="20"/>
          <w:color w:val="auto"/>
        </w:rPr>
      </w:pPr>
    </w:p>
    <w:p>
      <w:pPr>
        <w:jc w:val="both"/>
        <w:ind w:left="240"/>
        <w:spacing w:after="0" w:line="246" w:lineRule="auto"/>
        <w:rPr>
          <w:sz w:val="20"/>
          <w:szCs w:val="20"/>
          <w:color w:val="auto"/>
        </w:rPr>
      </w:pPr>
      <w:r>
        <w:rPr>
          <w:rFonts w:ascii="Arial" w:cs="Arial" w:eastAsia="Arial" w:hAnsi="Arial"/>
          <w:sz w:val="14"/>
          <w:szCs w:val="14"/>
          <w:color w:val="auto"/>
        </w:rPr>
        <w:t>Although TPST-1495 and TPST-1120 are being evaluated in clinical trials, Our other product candidates, such as TREX-1, have not been evaluated in human clinical trials, and we may experience unexpected or negative results in the future if and when TREX-1 or Our other product candidates are evaluated in clinical trials. Any positive results we observe for TREX-1 in preclinical animal models may not be predictive of Our future clinical trials in humans, as animal models carry inherent limitations relevant to all preclinical studies. We. Our product candidates, including TREX-1, may also fail to show the desired safety and efficacy in later stages of clinical development even if they successfully advance through initial clinical trials. Even if Our clinical trials demonstrate acceptable safety and efficacy of TPST-1495, TPST-1120 or TREX-1 or any other product candidates and such product candidates receive regulatory approval, the labeling we obtain through negotiations with the FDA or foreign regulatory authorities may not include data on secondary endpoints and may not provide us with a competitive advantage over other products approved for the same or similar indications.</w:t>
      </w:r>
    </w:p>
    <w:p>
      <w:pPr>
        <w:spacing w:after="0" w:line="172" w:lineRule="exact"/>
        <w:rPr>
          <w:sz w:val="20"/>
          <w:szCs w:val="20"/>
          <w:color w:val="auto"/>
        </w:rPr>
      </w:pPr>
    </w:p>
    <w:p>
      <w:pPr>
        <w:jc w:val="both"/>
        <w:ind w:left="240"/>
        <w:spacing w:after="0" w:line="294" w:lineRule="auto"/>
        <w:rPr>
          <w:sz w:val="20"/>
          <w:szCs w:val="20"/>
          <w:color w:val="auto"/>
        </w:rPr>
      </w:pPr>
      <w:r>
        <w:rPr>
          <w:rFonts w:ascii="Arial" w:cs="Arial" w:eastAsia="Arial" w:hAnsi="Arial"/>
          <w:sz w:val="12"/>
          <w:szCs w:val="12"/>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 not consistently or sufficiently demonstrate the safety or efficacy of any of our product candidates, including TPST-1495 and TPST-1120, to the satisfaction of the FDA or foreign regulatory authorities, then the regulatory approvals for such product candidates could be significantly delayed as we work to meet approval requirements, or, if we are not able to meet these requirements, such approvals could be withheld or withdrawn.</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If we encounter difficulties enrolling patients in our clinical trials, our clinical development activities could be delayed or otherwise adversely affected.</w:t>
      </w:r>
    </w:p>
    <w:p>
      <w:pPr>
        <w:spacing w:after="0" w:line="186"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We may experience difficulties in patient enrollment in our clinical trials for a variety of reasons, including, without limitation, the impact of the COVID-19 pandemic. The timely completion of clinical trials in accordance with their protocols depends, among other things, on our ability to enroll a sufficient number of patients who remain in the study until its conclusion. The enrollment of patients depends on many factors, including:</w:t>
      </w:r>
    </w:p>
    <w:p>
      <w:pPr>
        <w:spacing w:after="0" w:line="167" w:lineRule="exact"/>
        <w:rPr>
          <w:sz w:val="20"/>
          <w:szCs w:val="20"/>
          <w:color w:val="auto"/>
        </w:rPr>
      </w:pPr>
    </w:p>
    <w:p>
      <w:pPr>
        <w:ind w:left="980" w:hanging="243"/>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patient eligibility criteria defined in the protocol;</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size of the patient population required for analysis of the trial’s primary endpoints;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proximity of patients to study sites;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design of the trial;</w:t>
      </w: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ind w:left="980" w:hanging="243"/>
        <w:spacing w:after="0"/>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ability to recruit clinical trial investigators with the appropriate competencies and experience;</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ability to obtain and maintain patient consents; and</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risk that patients enrolled in clinical trials will drop out of the trials before the infusion of our product candidates or trial completion.</w:t>
      </w:r>
    </w:p>
    <w:p>
      <w:pPr>
        <w:spacing w:after="0" w:line="186" w:lineRule="exact"/>
        <w:rPr>
          <w:sz w:val="20"/>
          <w:szCs w:val="20"/>
          <w:color w:val="auto"/>
        </w:rPr>
      </w:pPr>
    </w:p>
    <w:p>
      <w:pPr>
        <w:jc w:val="both"/>
        <w:ind w:left="240"/>
        <w:spacing w:after="0" w:line="296" w:lineRule="auto"/>
        <w:rPr>
          <w:sz w:val="20"/>
          <w:szCs w:val="20"/>
          <w:color w:val="auto"/>
        </w:rPr>
      </w:pPr>
      <w:r>
        <w:rPr>
          <w:rFonts w:ascii="Arial" w:cs="Arial" w:eastAsia="Arial" w:hAnsi="Arial"/>
          <w:sz w:val="12"/>
          <w:szCs w:val="12"/>
          <w:color w:val="auto"/>
        </w:rPr>
        <w:t>We intend to conduct a number of clinical trials for product candidates in the fields of cancer in geographies which are affected by COVID-19 pandemic. We believe that the coronavirus pandemic could have an impact on various aspects of its future clinical trials. For example, investigators may not want to take the risk of exposing cancer patients to COVID-19 since the dosing of patients is conducted within an in-patient setting. Other potential impacts of the COVID-19 pandemic on our future various clinical trials include patient dosing and study monitoring, which may be paused or delayed due to changes in policies at various clinical sites, federal, state, local or foreign laws, rules and regulations, including quarantines or other travel restrictions, prioritization of healthcare resources toward pandemic efforts, including diminished attention of physicians serving as our clinical trial investigators and reduced availability of site staff supporting the conduct of its clinical trials, interruption or delays in the operations of the government regulators, or other reasons related to the COVID-19 pandemic. It is unknown how long these pauses or disruptions could continue.</w:t>
      </w:r>
    </w:p>
    <w:p>
      <w:pPr>
        <w:spacing w:after="0" w:line="143"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spacing w:after="0" w:line="169"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Moreover, because our product candidates represent unproven methods for cancer treatment, potential patients and their doctors may be inclined to use existing therapies rather than enroll patients in our clinical trials.</w:t>
      </w:r>
    </w:p>
    <w:p>
      <w:pPr>
        <w:spacing w:after="0" w:line="160"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60"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Interim and preliminary data from our clinical trials that we may announce or publish from time to time may change as more patient data becomes available and are subject to audit and verification procedures that could result in material changes in the final data.</w:t>
      </w:r>
    </w:p>
    <w:p>
      <w:pPr>
        <w:spacing w:after="0" w:line="160"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w:t>
      </w:r>
    </w:p>
    <w:p>
      <w:pPr>
        <w:spacing w:after="0" w:line="160"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67"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Even if we complete the necessary preclinical studies and clinical trials, we cannot predict when, or if, Tempest will obtain regulatory approval to commercialize a product candidate and the approval may be for a narrower indication than Tempest seeks.</w:t>
      </w:r>
    </w:p>
    <w:p>
      <w:pPr>
        <w:spacing w:after="0" w:line="160" w:lineRule="exact"/>
        <w:rPr>
          <w:sz w:val="20"/>
          <w:szCs w:val="20"/>
          <w:color w:val="auto"/>
        </w:rPr>
      </w:pPr>
    </w:p>
    <w:p>
      <w:pPr>
        <w:jc w:val="both"/>
        <w:ind w:left="240"/>
        <w:spacing w:after="0" w:line="294" w:lineRule="auto"/>
        <w:rPr>
          <w:sz w:val="20"/>
          <w:szCs w:val="20"/>
          <w:color w:val="auto"/>
        </w:rPr>
      </w:pPr>
      <w:r>
        <w:rPr>
          <w:rFonts w:ascii="Arial" w:cs="Arial" w:eastAsia="Arial" w:hAnsi="Arial"/>
          <w:sz w:val="12"/>
          <w:szCs w:val="12"/>
          <w:color w:val="auto"/>
        </w:rPr>
        <w:t>Prior to commercialization, TPST-1495, TPST-1120 and our other product candidates must be approved by the FDA pursuant to an NDA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TPST-1495, TPST-1120 or any of our other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w:t>
      </w: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248" w:lineRule="auto"/>
        <w:rPr>
          <w:sz w:val="20"/>
          <w:szCs w:val="20"/>
          <w:color w:val="auto"/>
        </w:rPr>
      </w:pPr>
      <w:r>
        <w:rPr>
          <w:rFonts w:ascii="Arial" w:cs="Arial" w:eastAsia="Arial" w:hAnsi="Arial"/>
          <w:sz w:val="14"/>
          <w:szCs w:val="14"/>
          <w:color w:val="auto"/>
        </w:rPr>
        <w:t>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Approval of TPST-1495 and TPST-1120 and our other product candidates may be delayed or refused for many reasons, including:</w:t>
      </w:r>
    </w:p>
    <w:p>
      <w:pPr>
        <w:spacing w:after="0" w:line="186" w:lineRule="exact"/>
        <w:rPr>
          <w:sz w:val="20"/>
          <w:szCs w:val="20"/>
          <w:color w:val="auto"/>
        </w:rPr>
      </w:pPr>
    </w:p>
    <w:p>
      <w:pPr>
        <w:ind w:left="980" w:hanging="243"/>
        <w:spacing w:after="0"/>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FDA or comparable foreign regulatory authorities may disagree with the design or implementation of our clinical trials;</w:t>
      </w:r>
    </w:p>
    <w:p>
      <w:pPr>
        <w:spacing w:after="0" w:line="186"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be unable to demonstrate, to the satisfaction of the FDA or comparable foreign regulatory authorities, that our product candidates are safe and effective for any of their proposed indications;</w:t>
      </w:r>
    </w:p>
    <w:p>
      <w:pPr>
        <w:spacing w:after="0" w:line="160" w:lineRule="exact"/>
        <w:rPr>
          <w:rFonts w:ascii="Arial" w:cs="Arial" w:eastAsia="Arial" w:hAnsi="Arial"/>
          <w:sz w:val="14"/>
          <w:szCs w:val="14"/>
          <w:color w:val="auto"/>
        </w:rPr>
      </w:pPr>
    </w:p>
    <w:p>
      <w:pPr>
        <w:ind w:left="980" w:hanging="243"/>
        <w:spacing w:after="0"/>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populations studied in clinical trials may not be sufficiently broad or representative to assure efficacy and safety in the populations for which we seek approval;</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results of clinical trials may not meet the level of statistical significance required by the FDA or comparable foreign regulatory authorities for approval;</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be unable to demonstrate that our product candidates’ clinical and other benefits outweigh their safety risks;</w:t>
      </w:r>
    </w:p>
    <w:p>
      <w:pPr>
        <w:spacing w:after="0" w:line="186"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data collected from clinical trials of our product candidates may not be sufficient to support the submission of an NDA or other comparable submission in foreign jurisdictions or to obtain regulatory approval in the United States or elsewhere;</w:t>
      </w:r>
    </w:p>
    <w:p>
      <w:pPr>
        <w:spacing w:after="0" w:line="160" w:lineRule="exact"/>
        <w:rPr>
          <w:rFonts w:ascii="Arial" w:cs="Arial" w:eastAsia="Arial" w:hAnsi="Arial"/>
          <w:sz w:val="14"/>
          <w:szCs w:val="14"/>
          <w:color w:val="auto"/>
        </w:rPr>
      </w:pPr>
    </w:p>
    <w:p>
      <w:pPr>
        <w:ind w:left="980" w:hanging="243"/>
        <w:spacing w:after="0"/>
        <w:tabs>
          <w:tab w:leader="none" w:pos="9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facilities of third-party manufacturers with which we contract or procure certain service or raw materials, may not be adequate to support approval of our product candidates; and</w:t>
      </w:r>
    </w:p>
    <w:p>
      <w:pPr>
        <w:spacing w:after="0" w:line="209" w:lineRule="exact"/>
        <w:rPr>
          <w:rFonts w:ascii="Arial" w:cs="Arial" w:eastAsia="Arial" w:hAnsi="Arial"/>
          <w:sz w:val="12"/>
          <w:szCs w:val="12"/>
          <w:color w:val="auto"/>
        </w:rPr>
      </w:pPr>
    </w:p>
    <w:p>
      <w:pPr>
        <w:ind w:left="980" w:hanging="243"/>
        <w:spacing w:after="0"/>
        <w:tabs>
          <w:tab w:leader="none" w:pos="9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approval policies or regulations of the FDA or comparable foreign regulatory authorities may significantly change in a manner rendering our clinical data insufficient for approval.</w:t>
      </w:r>
    </w:p>
    <w:p>
      <w:pPr>
        <w:spacing w:after="0" w:line="209"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color w:val="auto"/>
        </w:rPr>
        <w:t>Even if our product candidates meet their pre-specified safety and efficacy endpoints in clinical trials, the regulatory authorities may not complete their review processes in a timely manner and may not consider such the clinical trial results sufficient to grant,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38"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color w:val="auto"/>
        </w:rPr>
        <w:t>Regulatory authorities also may approve a product candidate for more limited indications than requested or they may impose significant limitations in the form of narrow indications, warnings, contraindications or Risk Evaluation and Mitigation Strategies, or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spacing w:after="0" w:line="138"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The outbreak of COVID-19, or similar public health crises, could have a material adverse impact on our business, financial condition and results of operations, including the execution of our planned clinical trials.</w:t>
      </w:r>
    </w:p>
    <w:p>
      <w:pPr>
        <w:spacing w:after="0" w:line="160"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color w:val="auto"/>
        </w:rPr>
        <w:t>In December 2019, a novel strain of coronavirus, SARS-CoV-2, was identified. This virus caused by SARS-CoV-2, COVID-19, has since spread globally, including within the United States and while cases and hospitalization are currently on the decline in the United States, there can be no assurances they will not continue at the current rate or increase in the future especially in light of the number of variants that are emerging across the world. Governments in the United States and elsewhere have taken and are continuing to take severe measures to slow the spread of COVID-19, including requiring that certain businesses close or conduct only the minimum necessary operations. The pandemic and government measures taken</w:t>
      </w:r>
    </w:p>
    <w:p>
      <w:pPr>
        <w:spacing w:after="0" w:line="281"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color w:val="auto"/>
        </w:rPr>
        <w:t>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extent to which COVID-19 will continue to impact our business and operating results will depend on future developments that are highly uncertain and cannot be accurately predicted, including new information that may emerge concerning COVID-19 and government measures taken in response.</w:t>
      </w:r>
    </w:p>
    <w:p>
      <w:pPr>
        <w:spacing w:after="0" w:line="138" w:lineRule="exact"/>
        <w:rPr>
          <w:sz w:val="20"/>
          <w:szCs w:val="20"/>
          <w:color w:val="auto"/>
        </w:rPr>
      </w:pPr>
    </w:p>
    <w:p>
      <w:pPr>
        <w:jc w:val="both"/>
        <w:ind w:left="240"/>
        <w:spacing w:after="0" w:line="292" w:lineRule="auto"/>
        <w:rPr>
          <w:sz w:val="20"/>
          <w:szCs w:val="20"/>
          <w:color w:val="auto"/>
        </w:rPr>
      </w:pPr>
      <w:r>
        <w:rPr>
          <w:rFonts w:ascii="Arial" w:cs="Arial" w:eastAsia="Arial" w:hAnsi="Arial"/>
          <w:sz w:val="12"/>
          <w:szCs w:val="12"/>
          <w:color w:val="auto"/>
        </w:rPr>
        <w:t>Site initiation, participant recruitment and enrollment, participant dosing, distribution of clinical trial materials, study monitoring and data analysis for our planned clinical trials may be delayed due to changes in hospital or university policies, federal, state or local regulations, prioritization of hospital resources toward pandemic efforts, or other reasons related to the pandemic. Additionally, some participants and clinical investigators may not be able to comply with clinical trial protocols. For example, quarantines or other travel limitations (whether voluntary or required) and limited supplies of vaccines, including booster shots, may impede participant movement, affect sponsor access to study sites, or interrupt healthcare services, and we may be unable to conduct our planned clinical trials. If the global effort to control the spread of COVID-19 and treat COVID-19 patients continues for an extended period of time, we risk a delay in activating sites and enrolling subjects as previously projected. Any such delays to our planned clinical trials for TPST-1495 and TPST-1120 and the planned clinical trials for its other product candidates could impact the use and sufficiency of its existing cash reserves, and it may be required to raise additional capital earlier than it had previously planned. We may be unable to raise additional capital if and when needed, which may result in further delays or suspension of its development plans.</w:t>
      </w:r>
    </w:p>
    <w:p>
      <w:pPr>
        <w:spacing w:after="0" w:line="148" w:lineRule="exact"/>
        <w:rPr>
          <w:sz w:val="20"/>
          <w:szCs w:val="20"/>
          <w:color w:val="auto"/>
        </w:rPr>
      </w:pPr>
    </w:p>
    <w:p>
      <w:pPr>
        <w:jc w:val="both"/>
        <w:ind w:left="240"/>
        <w:spacing w:after="0" w:line="314" w:lineRule="auto"/>
        <w:rPr>
          <w:sz w:val="20"/>
          <w:szCs w:val="20"/>
          <w:color w:val="auto"/>
        </w:rPr>
      </w:pPr>
      <w:r>
        <w:rPr>
          <w:rFonts w:ascii="Arial" w:cs="Arial" w:eastAsia="Arial" w:hAnsi="Arial"/>
          <w:sz w:val="12"/>
          <w:szCs w:val="12"/>
          <w:color w:val="auto"/>
        </w:rPr>
        <w:t>Further, infections and deaths related to COVID-19 are disrupting certain healthcare and healthcare regulatory systems globally. Such disruptions could divert healthcare resources away from, or materially delay review by, the FDA and comparable foreign regulatory agencies. It is unknown how long these disruptions could continue, were they to occur. Any elongation or de-prioritization of our clinical trials or delay in regulatory review resulting from such disruptions could materially adversely affect the development and study of its product candidates.</w:t>
      </w:r>
    </w:p>
    <w:p>
      <w:pPr>
        <w:spacing w:after="0" w:line="132"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We currently utilize third parties to, among other things, manufacture raw materials and its product candidates, components, parts, and consumables, and to perform quality testing. If we or any third-party in the supply chain for materials used in the production of its product candidates are adversely impacted by restrictions resulting from the COVID-19 pandemic, its supply chain may be disrupted, limiting our ability to manufacture product candidates for its clinical trials.</w:t>
      </w:r>
    </w:p>
    <w:p>
      <w:pPr>
        <w:spacing w:after="0" w:line="167"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In response to the COVID-19 pandemic, we complied with applicable regulation and limited required on-site staff to essential workers, with the balance of its employees continuing their work primarily outside of our offices. Due to shelter-in-place orders or other mandated local travel restrictions, third parties conducting clinical or manufacturing activities may not be able to access laboratory or manufacturing space, and our core activities may be significantly limited or curtailed, possibly for an extended period of time.</w:t>
      </w:r>
    </w:p>
    <w:p>
      <w:pPr>
        <w:spacing w:after="0" w:line="167"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While the potential economic impact brought by and the duration of the pandemic may be difficult to assess or predict, it has already caused, and is likely to result in further, significant disruption of global financial markets and the trading prices of biopharmaceutical companies have been highly volatile as a result of the COVID-19 pandemic, which may reduce our ability to access capital either at all or on favorable terms. In addition, a recession, depression or other sustained adverse market event resulting from the global effort to control COVID-19 infections could materially and adversely affect our business.</w:t>
      </w:r>
    </w:p>
    <w:p>
      <w:pPr>
        <w:spacing w:after="0" w:line="169"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The ultimate impact of the current pandemic, or any other health epidemic, is highly uncertain and subject to change. We do not yet know the full extent of potential delays or impacts on its business, its planned clinical trials, healthcare systems or the global economy as a whole. However, these effects could have a material adverse impact on our business, financial condition and results of operations.</w:t>
      </w:r>
    </w:p>
    <w:p>
      <w:pPr>
        <w:spacing w:after="0" w:line="167"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TPST-1495, TPST-1120 and our other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spacing w:after="0" w:line="160" w:lineRule="exact"/>
        <w:rPr>
          <w:sz w:val="20"/>
          <w:szCs w:val="20"/>
          <w:color w:val="auto"/>
        </w:rPr>
      </w:pPr>
    </w:p>
    <w:p>
      <w:pPr>
        <w:jc w:val="both"/>
        <w:ind w:left="240"/>
        <w:spacing w:after="0" w:line="314" w:lineRule="auto"/>
        <w:rPr>
          <w:sz w:val="20"/>
          <w:szCs w:val="20"/>
          <w:color w:val="auto"/>
        </w:rPr>
      </w:pPr>
      <w:r>
        <w:rPr>
          <w:rFonts w:ascii="Arial" w:cs="Arial" w:eastAsia="Arial" w:hAnsi="Arial"/>
          <w:sz w:val="12"/>
          <w:szCs w:val="12"/>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its product candidates and initiate clinical trials of its additional product candidates, serious adverse events (SAEs), undesirable side effects, relapse of disease or unexpected characteristics may emerge causing us to abandon</w:t>
      </w:r>
    </w:p>
    <w:p>
      <w:pPr>
        <w:spacing w:after="0" w:line="200" w:lineRule="exact"/>
        <w:rPr>
          <w:sz w:val="20"/>
          <w:szCs w:val="20"/>
          <w:color w:val="auto"/>
        </w:rPr>
      </w:pPr>
    </w:p>
    <w:p>
      <w:pPr>
        <w:spacing w:after="0" w:line="259"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w:t>
      </w:r>
    </w:p>
    <w:p>
      <w:pPr>
        <w:spacing w:after="0" w:line="160" w:lineRule="exact"/>
        <w:rPr>
          <w:sz w:val="20"/>
          <w:szCs w:val="20"/>
          <w:color w:val="auto"/>
        </w:rPr>
      </w:pPr>
    </w:p>
    <w:p>
      <w:pPr>
        <w:jc w:val="both"/>
        <w:ind w:left="240"/>
        <w:spacing w:after="0" w:line="294" w:lineRule="auto"/>
        <w:rPr>
          <w:sz w:val="20"/>
          <w:szCs w:val="20"/>
          <w:color w:val="auto"/>
        </w:rPr>
      </w:pPr>
      <w:r>
        <w:rPr>
          <w:rFonts w:ascii="Arial" w:cs="Arial" w:eastAsia="Arial" w:hAnsi="Arial"/>
          <w:sz w:val="12"/>
          <w:szCs w:val="12"/>
          <w:color w:val="auto"/>
        </w:rPr>
        <w:t>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including our ability to successfully sign collaboration or license agreements with external partners. Other treatments for cancers that utilize prostaglandin E2 antagonist or a PPARα antagonist or similar mechanism of action could also generate data that could adversely affect the clinical, regulatory or commercial perception of TPST-1495 and TPST-1120 and our other product candidates.</w:t>
      </w:r>
    </w:p>
    <w:p>
      <w:pPr>
        <w:spacing w:after="0" w:line="308"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Additionally, if any of our product candidates receives marketing approval, the FDA could require us to adopt a REMS to ensure that the benefits of the product outweigh its risks, which may include, for example, a Medication Guide outlining the risks of the product for distribution to patients and a communication plan to health care practitioners, or other elements to assure safe use of the product.</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Furthermore, if we or others later identify undesirable side effects caused by our product candidates, several potentially significant negative consequences could result, including:</w:t>
      </w:r>
    </w:p>
    <w:p>
      <w:pPr>
        <w:spacing w:after="0" w:line="209" w:lineRule="exact"/>
        <w:rPr>
          <w:sz w:val="20"/>
          <w:szCs w:val="20"/>
          <w:color w:val="auto"/>
        </w:rPr>
      </w:pPr>
    </w:p>
    <w:p>
      <w:pPr>
        <w:ind w:left="980" w:hanging="243"/>
        <w:spacing w:after="0"/>
        <w:tabs>
          <w:tab w:leader="none" w:pos="9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regulatory authorities may suspend or withdraw approvals of such product candidate;</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regulatory authorities may require additional warnings in the labeling;</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may be required to change the way a product candidate is administered or conduct additional clinical trials;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could be sued and held liable for harm caused to patients; and</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reputation may suffer.</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Any of these occurrences may harm our business, financial condition, results of operations and prospects significantly.</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may not be successful in its efforts to expand its pipeline of product candidates and develop marketable products.</w:t>
      </w:r>
    </w:p>
    <w:p>
      <w:pPr>
        <w:spacing w:after="0" w:line="186" w:lineRule="exact"/>
        <w:rPr>
          <w:sz w:val="20"/>
          <w:szCs w:val="20"/>
          <w:color w:val="auto"/>
        </w:rPr>
      </w:pPr>
    </w:p>
    <w:p>
      <w:pPr>
        <w:jc w:val="both"/>
        <w:ind w:left="240"/>
        <w:spacing w:after="0" w:line="294" w:lineRule="auto"/>
        <w:rPr>
          <w:sz w:val="20"/>
          <w:szCs w:val="20"/>
          <w:color w:val="auto"/>
        </w:rPr>
      </w:pPr>
      <w:r>
        <w:rPr>
          <w:rFonts w:ascii="Arial" w:cs="Arial" w:eastAsia="Arial" w:hAnsi="Arial"/>
          <w:sz w:val="12"/>
          <w:szCs w:val="12"/>
          <w:color w:val="auto"/>
        </w:rPr>
        <w:t>Because we have limited financial and managerial resources, we focus on research programs and product candidates that we identify for specific indications. Our business depends on its successful development and commercialization of the limited number of internal product candidates we are researching or has in preclinical development. Even if we are successful in continuing to build its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develop further product candidates, we may not be able to obtain product revenue in future periods, which would adversely affect our business, prospects, financial condition and results of operations.</w:t>
      </w:r>
    </w:p>
    <w:p>
      <w:pPr>
        <w:spacing w:after="0" w:line="144" w:lineRule="exact"/>
        <w:rPr>
          <w:sz w:val="20"/>
          <w:szCs w:val="20"/>
          <w:color w:val="auto"/>
        </w:rPr>
      </w:pPr>
    </w:p>
    <w:p>
      <w:pPr>
        <w:jc w:val="both"/>
        <w:ind w:left="240"/>
        <w:spacing w:after="0" w:line="247" w:lineRule="auto"/>
        <w:rPr>
          <w:sz w:val="20"/>
          <w:szCs w:val="20"/>
          <w:color w:val="auto"/>
        </w:rPr>
      </w:pPr>
      <w:r>
        <w:rPr>
          <w:rFonts w:ascii="Arial" w:cs="Arial" w:eastAsia="Arial" w:hAnsi="Arial"/>
          <w:sz w:val="14"/>
          <w:szCs w:val="14"/>
          <w:color w:val="auto"/>
        </w:rPr>
        <w:t>Although our pipeline includes multiple programs, we are primarily focused on its lead product candidates, TPST-1495 and TPST-1120, and we may forego or delay pursuit of opportunities with other product candidates or for other indications that later prove to have greater commercial potential. We. our resource allocation decisions may cause us to fail to capitalize on viable commercial products or profitable market opportunities. We our spending on current and future research and development programs and product candidates for specific indications may not yield any commercially viable products. We.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w:t>
      </w:r>
    </w:p>
    <w:p>
      <w:pPr>
        <w:spacing w:after="0" w:line="31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candidate through collaboration, licensing or other royalty arrangements in cases in which it would have been more advantageous for us to retain sole development and commercialization rights.</w:t>
      </w:r>
    </w:p>
    <w:p>
      <w:pPr>
        <w:spacing w:after="0" w:line="209" w:lineRule="exact"/>
        <w:rPr>
          <w:sz w:val="20"/>
          <w:szCs w:val="20"/>
          <w:color w:val="auto"/>
        </w:rPr>
      </w:pPr>
    </w:p>
    <w:p>
      <w:pPr>
        <w:ind w:left="240" w:right="120"/>
        <w:spacing w:after="0" w:line="252" w:lineRule="auto"/>
        <w:rPr>
          <w:sz w:val="20"/>
          <w:szCs w:val="20"/>
          <w:color w:val="auto"/>
        </w:rPr>
      </w:pPr>
      <w:r>
        <w:rPr>
          <w:rFonts w:ascii="Arial" w:cs="Arial" w:eastAsia="Arial" w:hAnsi="Arial"/>
          <w:sz w:val="14"/>
          <w:szCs w:val="14"/>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it experiences unanticipated problems with its product candidates, when and if any of them are approved.</w:t>
      </w:r>
    </w:p>
    <w:p>
      <w:pPr>
        <w:spacing w:after="0" w:line="167" w:lineRule="exact"/>
        <w:rPr>
          <w:sz w:val="20"/>
          <w:szCs w:val="20"/>
          <w:color w:val="auto"/>
        </w:rPr>
      </w:pPr>
    </w:p>
    <w:p>
      <w:pPr>
        <w:jc w:val="both"/>
        <w:ind w:left="240"/>
        <w:spacing w:after="0" w:line="296" w:lineRule="auto"/>
        <w:rPr>
          <w:sz w:val="20"/>
          <w:szCs w:val="20"/>
          <w:color w:val="auto"/>
        </w:rPr>
      </w:pPr>
      <w:r>
        <w:rPr>
          <w:rFonts w:ascii="Arial" w:cs="Arial" w:eastAsia="Arial" w:hAnsi="Arial"/>
          <w:sz w:val="12"/>
          <w:szCs w:val="12"/>
          <w:color w:val="auto"/>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(“cGMPs”),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cGMPs.</w:t>
      </w:r>
    </w:p>
    <w:p>
      <w:pPr>
        <w:spacing w:after="0" w:line="143" w:lineRule="exact"/>
        <w:rPr>
          <w:sz w:val="20"/>
          <w:szCs w:val="20"/>
          <w:color w:val="auto"/>
        </w:rPr>
      </w:pPr>
    </w:p>
    <w:p>
      <w:pPr>
        <w:jc w:val="both"/>
        <w:ind w:left="240"/>
        <w:spacing w:after="0" w:line="299" w:lineRule="auto"/>
        <w:rPr>
          <w:sz w:val="20"/>
          <w:szCs w:val="20"/>
          <w:color w:val="auto"/>
        </w:rPr>
      </w:pPr>
      <w:r>
        <w:rPr>
          <w:rFonts w:ascii="Arial" w:cs="Arial" w:eastAsia="Arial" w:hAnsi="Arial"/>
          <w:sz w:val="12"/>
          <w:szCs w:val="12"/>
          <w:color w:val="auto"/>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its product candidates in a manner inconsistent with FDA-approved labeling or otherwise not in compliance with FDA regulations, we may be subject to enforcement action. Violations of the Federal Food, Drug, and Cosmetic Act relating to the promotion of prescription drugs may lead to investigations alleging violations of federal and state healthcare fraud and abuse laws, as well as state consumer protection laws and similar laws in international jurisdictions.</w:t>
      </w:r>
    </w:p>
    <w:p>
      <w:pPr>
        <w:spacing w:after="0" w:line="141"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160" w:lineRule="exact"/>
        <w:rPr>
          <w:sz w:val="20"/>
          <w:szCs w:val="20"/>
          <w:color w:val="auto"/>
        </w:rPr>
      </w:pPr>
    </w:p>
    <w:p>
      <w:pPr>
        <w:ind w:left="980" w:hanging="243"/>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restrictions on such product candidates, manufacturers or manufacturing processes;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restrictions on the labeling or marketing of a product;</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restrictions on product distribution or use;</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requirements to conduct post-marketing studies or clinical trials;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warning or untitled letters;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withdrawal of any approved product from the market;</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refusal to approve pending applications or supplements to approved applications that we submit;</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recall of product candidates;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fines, restitution or disgorgement of profits or revenues;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suspension or withdrawal of marketing approvals;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refusal to permit the import or export of our product candidates;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product seizure; or</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w:t>
      </w:r>
    </w:p>
    <w:p>
      <w:pPr>
        <w:spacing w:after="0" w:line="186" w:lineRule="exact"/>
        <w:rPr>
          <w:sz w:val="20"/>
          <w:szCs w:val="20"/>
          <w:color w:val="auto"/>
        </w:rPr>
      </w:pPr>
    </w:p>
    <w:p>
      <w:pPr>
        <w:ind w:left="240"/>
        <w:spacing w:after="0" w:line="345" w:lineRule="auto"/>
        <w:rPr>
          <w:sz w:val="20"/>
          <w:szCs w:val="20"/>
          <w:color w:val="auto"/>
        </w:rPr>
      </w:pPr>
      <w:r>
        <w:rPr>
          <w:rFonts w:ascii="Arial" w:cs="Arial" w:eastAsia="Arial" w:hAnsi="Arial"/>
          <w:sz w:val="12"/>
          <w:szCs w:val="12"/>
          <w:color w:val="auto"/>
        </w:rPr>
        <w:t>The occurrence of any event or penalty described above may inhibit our ability to commercialize its product candidates and generate revenue and could require us to expend significant time and resources in response and could generate negative publicity. The FDA’s and other regulatory authorities’ policies may change, and additional government regulations may be</w:t>
      </w:r>
    </w:p>
    <w:p>
      <w:pPr>
        <w:spacing w:after="0" w:line="257"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color w:val="auto"/>
        </w:rPr>
        <w:t>enacted that could prevent, limit or delay regulatory approval of our product candidates. If we are slow or unable to adapt to changes in existing requirements or the adoption of new requirements or policies, or if we are not able to maintain regulatory compliance, it may lose any marketing approval that it has obtained, and we may not achieve or sustain profitability.</w:t>
      </w:r>
    </w:p>
    <w:p>
      <w:pPr>
        <w:spacing w:after="0" w:line="114"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Non-compliance with Canadian and European requirements regarding safety monitoring or pharmacovigilance, and with requirements related to the development of products for the pediatric population, can also result in significant financial penalties. Similarly, failure to comply with Canada’s or Europe’s requirements regarding the protection of personal information can also lead to significant penalties and sanctions.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Our failure to obtain regulatory approval in international jurisdictions would prevent us from marketing its product candidates outside the United States.</w:t>
      </w:r>
    </w:p>
    <w:p>
      <w:pPr>
        <w:spacing w:after="0" w:line="186" w:lineRule="exact"/>
        <w:rPr>
          <w:sz w:val="20"/>
          <w:szCs w:val="20"/>
          <w:color w:val="auto"/>
        </w:rPr>
      </w:pPr>
    </w:p>
    <w:p>
      <w:pPr>
        <w:jc w:val="both"/>
        <w:ind w:left="240"/>
        <w:spacing w:after="0" w:line="247" w:lineRule="auto"/>
        <w:rPr>
          <w:sz w:val="20"/>
          <w:szCs w:val="20"/>
          <w:color w:val="auto"/>
        </w:rPr>
      </w:pPr>
      <w:r>
        <w:rPr>
          <w:rFonts w:ascii="Arial" w:cs="Arial" w:eastAsia="Arial" w:hAnsi="Arial"/>
          <w:sz w:val="14"/>
          <w:szCs w:val="14"/>
          <w:color w:val="auto"/>
        </w:rPr>
        <w:t>To market and sell TPST-1495, TPST-1120 and our other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Tempest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spacing w:after="0" w:line="170"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If we fail to comply with the regulatory requirements in international markets and receive applicable marketing approvals, our target market will be reduced and its ability to realize the full market potential of its product candidates will be harmed and its business will be adversely affected. We may not obtain foreign regulatory approvals on a timely basis, if at all. We. our failure to obtain approval of any of its product candidates by regulatory authorities in another country may significantly diminish the commercial prospects of that product candidate and our business prospects could decline.</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Risks Related to Commercialization and Manufacturing</w:t>
      </w:r>
    </w:p>
    <w:p>
      <w:pPr>
        <w:spacing w:after="0" w:line="188"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The commercial success of our product candidates, including TPST-1495 and TPST-1120, will depend upon their degree of market acceptance by providers, patients, patient advocacy groups, third-party payors and the general medical community.</w:t>
      </w:r>
    </w:p>
    <w:p>
      <w:pPr>
        <w:spacing w:after="0" w:line="160" w:lineRule="exact"/>
        <w:rPr>
          <w:sz w:val="20"/>
          <w:szCs w:val="20"/>
          <w:color w:val="auto"/>
        </w:rPr>
      </w:pPr>
    </w:p>
    <w:p>
      <w:pPr>
        <w:jc w:val="both"/>
        <w:ind w:left="240"/>
        <w:spacing w:after="0" w:line="296" w:lineRule="auto"/>
        <w:rPr>
          <w:sz w:val="20"/>
          <w:szCs w:val="20"/>
          <w:color w:val="auto"/>
        </w:rPr>
      </w:pPr>
      <w:r>
        <w:rPr>
          <w:rFonts w:ascii="Arial" w:cs="Arial" w:eastAsia="Arial" w:hAnsi="Arial"/>
          <w:sz w:val="12"/>
          <w:szCs w:val="12"/>
          <w:color w:val="auto"/>
        </w:rPr>
        <w:t>Even if the requisite approvals from the FDA, the HPFB, the EMA and other regulatory authorities internationally are obtained, the commercial success of our product candidates will depend, in part, on the acceptance of providers, patients and third-party payors of drugs designed to act as a dual antagonist of EP2 and EP4 and PPARα antagonists in general, and our product candidates in particular, as medically necessary, cost-effective and safe. In addition, we may face challenges in seeking to establish and grow sales of TPST-1495 and TPST-1120 or its other product candidates. Any product that we commercializes may not gain acceptance by providers, patients, patient advocacy groups, third-party payors and the general medical community. If these products do not achieve an adequate level of acceptance, we may not generate significant product revenue and may not become profitable. The degree of market acceptance of TPST-1495, TPST-1120 and our other product candidates, if approved for commercial sale, will depend on several factors, including:</w:t>
      </w:r>
    </w:p>
    <w:p>
      <w:pPr>
        <w:spacing w:after="0" w:line="143" w:lineRule="exact"/>
        <w:rPr>
          <w:sz w:val="20"/>
          <w:szCs w:val="20"/>
          <w:color w:val="auto"/>
        </w:rPr>
      </w:pPr>
    </w:p>
    <w:p>
      <w:pPr>
        <w:ind w:left="980" w:hanging="243"/>
        <w:spacing w:after="0"/>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efficacy, durability and safety of such product candidates as demonstrated in clinical trials;</w:t>
      </w:r>
    </w:p>
    <w:p>
      <w:pPr>
        <w:spacing w:after="0" w:line="12" w:lineRule="exact"/>
        <w:rPr>
          <w:rFonts w:ascii="Arial" w:cs="Arial" w:eastAsia="Arial" w:hAnsi="Arial"/>
          <w:sz w:val="14"/>
          <w:szCs w:val="14"/>
          <w:color w:val="auto"/>
        </w:rPr>
      </w:pPr>
    </w:p>
    <w:p>
      <w:pPr>
        <w:ind w:left="980" w:hanging="243"/>
        <w:spacing w:after="0"/>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potential and perceived advantages of product candidates over alternative treatments;</w:t>
      </w:r>
    </w:p>
    <w:p>
      <w:pPr>
        <w:spacing w:after="0" w:line="2" w:lineRule="exact"/>
        <w:rPr>
          <w:rFonts w:ascii="Arial" w:cs="Arial" w:eastAsia="Arial" w:hAnsi="Arial"/>
          <w:sz w:val="14"/>
          <w:szCs w:val="14"/>
          <w:color w:val="auto"/>
        </w:rPr>
      </w:pPr>
    </w:p>
    <w:p>
      <w:pPr>
        <w:ind w:left="980" w:hanging="243"/>
        <w:spacing w:after="0"/>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cost of treatment relative to alternative treatments;</w:t>
      </w:r>
    </w:p>
    <w:p>
      <w:pPr>
        <w:spacing w:after="0" w:line="2" w:lineRule="exact"/>
        <w:rPr>
          <w:rFonts w:ascii="Arial" w:cs="Arial" w:eastAsia="Arial" w:hAnsi="Arial"/>
          <w:sz w:val="14"/>
          <w:szCs w:val="14"/>
          <w:color w:val="auto"/>
        </w:rPr>
      </w:pPr>
    </w:p>
    <w:p>
      <w:pPr>
        <w:ind w:left="980" w:hanging="243"/>
        <w:spacing w:after="0"/>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clinical indications for which the product candidate is approved by the FDA, the HPFB or the European Commission;</w:t>
      </w:r>
    </w:p>
    <w:p>
      <w:pPr>
        <w:spacing w:after="0" w:line="2" w:lineRule="exact"/>
        <w:rPr>
          <w:rFonts w:ascii="Arial" w:cs="Arial" w:eastAsia="Arial" w:hAnsi="Arial"/>
          <w:sz w:val="14"/>
          <w:szCs w:val="14"/>
          <w:color w:val="auto"/>
        </w:rPr>
      </w:pPr>
    </w:p>
    <w:p>
      <w:pPr>
        <w:ind w:left="980" w:hanging="243"/>
        <w:spacing w:after="0"/>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willingness of providers to prescribe new therapies;</w:t>
      </w:r>
    </w:p>
    <w:p>
      <w:pPr>
        <w:spacing w:after="0" w:line="2" w:lineRule="exact"/>
        <w:rPr>
          <w:rFonts w:ascii="Arial" w:cs="Arial" w:eastAsia="Arial" w:hAnsi="Arial"/>
          <w:sz w:val="14"/>
          <w:szCs w:val="14"/>
          <w:color w:val="auto"/>
        </w:rPr>
      </w:pPr>
    </w:p>
    <w:p>
      <w:pPr>
        <w:ind w:left="980" w:hanging="243"/>
        <w:spacing w:after="0"/>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willingness of the target patient population to try new therapies;</w:t>
      </w:r>
    </w:p>
    <w:p>
      <w:pPr>
        <w:spacing w:after="0" w:line="2" w:lineRule="exact"/>
        <w:rPr>
          <w:rFonts w:ascii="Arial" w:cs="Arial" w:eastAsia="Arial" w:hAnsi="Arial"/>
          <w:sz w:val="14"/>
          <w:szCs w:val="14"/>
          <w:color w:val="auto"/>
        </w:rPr>
      </w:pPr>
    </w:p>
    <w:p>
      <w:pPr>
        <w:ind w:left="980" w:hanging="243"/>
        <w:spacing w:after="0"/>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prevalence and severity of any side effects;</w:t>
      </w:r>
    </w:p>
    <w:p>
      <w:pPr>
        <w:spacing w:after="0" w:line="2" w:lineRule="exact"/>
        <w:rPr>
          <w:rFonts w:ascii="Arial" w:cs="Arial" w:eastAsia="Arial" w:hAnsi="Arial"/>
          <w:sz w:val="14"/>
          <w:szCs w:val="14"/>
          <w:color w:val="auto"/>
        </w:rPr>
      </w:pPr>
    </w:p>
    <w:p>
      <w:pPr>
        <w:ind w:left="980" w:hanging="243"/>
        <w:spacing w:after="0" w:line="243" w:lineRule="auto"/>
        <w:tabs>
          <w:tab w:leader="none" w:pos="977"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product labeling or product insert requirements of the FDA, the HPFB, EMA or other regulatory authorities, including any limitations or warnings contained in a product’s approved labeling;</w:t>
      </w:r>
    </w:p>
    <w:p>
      <w:pPr>
        <w:ind w:left="980" w:hanging="243"/>
        <w:spacing w:after="0"/>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strength of marketing and distribution support;</w:t>
      </w:r>
    </w:p>
    <w:p>
      <w:pPr>
        <w:spacing w:after="0" w:line="2" w:lineRule="exact"/>
        <w:rPr>
          <w:rFonts w:ascii="Arial" w:cs="Arial" w:eastAsia="Arial" w:hAnsi="Arial"/>
          <w:sz w:val="14"/>
          <w:szCs w:val="14"/>
          <w:color w:val="auto"/>
        </w:rPr>
      </w:pPr>
    </w:p>
    <w:p>
      <w:pPr>
        <w:ind w:left="980" w:hanging="243"/>
        <w:spacing w:after="0"/>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timing of market introduction of competitive products;</w:t>
      </w:r>
    </w:p>
    <w:p>
      <w:pPr>
        <w:spacing w:after="0" w:line="2" w:lineRule="exact"/>
        <w:rPr>
          <w:rFonts w:ascii="Arial" w:cs="Arial" w:eastAsia="Arial" w:hAnsi="Arial"/>
          <w:sz w:val="14"/>
          <w:szCs w:val="14"/>
          <w:color w:val="auto"/>
        </w:rPr>
      </w:pPr>
    </w:p>
    <w:p>
      <w:pPr>
        <w:ind w:left="980" w:hanging="243"/>
        <w:spacing w:after="0"/>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quality of our relationships with patient advocacy groups;</w:t>
      </w:r>
    </w:p>
    <w:p>
      <w:pPr>
        <w:spacing w:after="0" w:line="2" w:lineRule="exact"/>
        <w:rPr>
          <w:rFonts w:ascii="Arial" w:cs="Arial" w:eastAsia="Arial" w:hAnsi="Arial"/>
          <w:sz w:val="14"/>
          <w:szCs w:val="14"/>
          <w:color w:val="auto"/>
        </w:rPr>
      </w:pPr>
    </w:p>
    <w:p>
      <w:pPr>
        <w:ind w:left="980" w:hanging="243"/>
        <w:spacing w:after="0"/>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publicity concerning our product candidates or competing products and treatments; and</w:t>
      </w:r>
    </w:p>
    <w:p>
      <w:pPr>
        <w:spacing w:after="0" w:line="2" w:lineRule="exact"/>
        <w:rPr>
          <w:rFonts w:ascii="Arial" w:cs="Arial" w:eastAsia="Arial" w:hAnsi="Arial"/>
          <w:sz w:val="14"/>
          <w:szCs w:val="14"/>
          <w:color w:val="auto"/>
        </w:rPr>
      </w:pPr>
    </w:p>
    <w:p>
      <w:pPr>
        <w:ind w:left="980" w:hanging="243"/>
        <w:spacing w:after="0"/>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sufficient third-party payor coverage and adequate reimbursement.</w:t>
      </w:r>
    </w:p>
    <w:p>
      <w:pPr>
        <w:spacing w:after="0" w:line="200" w:lineRule="exact"/>
        <w:rPr>
          <w:sz w:val="20"/>
          <w:szCs w:val="20"/>
          <w:color w:val="auto"/>
        </w:rPr>
      </w:pPr>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Even if a potential product displays a favorable efficacy and safety profile in preclinical studies and clinical trials, market acceptance of the product will not be fully known until after it is launched.</w:t>
      </w:r>
    </w:p>
    <w:p>
      <w:pPr>
        <w:spacing w:after="0" w:line="209"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160"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69"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color w:val="auto"/>
        </w:rPr>
        <w:t>We expect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 other third-party payors. Even if coverage is provided, the established reimbursement amount may not be high enough to allow us to establish or maintain pricing sufficient to realize a sufficient return on our investment.</w:t>
      </w:r>
    </w:p>
    <w:p>
      <w:pPr>
        <w:spacing w:after="0" w:line="138" w:lineRule="exact"/>
        <w:rPr>
          <w:sz w:val="20"/>
          <w:szCs w:val="20"/>
          <w:color w:val="auto"/>
        </w:rPr>
      </w:pPr>
    </w:p>
    <w:p>
      <w:pPr>
        <w:jc w:val="both"/>
        <w:ind w:left="240"/>
        <w:spacing w:after="0" w:line="296" w:lineRule="auto"/>
        <w:rPr>
          <w:sz w:val="20"/>
          <w:szCs w:val="20"/>
          <w:color w:val="auto"/>
        </w:rPr>
      </w:pPr>
      <w:r>
        <w:rPr>
          <w:rFonts w:ascii="Arial" w:cs="Arial" w:eastAsia="Arial" w:hAnsi="Arial"/>
          <w:sz w:val="12"/>
          <w:szCs w:val="12"/>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spacing w:after="0" w:line="143" w:lineRule="exact"/>
        <w:rPr>
          <w:sz w:val="20"/>
          <w:szCs w:val="20"/>
          <w:color w:val="auto"/>
        </w:rPr>
      </w:pPr>
    </w:p>
    <w:p>
      <w:pPr>
        <w:jc w:val="both"/>
        <w:ind w:left="240"/>
        <w:spacing w:after="0" w:line="289" w:lineRule="auto"/>
        <w:rPr>
          <w:sz w:val="20"/>
          <w:szCs w:val="20"/>
          <w:color w:val="auto"/>
        </w:rPr>
      </w:pPr>
      <w:r>
        <w:rPr>
          <w:rFonts w:ascii="Arial" w:cs="Arial" w:eastAsia="Arial" w:hAnsi="Arial"/>
          <w:sz w:val="12"/>
          <w:szCs w:val="12"/>
          <w:color w:val="auto"/>
        </w:rPr>
        <w:t>In addition to government and private payors, professional organizations such as the American Medical Association (“AMA”),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w:t>
      </w:r>
    </w:p>
    <w:p>
      <w:pPr>
        <w:spacing w:after="0" w:line="2" w:lineRule="exact"/>
        <w:rPr>
          <w:sz w:val="20"/>
          <w:szCs w:val="20"/>
          <w:color w:val="auto"/>
        </w:rPr>
      </w:pPr>
    </w:p>
    <w:p>
      <w:pPr>
        <w:jc w:val="both"/>
        <w:ind w:left="240"/>
        <w:spacing w:after="0" w:line="247" w:lineRule="auto"/>
        <w:rPr>
          <w:sz w:val="20"/>
          <w:szCs w:val="20"/>
          <w:color w:val="auto"/>
        </w:rPr>
      </w:pPr>
      <w:r>
        <w:rPr>
          <w:rFonts w:ascii="Arial" w:cs="Arial" w:eastAsia="Arial" w:hAnsi="Arial"/>
          <w:sz w:val="14"/>
          <w:szCs w:val="14"/>
          <w:color w:val="auto"/>
        </w:rPr>
        <w:t>guidelines that limit reimbursement or utilization of our product candidates, if approved. Even if favorable coverage and reimbursement status is attained for one or more product candidates for which our collaborators receive regulatory approval, less favorable coverage policies and reimbursement rates may be implemented in the future.</w:t>
      </w:r>
    </w:p>
    <w:p>
      <w:pPr>
        <w:spacing w:after="0" w:line="169" w:lineRule="exact"/>
        <w:rPr>
          <w:sz w:val="20"/>
          <w:szCs w:val="20"/>
          <w:color w:val="auto"/>
        </w:rPr>
      </w:pPr>
    </w:p>
    <w:p>
      <w:pPr>
        <w:jc w:val="both"/>
        <w:ind w:left="240"/>
        <w:spacing w:after="0" w:line="292" w:lineRule="auto"/>
        <w:rPr>
          <w:sz w:val="20"/>
          <w:szCs w:val="20"/>
          <w:color w:val="auto"/>
        </w:rPr>
      </w:pPr>
      <w:r>
        <w:rPr>
          <w:rFonts w:ascii="Arial" w:cs="Arial" w:eastAsia="Arial" w:hAnsi="Arial"/>
          <w:sz w:val="12"/>
          <w:szCs w:val="12"/>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its product candidates. Accordingly, in markets outside the United States, the reimbursement for our product candidates may be reduced compared with the United States and may be insufficient to generate commercially reasonable revenues and profits.</w:t>
      </w:r>
    </w:p>
    <w:p>
      <w:pPr>
        <w:spacing w:after="0" w:line="148" w:lineRule="exact"/>
        <w:rPr>
          <w:sz w:val="20"/>
          <w:szCs w:val="20"/>
          <w:color w:val="auto"/>
        </w:rPr>
      </w:pPr>
    </w:p>
    <w:p>
      <w:pPr>
        <w:jc w:val="both"/>
        <w:ind w:left="240"/>
        <w:spacing w:after="0" w:line="248" w:lineRule="auto"/>
        <w:rPr>
          <w:sz w:val="20"/>
          <w:szCs w:val="20"/>
          <w:color w:val="auto"/>
        </w:rPr>
      </w:pPr>
      <w:r>
        <w:rPr>
          <w:rFonts w:ascii="Arial" w:cs="Arial" w:eastAsia="Arial" w:hAnsi="Arial"/>
          <w:sz w:val="14"/>
          <w:szCs w:val="14"/>
          <w:color w:val="auto"/>
        </w:rPr>
        <w:t>Moreover, increasing efforts by government and other third-party payors, in the United States and internationally, to cap or reduce healthcare costs may cause such payors to limit both coverage and the level of reimbursement for new products approved and, as a result, they may not cover or provide adequate payment for our product candidates. We expects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w:t>
      </w:r>
    </w:p>
    <w:p>
      <w:pPr>
        <w:spacing w:after="0" w:line="31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entry of new products into the healthcare market. Recently there have been instances in which third-party payors have refused to reimburse treatments for patients for whom the treatment is indicated in the FDA-approved product labeling. Even if we are successful in obtaining FDA approval to commercialize our product candidates, we cannot guarantee that we will be able to secure reimbursement for all patients for whom treatment with our product candidates is indicated.</w:t>
      </w:r>
    </w:p>
    <w:p>
      <w:pPr>
        <w:spacing w:after="0" w:line="167"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b w:val="1"/>
          <w:bCs w:val="1"/>
          <w:i w:val="1"/>
          <w:iCs w:val="1"/>
          <w:color w:val="auto"/>
        </w:rPr>
        <w:t>If third parties on which we depend to conduct its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114" w:lineRule="exact"/>
        <w:rPr>
          <w:sz w:val="20"/>
          <w:szCs w:val="20"/>
          <w:color w:val="auto"/>
        </w:rPr>
      </w:pPr>
    </w:p>
    <w:p>
      <w:pPr>
        <w:jc w:val="both"/>
        <w:ind w:left="240"/>
        <w:spacing w:after="0" w:line="294" w:lineRule="auto"/>
        <w:rPr>
          <w:sz w:val="20"/>
          <w:szCs w:val="20"/>
          <w:color w:val="auto"/>
        </w:rPr>
      </w:pPr>
      <w:r>
        <w:rPr>
          <w:rFonts w:ascii="Arial" w:cs="Arial" w:eastAsia="Arial" w:hAnsi="Arial"/>
          <w:sz w:val="12"/>
          <w:szCs w:val="12"/>
          <w:color w:val="auto"/>
        </w:rPr>
        <w:t>We rely on third party CROs, CMOs, consultants and others to design, conduct, supervise and monitor key activities relating to, discovery, manufacturing, preclinical studies and clinical trials of our product candidates, and we intend to do the same for future activities relating to existing and future programs. Because we rely on third parties and does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spacing w:after="0" w:line="144" w:lineRule="exact"/>
        <w:rPr>
          <w:sz w:val="20"/>
          <w:szCs w:val="20"/>
          <w:color w:val="auto"/>
        </w:rPr>
      </w:pPr>
    </w:p>
    <w:p>
      <w:pPr>
        <w:jc w:val="both"/>
        <w:ind w:left="240"/>
        <w:spacing w:after="0" w:line="291" w:lineRule="auto"/>
        <w:rPr>
          <w:sz w:val="20"/>
          <w:szCs w:val="20"/>
          <w:color w:val="auto"/>
        </w:rPr>
      </w:pPr>
      <w:r>
        <w:rPr>
          <w:rFonts w:ascii="Arial" w:cs="Arial" w:eastAsia="Arial" w:hAnsi="Arial"/>
          <w:sz w:val="12"/>
          <w:szCs w:val="12"/>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it does not control does not relieve us of these responsibilities and requirements. The FDA and other regulatory authorities enforce GCPs through periodic inspections of trial sponsors, principal investigators and trial sites. If we or any of these third parties fails to comply with applicable GCPs, the clinical data generated in its clinical trials may be deemed unreliable and the FDA or comparable foreign regulatory authorities may require us to perform additional clinical trials before approving its marketing applications. We cannot assure you that upon inspection by a given regulatory authority, such regulatory authority will determine that any of our clinical trials have complied with GCPs. In addition, our clinical trials must be conducted with product produced in accordance with cGMPs. Our failure to comply with these regulations may require it to repeat clinical trials, which could delay or prevent the receipt of regulatory approvals. Any such event could have an adverse effect on our business, financial condition, results of operations and prospects.</w:t>
      </w:r>
    </w:p>
    <w:p>
      <w:pPr>
        <w:spacing w:after="0" w:line="149"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b w:val="1"/>
          <w:bCs w:val="1"/>
          <w:i w:val="1"/>
          <w:iCs w:val="1"/>
          <w:color w:val="auto"/>
        </w:rPr>
        <w:t>We face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TPST-1495, TPST-1120, and our other product candidates.</w:t>
      </w:r>
    </w:p>
    <w:p>
      <w:pPr>
        <w:spacing w:after="0" w:line="167"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pacing w:after="0" w:line="169" w:lineRule="exact"/>
        <w:rPr>
          <w:sz w:val="20"/>
          <w:szCs w:val="20"/>
          <w:color w:val="auto"/>
        </w:rPr>
      </w:pPr>
    </w:p>
    <w:p>
      <w:pPr>
        <w:jc w:val="both"/>
        <w:ind w:left="240"/>
        <w:spacing w:after="0" w:line="294" w:lineRule="auto"/>
        <w:rPr>
          <w:sz w:val="20"/>
          <w:szCs w:val="20"/>
          <w:color w:val="auto"/>
        </w:rPr>
      </w:pPr>
      <w:r>
        <w:rPr>
          <w:rFonts w:ascii="Arial" w:cs="Arial" w:eastAsia="Arial" w:hAnsi="Arial"/>
          <w:sz w:val="12"/>
          <w:szCs w:val="12"/>
          <w:color w:val="auto"/>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 products,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its product candidates against competitors.</w:t>
      </w:r>
    </w:p>
    <w:p>
      <w:pPr>
        <w:spacing w:after="0" w:line="200" w:lineRule="exact"/>
        <w:rPr>
          <w:sz w:val="20"/>
          <w:szCs w:val="20"/>
          <w:color w:val="auto"/>
        </w:rPr>
      </w:pP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To become and remain profitable, we must develop and eventually commercialize product candidates with significant market potential, which will require us to be successful in a range of challenging activities.</w:t>
      </w:r>
    </w:p>
    <w:p>
      <w:pPr>
        <w:spacing w:after="0" w:line="160" w:lineRule="exact"/>
        <w:rPr>
          <w:sz w:val="20"/>
          <w:szCs w:val="20"/>
          <w:color w:val="auto"/>
        </w:rPr>
      </w:pPr>
    </w:p>
    <w:p>
      <w:pPr>
        <w:jc w:val="both"/>
        <w:ind w:left="240"/>
        <w:spacing w:after="0" w:line="299" w:lineRule="auto"/>
        <w:rPr>
          <w:sz w:val="20"/>
          <w:szCs w:val="20"/>
          <w:color w:val="auto"/>
        </w:rPr>
      </w:pPr>
      <w:r>
        <w:rPr>
          <w:rFonts w:ascii="Arial" w:cs="Arial" w:eastAsia="Arial" w:hAnsi="Arial"/>
          <w:sz w:val="12"/>
          <w:szCs w:val="12"/>
          <w:color w:val="auto"/>
        </w:rPr>
        <w:t>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common stock and could impair our ability to raise capital, maintain our research and development efforts, expand our business or continue operations. A decline in the value of our common stock also could cause you to lose all or part of your investment.</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We may rely on third parties to manufacture our clinical product supplies, and we may have to rely on third parties to produce and process our product candidates, if approved.</w:t>
      </w:r>
    </w:p>
    <w:p>
      <w:pPr>
        <w:spacing w:after="0" w:line="209"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color w:val="auto"/>
        </w:rPr>
        <w:t>We must currently rely on outside vendors to manufacture supplies and process our product candidates. We have not yet manufactured or processed our product candidates on a commercial scale and may not be able to achieve manufacturing and processing and may be unable to create an inventory of mass-produced, off-the-shelf product to satisfy demands for any of our product candidates.</w:t>
      </w:r>
    </w:p>
    <w:p>
      <w:pPr>
        <w:spacing w:after="0" w:line="114"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its product candidates. As a result, we may never be able to develop a commercially viable product.</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 addition, we anticipate reliance on a limited number of third-party manufacturers exposes it to the following risks:</w:t>
      </w:r>
    </w:p>
    <w:p>
      <w:pPr>
        <w:spacing w:after="0" w:line="186" w:lineRule="exact"/>
        <w:rPr>
          <w:sz w:val="20"/>
          <w:szCs w:val="20"/>
          <w:color w:val="auto"/>
        </w:rPr>
      </w:pPr>
    </w:p>
    <w:p>
      <w:pPr>
        <w:jc w:val="both"/>
        <w:ind w:left="980" w:hanging="243"/>
        <w:spacing w:after="0" w:line="252" w:lineRule="auto"/>
        <w:tabs>
          <w:tab w:leader="none" w:pos="977"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spacing w:after="0" w:line="166"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third-party manufacturers might be unable to timely formulate and manufacture our product or produce the quantity and quality required to meet our clinical and commercial needs, if any.</w:t>
      </w:r>
    </w:p>
    <w:p>
      <w:pPr>
        <w:spacing w:after="0" w:line="160" w:lineRule="exact"/>
        <w:rPr>
          <w:rFonts w:ascii="Arial" w:cs="Arial" w:eastAsia="Arial" w:hAnsi="Arial"/>
          <w:sz w:val="14"/>
          <w:szCs w:val="14"/>
          <w:color w:val="auto"/>
        </w:rPr>
      </w:pPr>
    </w:p>
    <w:p>
      <w:pPr>
        <w:ind w:left="980" w:hanging="243"/>
        <w:spacing w:after="0"/>
        <w:tabs>
          <w:tab w:leader="none" w:pos="9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Contract manufacturers may not be able to execute our manufacturing procedures appropriately.</w:t>
      </w:r>
    </w:p>
    <w:p>
      <w:pPr>
        <w:spacing w:after="0" w:line="186"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future contract manufacturers may not perform as agreed or may not remain in the contract manufacturing business for the time required to supply our clinical trials or to successfully produce, store and distribute our products.</w:t>
      </w:r>
    </w:p>
    <w:p>
      <w:pPr>
        <w:spacing w:after="0" w:line="160" w:lineRule="exact"/>
        <w:rPr>
          <w:rFonts w:ascii="Arial" w:cs="Arial" w:eastAsia="Arial" w:hAnsi="Arial"/>
          <w:sz w:val="14"/>
          <w:szCs w:val="14"/>
          <w:color w:val="auto"/>
        </w:rPr>
      </w:pPr>
    </w:p>
    <w:p>
      <w:pPr>
        <w:jc w:val="both"/>
        <w:ind w:left="980" w:hanging="243"/>
        <w:spacing w:after="0" w:line="252" w:lineRule="auto"/>
        <w:tabs>
          <w:tab w:leader="none" w:pos="977" w:val="left"/>
        </w:tabs>
        <w:numPr>
          <w:ilvl w:val="0"/>
          <w:numId w:val="25"/>
        </w:numPr>
        <w:rPr>
          <w:rFonts w:ascii="Arial" w:cs="Arial" w:eastAsia="Arial" w:hAnsi="Arial"/>
          <w:sz w:val="14"/>
          <w:szCs w:val="14"/>
          <w:color w:val="auto"/>
        </w:rPr>
      </w:pPr>
      <w:r>
        <w:rPr>
          <w:rFonts w:ascii="Arial" w:cs="Arial" w:eastAsia="Arial" w:hAnsi="Arial"/>
          <w:sz w:val="14"/>
          <w:szCs w:val="14"/>
          <w:color w:val="auto"/>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spacing w:after="0" w:line="166" w:lineRule="exact"/>
        <w:rPr>
          <w:rFonts w:ascii="Arial" w:cs="Arial" w:eastAsia="Arial" w:hAnsi="Arial"/>
          <w:sz w:val="14"/>
          <w:szCs w:val="14"/>
          <w:color w:val="auto"/>
        </w:rPr>
      </w:pPr>
    </w:p>
    <w:p>
      <w:pPr>
        <w:ind w:left="980" w:hanging="243"/>
        <w:spacing w:after="0"/>
        <w:tabs>
          <w:tab w:leader="none" w:pos="9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not own, or may have to share, the intellectual property rights to any improvements made by our third-party manufacturers in the manufacturing process for our products.</w:t>
      </w:r>
    </w:p>
    <w:p>
      <w:pPr>
        <w:spacing w:after="0" w:line="209" w:lineRule="exact"/>
        <w:rPr>
          <w:rFonts w:ascii="Arial" w:cs="Arial" w:eastAsia="Arial" w:hAnsi="Arial"/>
          <w:sz w:val="12"/>
          <w:szCs w:val="12"/>
          <w:color w:val="auto"/>
        </w:rPr>
      </w:pPr>
    </w:p>
    <w:p>
      <w:pPr>
        <w:ind w:left="980" w:hanging="243"/>
        <w:spacing w:after="0"/>
        <w:tabs>
          <w:tab w:leader="none" w:pos="9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third-party manufacturers could breach or terminate their agreement(s) with us.</w:t>
      </w:r>
    </w:p>
    <w:p>
      <w:pPr>
        <w:spacing w:after="0" w:line="186"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Our contract manufacturers would also be subject to the same risks we face in developing its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169"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its product</w:t>
      </w:r>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candidates for clinical trials, our ability to obtain marketing approval, or our ability to provide supply of our product candidates for patients, if approved, could be delayed or stopped.</w:t>
      </w:r>
    </w:p>
    <w:p>
      <w:pPr>
        <w:spacing w:after="0" w:line="209" w:lineRule="exact"/>
        <w:rPr>
          <w:sz w:val="20"/>
          <w:szCs w:val="20"/>
          <w:color w:val="auto"/>
        </w:rPr>
      </w:pPr>
    </w:p>
    <w:p>
      <w:pPr>
        <w:jc w:val="both"/>
        <w:ind w:left="240"/>
        <w:spacing w:after="0" w:line="296" w:lineRule="auto"/>
        <w:rPr>
          <w:sz w:val="20"/>
          <w:szCs w:val="20"/>
          <w:color w:val="auto"/>
        </w:rPr>
      </w:pPr>
      <w:r>
        <w:rPr>
          <w:rFonts w:ascii="Arial" w:cs="Arial" w:eastAsia="Arial" w:hAnsi="Arial"/>
          <w:sz w:val="12"/>
          <w:szCs w:val="12"/>
          <w:color w:val="auto"/>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43" w:lineRule="exact"/>
        <w:rPr>
          <w:sz w:val="20"/>
          <w:szCs w:val="20"/>
          <w:color w:val="auto"/>
        </w:rPr>
      </w:pPr>
    </w:p>
    <w:p>
      <w:pPr>
        <w:jc w:val="both"/>
        <w:ind w:left="240"/>
        <w:spacing w:after="0" w:line="291" w:lineRule="auto"/>
        <w:rPr>
          <w:sz w:val="20"/>
          <w:szCs w:val="20"/>
          <w:color w:val="auto"/>
        </w:rPr>
      </w:pPr>
      <w:r>
        <w:rPr>
          <w:rFonts w:ascii="Arial" w:cs="Arial" w:eastAsia="Arial" w:hAnsi="Arial"/>
          <w:sz w:val="12"/>
          <w:szCs w:val="12"/>
          <w:color w:val="auto"/>
        </w:rPr>
        <w:t>The process of manufacturing drugs is complex, highly-regulated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cGMPs, the FDA may deny NDA approval until the deficiencies are corrected or we replace the manufacturer in our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49" w:lineRule="exact"/>
        <w:rPr>
          <w:sz w:val="20"/>
          <w:szCs w:val="20"/>
          <w:color w:val="auto"/>
        </w:rPr>
      </w:pPr>
    </w:p>
    <w:p>
      <w:pPr>
        <w:jc w:val="both"/>
        <w:ind w:left="240"/>
        <w:spacing w:after="0" w:line="299" w:lineRule="auto"/>
        <w:rPr>
          <w:sz w:val="20"/>
          <w:szCs w:val="20"/>
          <w:color w:val="auto"/>
        </w:rPr>
      </w:pPr>
      <w:r>
        <w:rPr>
          <w:rFonts w:ascii="Arial" w:cs="Arial" w:eastAsia="Arial" w:hAnsi="Arial"/>
          <w:sz w:val="12"/>
          <w:szCs w:val="12"/>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spacing w:after="0" w:line="141" w:lineRule="exact"/>
        <w:rPr>
          <w:sz w:val="20"/>
          <w:szCs w:val="20"/>
          <w:color w:val="auto"/>
        </w:rPr>
      </w:pPr>
    </w:p>
    <w:p>
      <w:pPr>
        <w:jc w:val="both"/>
        <w:ind w:left="240"/>
        <w:spacing w:after="0" w:line="299" w:lineRule="auto"/>
        <w:rPr>
          <w:sz w:val="20"/>
          <w:szCs w:val="20"/>
          <w:color w:val="auto"/>
        </w:rPr>
      </w:pPr>
      <w:r>
        <w:rPr>
          <w:rFonts w:ascii="Arial" w:cs="Arial" w:eastAsia="Arial" w:hAnsi="Arial"/>
          <w:sz w:val="12"/>
          <w:szCs w:val="12"/>
          <w:color w:val="auto"/>
        </w:rPr>
        <w:t>We believe that we will rely upon on a limited number of manufacturers for its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1"/>
          <w:szCs w:val="11"/>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221" w:lineRule="exact"/>
        <w:rPr>
          <w:sz w:val="20"/>
          <w:szCs w:val="20"/>
          <w:color w:val="auto"/>
        </w:rPr>
      </w:pPr>
    </w:p>
    <w:p>
      <w:pPr>
        <w:jc w:val="both"/>
        <w:ind w:left="240"/>
        <w:spacing w:after="0" w:line="296" w:lineRule="auto"/>
        <w:rPr>
          <w:sz w:val="20"/>
          <w:szCs w:val="20"/>
          <w:color w:val="auto"/>
        </w:rPr>
      </w:pPr>
      <w:r>
        <w:rPr>
          <w:rFonts w:ascii="Arial" w:cs="Arial" w:eastAsia="Arial" w:hAnsi="Arial"/>
          <w:sz w:val="12"/>
          <w:szCs w:val="12"/>
          <w:color w:val="auto"/>
        </w:rPr>
        <w:t>We currently do not have an organization for the sales, marketing and distribution of TPST-1495, TPST-1120, TREX-1 and our other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TPST-1495, TPST-1120 and other product candidates, including in markets outside of the United States or for other large markets that are beyond our resources. This will reduce the revenue generated from the sales of these products.</w:t>
      </w:r>
    </w:p>
    <w:p>
      <w:pPr>
        <w:spacing w:after="0" w:line="286"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 not successfully commercialize the product candidates, our ability to generate revenues from product sales will be adversely affected.</w:t>
      </w:r>
    </w:p>
    <w:p>
      <w:pPr>
        <w:spacing w:after="0" w:line="169" w:lineRule="exact"/>
        <w:rPr>
          <w:sz w:val="20"/>
          <w:szCs w:val="20"/>
          <w:color w:val="auto"/>
        </w:rPr>
      </w:pPr>
    </w:p>
    <w:p>
      <w:pPr>
        <w:jc w:val="both"/>
        <w:ind w:left="240"/>
        <w:spacing w:after="0" w:line="314" w:lineRule="auto"/>
        <w:rPr>
          <w:sz w:val="20"/>
          <w:szCs w:val="20"/>
          <w:color w:val="auto"/>
        </w:rPr>
      </w:pPr>
      <w:r>
        <w:rPr>
          <w:rFonts w:ascii="Arial" w:cs="Arial" w:eastAsia="Arial" w:hAnsi="Arial"/>
          <w:sz w:val="12"/>
          <w:szCs w:val="12"/>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32"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We may not be successful in finding strategic collaborators for continuing development of certain of our future product candidates or successfully commercializing or competing in the market for certain indications.</w:t>
      </w:r>
    </w:p>
    <w:p>
      <w:pPr>
        <w:spacing w:after="0" w:line="160" w:lineRule="exact"/>
        <w:rPr>
          <w:sz w:val="20"/>
          <w:szCs w:val="20"/>
          <w:color w:val="auto"/>
        </w:rPr>
      </w:pPr>
    </w:p>
    <w:p>
      <w:pPr>
        <w:jc w:val="both"/>
        <w:ind w:left="240"/>
        <w:spacing w:after="0" w:line="291" w:lineRule="auto"/>
        <w:rPr>
          <w:sz w:val="20"/>
          <w:szCs w:val="20"/>
          <w:color w:val="auto"/>
        </w:rPr>
      </w:pPr>
      <w:r>
        <w:rPr>
          <w:rFonts w:ascii="Arial" w:cs="Arial" w:eastAsia="Arial" w:hAnsi="Arial"/>
          <w:sz w:val="12"/>
          <w:szCs w:val="12"/>
          <w:color w:val="auto"/>
        </w:rPr>
        <w:t>In the future, we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312" w:lineRule="exact"/>
        <w:rPr>
          <w:sz w:val="20"/>
          <w:szCs w:val="20"/>
          <w:color w:val="auto"/>
        </w:rPr>
      </w:pPr>
    </w:p>
    <w:p>
      <w:pPr>
        <w:jc w:val="both"/>
        <w:ind w:left="240"/>
        <w:spacing w:after="0" w:line="299" w:lineRule="auto"/>
        <w:rPr>
          <w:sz w:val="20"/>
          <w:szCs w:val="20"/>
          <w:color w:val="auto"/>
        </w:rPr>
      </w:pPr>
      <w:r>
        <w:rPr>
          <w:rFonts w:ascii="Arial" w:cs="Arial" w:eastAsia="Arial" w:hAnsi="Arial"/>
          <w:sz w:val="12"/>
          <w:szCs w:val="12"/>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expense. If we elect to increase our expenditures to fund development or commercialization activities on our product candidates,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41" w:lineRule="exact"/>
        <w:rPr>
          <w:sz w:val="20"/>
          <w:szCs w:val="20"/>
          <w:color w:val="auto"/>
        </w:rPr>
      </w:pPr>
    </w:p>
    <w:p>
      <w:pPr>
        <w:jc w:val="both"/>
        <w:ind w:left="240"/>
        <w:spacing w:after="0" w:line="299" w:lineRule="auto"/>
        <w:rPr>
          <w:sz w:val="20"/>
          <w:szCs w:val="20"/>
          <w:color w:val="auto"/>
        </w:rPr>
      </w:pPr>
      <w:r>
        <w:rPr>
          <w:rFonts w:ascii="Arial" w:cs="Arial" w:eastAsia="Arial" w:hAnsi="Arial"/>
          <w:sz w:val="12"/>
          <w:szCs w:val="12"/>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Tempest financially and could harm our business reputation.</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Risks Related to Government Regulation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1"/>
          <w:szCs w:val="11"/>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221"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w:t>
      </w:r>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299" w:lineRule="auto"/>
        <w:rPr>
          <w:sz w:val="20"/>
          <w:szCs w:val="20"/>
          <w:color w:val="auto"/>
        </w:rPr>
      </w:pPr>
      <w:r>
        <w:rPr>
          <w:rFonts w:ascii="Arial" w:cs="Arial" w:eastAsia="Arial" w:hAnsi="Arial"/>
          <w:sz w:val="12"/>
          <w:szCs w:val="12"/>
          <w:color w:val="auto"/>
        </w:rPr>
        <w:t>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its product candidates, the FDA may approve its product candidates for a more limited indication or a narrower patient population than originally requested or may impose other prescribing limitations or warnings that limit the product’s commercial potential. We have not submitted for, or obtained, regulatory approval for any product candidate, and it is possible that none of its product candidates will ever obtain regulatory approval. Further, development of our product candidates and/or regulatory approval may be delayed for reasons beyond its control.</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may also experience delays in obtaining regulatory approvals, including but not limited to:</w:t>
      </w:r>
    </w:p>
    <w:p>
      <w:pPr>
        <w:spacing w:after="0" w:line="186" w:lineRule="exact"/>
        <w:rPr>
          <w:sz w:val="20"/>
          <w:szCs w:val="20"/>
          <w:color w:val="auto"/>
        </w:rPr>
      </w:pPr>
    </w:p>
    <w:p>
      <w:pPr>
        <w:ind w:left="980" w:hanging="243"/>
        <w:spacing w:after="0"/>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obtaining regulatory authorization to begin a trial, if applicable;</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redesigning its study protocols and need to conduct additional studies as may be required by a regulator;</w:t>
      </w:r>
    </w:p>
    <w:p>
      <w:pPr>
        <w:spacing w:after="0" w:line="186"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26"/>
        </w:numPr>
        <w:rPr>
          <w:rFonts w:ascii="Arial" w:cs="Arial" w:eastAsia="Arial" w:hAnsi="Arial"/>
          <w:sz w:val="14"/>
          <w:szCs w:val="14"/>
          <w:color w:val="auto"/>
        </w:rPr>
      </w:pPr>
      <w:r>
        <w:rPr>
          <w:rFonts w:ascii="Arial" w:cs="Arial" w:eastAsia="Arial" w:hAnsi="Arial"/>
          <w:sz w:val="14"/>
          <w:szCs w:val="14"/>
          <w:color w:val="auto"/>
        </w:rPr>
        <w:t>governmental or regulatory delays and changes in regulation or policy relating to the development and commercialization of its product candidate by the FDA or other comparable foreign regulatory authorities;</w:t>
      </w:r>
    </w:p>
    <w:p>
      <w:pPr>
        <w:spacing w:after="0" w:line="160" w:lineRule="exact"/>
        <w:rPr>
          <w:rFonts w:ascii="Arial" w:cs="Arial" w:eastAsia="Arial" w:hAnsi="Arial"/>
          <w:sz w:val="14"/>
          <w:szCs w:val="14"/>
          <w:color w:val="auto"/>
        </w:rPr>
      </w:pPr>
    </w:p>
    <w:p>
      <w:pPr>
        <w:ind w:left="980" w:hanging="243"/>
        <w:spacing w:after="0"/>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outcome, timing and cost of meeting regulatory requirements established by the FDA, and other comparable foreign regulatory authorities;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availability of financial resources to commence and complete the planned trials;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negotiating the terms of any collaboration agreements we may choose to initiate or conclude;</w:t>
      </w:r>
    </w:p>
    <w:p>
      <w:pPr>
        <w:spacing w:after="0" w:line="186"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reaching agreement on acceptable terms with prospective CROs and clinical trial sites, the terms of which can be subject to extensive negotiation and may vary significantly among different CROs and trial sites;</w:t>
      </w:r>
    </w:p>
    <w:p>
      <w:pPr>
        <w:spacing w:after="0" w:line="160" w:lineRule="exact"/>
        <w:rPr>
          <w:rFonts w:ascii="Arial" w:cs="Arial" w:eastAsia="Arial" w:hAnsi="Arial"/>
          <w:sz w:val="14"/>
          <w:szCs w:val="14"/>
          <w:color w:val="auto"/>
        </w:rPr>
      </w:pPr>
    </w:p>
    <w:p>
      <w:pPr>
        <w:ind w:left="980" w:hanging="243"/>
        <w:spacing w:after="0"/>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failure of third-party contractors, such as CROs, or investigators to comply with regulatory requirements, including good clinical practice standards (“GCPs”);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clinical sites deviating from trial protocol or dropping out of a trial;</w:t>
      </w:r>
    </w:p>
    <w:p>
      <w:pPr>
        <w:spacing w:after="0" w:line="186"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26"/>
        </w:numPr>
        <w:rPr>
          <w:rFonts w:ascii="Arial" w:cs="Arial" w:eastAsia="Arial" w:hAnsi="Arial"/>
          <w:sz w:val="14"/>
          <w:szCs w:val="14"/>
          <w:color w:val="auto"/>
        </w:rPr>
      </w:pPr>
      <w:r>
        <w:rPr>
          <w:rFonts w:ascii="Arial" w:cs="Arial" w:eastAsia="Arial" w:hAnsi="Arial"/>
          <w:sz w:val="14"/>
          <w:szCs w:val="14"/>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160" w:lineRule="exact"/>
        <w:rPr>
          <w:rFonts w:ascii="Arial" w:cs="Arial" w:eastAsia="Arial" w:hAnsi="Arial"/>
          <w:sz w:val="14"/>
          <w:szCs w:val="14"/>
          <w:color w:val="auto"/>
        </w:rPr>
      </w:pPr>
    </w:p>
    <w:p>
      <w:pPr>
        <w:ind w:left="980" w:hanging="243"/>
        <w:spacing w:after="0"/>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Inability to recruit and enroll suitable patients to participate in a trial;</w:t>
      </w:r>
    </w:p>
    <w:p>
      <w:pPr>
        <w:spacing w:after="0" w:line="186"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26"/>
        </w:numPr>
        <w:rPr>
          <w:rFonts w:ascii="Arial" w:cs="Arial" w:eastAsia="Arial" w:hAnsi="Arial"/>
          <w:sz w:val="14"/>
          <w:szCs w:val="14"/>
          <w:color w:val="auto"/>
        </w:rPr>
      </w:pPr>
      <w:r>
        <w:rPr>
          <w:rFonts w:ascii="Arial" w:cs="Arial" w:eastAsia="Arial" w:hAnsi="Arial"/>
          <w:sz w:val="14"/>
          <w:szCs w:val="14"/>
          <w:color w:val="auto"/>
        </w:rPr>
        <w:t>having patients complete a trial, including having patients enrolled in clinical trials dropping out of the trial before the product candidate is manufactured and returned to the site, or return for post-treatment follow-up;</w:t>
      </w:r>
    </w:p>
    <w:p>
      <w:pPr>
        <w:spacing w:after="0" w:line="160" w:lineRule="exact"/>
        <w:rPr>
          <w:rFonts w:ascii="Arial" w:cs="Arial" w:eastAsia="Arial" w:hAnsi="Arial"/>
          <w:sz w:val="14"/>
          <w:szCs w:val="14"/>
          <w:color w:val="auto"/>
        </w:rPr>
      </w:pPr>
    </w:p>
    <w:p>
      <w:pPr>
        <w:ind w:left="980" w:hanging="243"/>
        <w:spacing w:after="0"/>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difficulty in having patients complete a trial or return for post-treatment follow-up;</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clinical trial sites deviating from trial protocol or dropping out of a trial;</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addressing any patient safety concerns that arise during the course of a trial;</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inability to add new clinical trial sites; or</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varying interpretations of the data generated from its preclinical or clinical trials;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cost of defending intellectual property disputes, including patent infringement actions brought by third parties;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effect of competing technological and market developments;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cost and timing of establishing, expanding and scaling manufacturing capabilities;</w:t>
      </w: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ind w:left="980" w:hanging="243"/>
        <w:spacing w:after="0"/>
        <w:tabs>
          <w:tab w:leader="none" w:pos="9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inability to manufacture, or obtain from third parties, sufficient quantities of qualified materials under cGMPs, for the completion in pre-clinical and clinical studies;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problems with biopharmaceutical product candidate storage, stability and distribution resulting in global supply chain disruptions;</w:t>
      </w:r>
    </w:p>
    <w:p>
      <w:pPr>
        <w:spacing w:after="0" w:line="186"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cost of establishing sales, marketing and distribution capabilities for any product candidate for which we may receive regulatory approval in regions where we choose to commercialize our products on our own; or</w:t>
      </w:r>
    </w:p>
    <w:p>
      <w:pPr>
        <w:spacing w:after="0" w:line="160" w:lineRule="exact"/>
        <w:rPr>
          <w:rFonts w:ascii="Arial" w:cs="Arial" w:eastAsia="Arial" w:hAnsi="Arial"/>
          <w:sz w:val="14"/>
          <w:szCs w:val="14"/>
          <w:color w:val="auto"/>
        </w:rPr>
      </w:pPr>
    </w:p>
    <w:p>
      <w:pPr>
        <w:jc w:val="both"/>
        <w:ind w:left="980" w:hanging="243"/>
        <w:spacing w:after="0" w:line="252" w:lineRule="auto"/>
        <w:tabs>
          <w:tab w:leader="none" w:pos="977" w:val="left"/>
        </w:tabs>
        <w:numPr>
          <w:ilvl w:val="0"/>
          <w:numId w:val="27"/>
        </w:numPr>
        <w:rPr>
          <w:rFonts w:ascii="Arial" w:cs="Arial" w:eastAsia="Arial" w:hAnsi="Arial"/>
          <w:sz w:val="14"/>
          <w:szCs w:val="14"/>
          <w:color w:val="auto"/>
        </w:rPr>
      </w:pPr>
      <w:r>
        <w:rPr>
          <w:rFonts w:ascii="Arial" w:cs="Arial" w:eastAsia="Arial" w:hAnsi="Arial"/>
          <w:sz w:val="14"/>
          <w:szCs w:val="14"/>
          <w:color w:val="auto"/>
        </w:rPr>
        <w:t>potential unforeseen business disruptions or market fluctuations that delay its product development or clinical trials and increase its costs or expenses, such as business or operational disruptions, delays, or system failures due to malware, unauthorized access, terrorism, war, natural disasters, strikes, geopolitical conflicts, restrictions on trade, import or export restrictions, or public health crises, such as the current COVID-19 pandemic.</w:t>
      </w:r>
    </w:p>
    <w:p>
      <w:pPr>
        <w:spacing w:after="0" w:line="167" w:lineRule="exact"/>
        <w:rPr>
          <w:sz w:val="20"/>
          <w:szCs w:val="20"/>
          <w:color w:val="auto"/>
        </w:rPr>
      </w:pPr>
    </w:p>
    <w:p>
      <w:pPr>
        <w:jc w:val="both"/>
        <w:ind w:left="240"/>
        <w:spacing w:after="0" w:line="292" w:lineRule="auto"/>
        <w:rPr>
          <w:sz w:val="20"/>
          <w:szCs w:val="20"/>
          <w:color w:val="auto"/>
        </w:rPr>
      </w:pPr>
      <w:r>
        <w:rPr>
          <w:rFonts w:ascii="Arial" w:cs="Arial" w:eastAsia="Arial" w:hAnsi="Arial"/>
          <w:sz w:val="12"/>
          <w:szCs w:val="12"/>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Many of the factors that cause, or lead to, a delay in the commencement or completion of clinical trials may ultimately lead to the denial of regulatory approval of our product candidates.</w:t>
      </w:r>
    </w:p>
    <w:p>
      <w:pPr>
        <w:spacing w:after="0" w:line="209" w:lineRule="exact"/>
        <w:rPr>
          <w:sz w:val="20"/>
          <w:szCs w:val="20"/>
          <w:color w:val="auto"/>
        </w:rPr>
      </w:pPr>
    </w:p>
    <w:p>
      <w:pPr>
        <w:jc w:val="both"/>
        <w:ind w:left="240"/>
        <w:spacing w:after="0" w:line="398" w:lineRule="auto"/>
        <w:rPr>
          <w:sz w:val="20"/>
          <w:szCs w:val="20"/>
          <w:color w:val="auto"/>
        </w:rPr>
      </w:pPr>
      <w:r>
        <w:rPr>
          <w:rFonts w:ascii="Arial" w:cs="Arial" w:eastAsia="Arial" w:hAnsi="Arial"/>
          <w:sz w:val="11"/>
          <w:szCs w:val="11"/>
          <w:b w:val="1"/>
          <w:bCs w:val="1"/>
          <w:i w:val="1"/>
          <w:iCs w:val="1"/>
          <w:color w:val="auto"/>
        </w:rPr>
        <w:t>We may seek Breakthrough Therapy designation or Fast Track designation by the FDA for one or more of its product candidates, but may not receive such designation. Even if we secure such designation, it may not lead to a faster development or regulatory review or approval process and it does not increase the likelihood that our product candidates will receive marketing approval.</w:t>
      </w:r>
    </w:p>
    <w:p>
      <w:pPr>
        <w:spacing w:after="0" w:line="91" w:lineRule="exact"/>
        <w:rPr>
          <w:sz w:val="20"/>
          <w:szCs w:val="20"/>
          <w:color w:val="auto"/>
        </w:rPr>
      </w:pPr>
    </w:p>
    <w:p>
      <w:pPr>
        <w:jc w:val="both"/>
        <w:ind w:left="240"/>
        <w:spacing w:after="0" w:line="296" w:lineRule="auto"/>
        <w:rPr>
          <w:sz w:val="20"/>
          <w:szCs w:val="20"/>
          <w:color w:val="auto"/>
        </w:rPr>
      </w:pPr>
      <w:r>
        <w:rPr>
          <w:rFonts w:ascii="Arial" w:cs="Arial" w:eastAsia="Arial" w:hAnsi="Arial"/>
          <w:sz w:val="12"/>
          <w:szCs w:val="12"/>
          <w:color w:val="auto"/>
        </w:rPr>
        <w:t>We may seek Breakthrough Therapy or Fast Track designation for some of its product candidates.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a drug company can submit completed sections of its NDA for review by FDA, rather than waiting until every section of the NDA is completed before the entire application can be reviewed. NDA review usually does not begin until the entire application has been submitted to the FDA.</w:t>
      </w:r>
    </w:p>
    <w:p>
      <w:pPr>
        <w:spacing w:after="0" w:line="143"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color w:val="auto"/>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spacing w:after="0" w:line="138"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color w:val="auto"/>
        </w:rPr>
        <w:t>The FDA has broad discretion whether or not to grant these designations, so even if we believe a particular product candidate is eligible, it cannot assure that the FDA would decide to grant the designation. Even if we obtain Fast Track designation and/or Breakthrough Therapy designation for one or more of our product candidates, it may not experience a faster development 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w:t>
      </w:r>
    </w:p>
    <w:p>
      <w:pPr>
        <w:spacing w:after="0" w:line="200" w:lineRule="exact"/>
        <w:rPr>
          <w:sz w:val="20"/>
          <w:szCs w:val="20"/>
          <w:color w:val="auto"/>
        </w:rPr>
      </w:pPr>
    </w:p>
    <w:p>
      <w:pPr>
        <w:spacing w:after="0" w:line="265"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b w:val="1"/>
          <w:bCs w:val="1"/>
          <w:i w:val="1"/>
          <w:iCs w:val="1"/>
          <w:color w:val="auto"/>
        </w:rPr>
        <w:t>We may attempt to secure FDA approval of its product candidates through the accelerated approval pathway. If we are unable to obtain accelerated approval, we may be required to conduct additional preclinical studies or clinical trials beyond those that we currently contemplate, which could increase the expense of obtaining, and delay the receipt of, necessary marketing approvals.</w:t>
      </w:r>
    </w:p>
    <w:p>
      <w:pPr>
        <w:spacing w:after="0" w:line="167" w:lineRule="exact"/>
        <w:rPr>
          <w:sz w:val="20"/>
          <w:szCs w:val="20"/>
          <w:color w:val="auto"/>
        </w:rPr>
      </w:pPr>
    </w:p>
    <w:p>
      <w:pPr>
        <w:jc w:val="both"/>
        <w:ind w:left="240"/>
        <w:spacing w:after="0" w:line="296" w:lineRule="auto"/>
        <w:rPr>
          <w:sz w:val="20"/>
          <w:szCs w:val="20"/>
          <w:color w:val="auto"/>
        </w:rPr>
      </w:pPr>
      <w:r>
        <w:rPr>
          <w:rFonts w:ascii="Arial" w:cs="Arial" w:eastAsia="Arial" w:hAnsi="Arial"/>
          <w:sz w:val="12"/>
          <w:szCs w:val="12"/>
          <w:color w:val="auto"/>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spacing w:after="0" w:line="143" w:lineRule="exact"/>
        <w:rPr>
          <w:sz w:val="20"/>
          <w:szCs w:val="20"/>
          <w:color w:val="auto"/>
        </w:rPr>
      </w:pPr>
    </w:p>
    <w:p>
      <w:pPr>
        <w:jc w:val="both"/>
        <w:ind w:left="240"/>
        <w:spacing w:after="0" w:line="299" w:lineRule="auto"/>
        <w:rPr>
          <w:sz w:val="20"/>
          <w:szCs w:val="20"/>
          <w:color w:val="auto"/>
        </w:rPr>
      </w:pPr>
      <w:r>
        <w:rPr>
          <w:rFonts w:ascii="Arial" w:cs="Arial" w:eastAsia="Arial" w:hAnsi="Arial"/>
          <w:sz w:val="12"/>
          <w:szCs w:val="12"/>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spacing w:after="0" w:line="141"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color w:val="auto"/>
        </w:rPr>
        <w:t>If we decide to submit an NDA seeking accelerated approval or receives an expedited regulatory designation for any of its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its product candidate would be more difficult or may not occur.</w:t>
      </w:r>
    </w:p>
    <w:p>
      <w:pPr>
        <w:spacing w:after="0" w:line="138"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spacing w:after="0" w:line="344"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b w:val="1"/>
          <w:bCs w:val="1"/>
          <w:i w:val="1"/>
          <w:iCs w:val="1"/>
          <w:color w:val="auto"/>
        </w:rPr>
        <w:t>We may be unsuccessful in obtaining Orphan Drug Designation for its product candidates or transfer of designations obtained by others for future product candidates, and, even if we obtain such designation, it may be unable to maintain the benefits associated with Orphan Drug Designation, including the potential for market exclusivity.</w:t>
      </w:r>
    </w:p>
    <w:p>
      <w:pPr>
        <w:spacing w:after="0" w:line="114" w:lineRule="exact"/>
        <w:rPr>
          <w:sz w:val="20"/>
          <w:szCs w:val="20"/>
          <w:color w:val="auto"/>
        </w:rPr>
      </w:pPr>
    </w:p>
    <w:p>
      <w:pPr>
        <w:jc w:val="both"/>
        <w:ind w:left="240"/>
        <w:spacing w:after="0" w:line="291" w:lineRule="auto"/>
        <w:rPr>
          <w:sz w:val="20"/>
          <w:szCs w:val="20"/>
          <w:color w:val="auto"/>
        </w:rPr>
      </w:pPr>
      <w:r>
        <w:rPr>
          <w:rFonts w:ascii="Arial" w:cs="Arial" w:eastAsia="Arial" w:hAnsi="Arial"/>
          <w:sz w:val="12"/>
          <w:szCs w:val="12"/>
          <w:color w:val="auto"/>
        </w:rPr>
        <w:t>FDA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its drug by the applicable regulatory authority for a significant period of time unless we are able to show that its drug is clinically superior to the approved drug. The applicable period is seven years in the United States.</w:t>
      </w:r>
    </w:p>
    <w:p>
      <w:pPr>
        <w:spacing w:after="0" w:line="149"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We may seek Orphan Drug Designation for one or more of its product candidates in the United States as part of its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w:t>
      </w:r>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target populations, more effective or makes a major contribution to patient care. In addition, a designated orphan drug may not receive orphan drug exclusivity if it is approved for a use that is broader than the indication for which it received orphan designation.</w:t>
      </w:r>
    </w:p>
    <w:p>
      <w:pPr>
        <w:spacing w:after="0" w:line="160"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Enacted and future legislation may increase the difficulty and cost for us to commercialize and obtain marketing approval of our product candidates and may affect the prices wet may set.</w:t>
      </w:r>
    </w:p>
    <w:p>
      <w:pPr>
        <w:spacing w:after="0" w:line="209"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69" w:lineRule="exact"/>
        <w:rPr>
          <w:sz w:val="20"/>
          <w:szCs w:val="20"/>
          <w:color w:val="auto"/>
        </w:rPr>
      </w:pPr>
    </w:p>
    <w:p>
      <w:pPr>
        <w:jc w:val="both"/>
        <w:ind w:left="240"/>
        <w:spacing w:after="0" w:line="247" w:lineRule="auto"/>
        <w:rPr>
          <w:sz w:val="20"/>
          <w:szCs w:val="20"/>
          <w:color w:val="auto"/>
        </w:rPr>
      </w:pPr>
      <w:r>
        <w:rPr>
          <w:rFonts w:ascii="Arial" w:cs="Arial" w:eastAsia="Arial" w:hAnsi="Arial"/>
          <w:sz w:val="14"/>
          <w:szCs w:val="14"/>
          <w:color w:val="auto"/>
        </w:rPr>
        <w:t>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ACA contains provisions that may potentially affect the profitability of our product candidates, if approved,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and expansion of the entities eligible for discounts under the 340B Drug Pricing Program.</w:t>
      </w:r>
    </w:p>
    <w:p>
      <w:pPr>
        <w:spacing w:after="0" w:line="170" w:lineRule="exact"/>
        <w:rPr>
          <w:sz w:val="20"/>
          <w:szCs w:val="20"/>
          <w:color w:val="auto"/>
        </w:rPr>
      </w:pPr>
    </w:p>
    <w:p>
      <w:pPr>
        <w:jc w:val="both"/>
        <w:ind w:left="240"/>
        <w:spacing w:after="0" w:line="247" w:lineRule="auto"/>
        <w:rPr>
          <w:sz w:val="20"/>
          <w:szCs w:val="20"/>
          <w:color w:val="auto"/>
        </w:rPr>
      </w:pPr>
      <w:r>
        <w:rPr>
          <w:rFonts w:ascii="Arial" w:cs="Arial" w:eastAsia="Arial" w:hAnsi="Arial"/>
          <w:sz w:val="14"/>
          <w:szCs w:val="14"/>
          <w:color w:val="auto"/>
        </w:rPr>
        <w:t>While Congress has not passed legislation to comprehensively repeal the ACA, legislation affecting the ACA has been signed into law, including the Tax Cuts and Jobs Act of 2017, which eliminated, effective January 1, 2019, the tax-based shared responsibility payment imposed by the ACA on certain individuals who fail to maintain qualifying health coverage for all or part of a year, which is commonly referred to as the “individual mandate.” On June 17, 2021, the U.S. Supreme Court dismissed the most recent judicial challenge to the ACA brought by several states without specifically ruling on the constitutionality of the law. While Congress continues to amend the ACA, the law appears likely to continue the downward pressure on pharmaceutical pricing, and may also increase our regulatory burdens and operating costs. In the future, there may be other efforts to challenge, repeal or replace the ACA. We are continuing to monitor any changes to the ACA that, in turn, may potentially impact its business in the future.</w:t>
      </w:r>
    </w:p>
    <w:p>
      <w:pPr>
        <w:spacing w:after="0" w:line="170" w:lineRule="exact"/>
        <w:rPr>
          <w:sz w:val="20"/>
          <w:szCs w:val="20"/>
          <w:color w:val="auto"/>
        </w:rPr>
      </w:pPr>
    </w:p>
    <w:p>
      <w:pPr>
        <w:jc w:val="both"/>
        <w:ind w:left="240"/>
        <w:spacing w:after="0" w:line="247" w:lineRule="auto"/>
        <w:rPr>
          <w:sz w:val="20"/>
          <w:szCs w:val="20"/>
          <w:color w:val="auto"/>
        </w:rPr>
      </w:pPr>
      <w:r>
        <w:rPr>
          <w:rFonts w:ascii="Arial" w:cs="Arial" w:eastAsia="Arial" w:hAnsi="Arial"/>
          <w:sz w:val="14"/>
          <w:szCs w:val="14"/>
          <w:color w:val="auto"/>
        </w:rPr>
        <w:t>Additionally, on May 30, 2018, the Trickett Wendler, Frank Mongiello, Jordan McLinn and Matthew Bellina Right to Try Act of 2017 was signed into law. The law, among other things, provides a federal framework for certain patients who have been diagnosed with life-threatening diseases or conditions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 We may choose to seek an expanded access program for our product candidates, or to utilize comparable rules in other countries that allow the use of a drug, on a named patient basis or under a compassionate use program.</w:t>
      </w:r>
    </w:p>
    <w:p>
      <w:pPr>
        <w:spacing w:after="0" w:line="170" w:lineRule="exact"/>
        <w:rPr>
          <w:sz w:val="20"/>
          <w:szCs w:val="20"/>
          <w:color w:val="auto"/>
        </w:rPr>
      </w:pPr>
    </w:p>
    <w:p>
      <w:pPr>
        <w:jc w:val="both"/>
        <w:ind w:left="240"/>
        <w:spacing w:after="0" w:line="294" w:lineRule="auto"/>
        <w:rPr>
          <w:sz w:val="20"/>
          <w:szCs w:val="20"/>
          <w:color w:val="auto"/>
        </w:rPr>
      </w:pPr>
      <w:r>
        <w:rPr>
          <w:rFonts w:ascii="Arial" w:cs="Arial" w:eastAsia="Arial" w:hAnsi="Arial"/>
          <w:sz w:val="12"/>
          <w:szCs w:val="12"/>
          <w:color w:val="auto"/>
        </w:rPr>
        <w:t>Recently, the cost of prescription pharmaceuticals has been the subject of considerable discussion in the United States at both the federal and state levels. While several proposed reform measures will require Congress to pass legislation to become effective, Congress and the new Biden administration have each indicated that it will seek new legislative and/or administrative measures to address prescription drug costs. Since the Presidential inauguration, the Biden administration has taken several executive actions that signal changes in policy from the prior administration. For example, on July 9, 2021, President Biden signed an executive order to promote competition in the U.S. economy that included several initiatives aimed prescription drugs. Among other provisions, the executive order directed the Secretary of HHS to issue a report to the White House within 45 days that includes a plan to, among other things, reduce prices for prescription drugs, including prices paid by the federal government for such drugs. 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w:t>
      </w: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right="220"/>
        <w:spacing w:after="0" w:line="261" w:lineRule="auto"/>
        <w:rPr>
          <w:sz w:val="20"/>
          <w:szCs w:val="20"/>
          <w:color w:val="auto"/>
        </w:rPr>
      </w:pPr>
      <w:r>
        <w:rPr>
          <w:rFonts w:ascii="Arial" w:cs="Arial" w:eastAsia="Arial" w:hAnsi="Arial"/>
          <w:sz w:val="14"/>
          <w:szCs w:val="14"/>
          <w:color w:val="auto"/>
        </w:rPr>
        <w:t>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spacing w:after="0" w:line="160" w:lineRule="exact"/>
        <w:rPr>
          <w:sz w:val="20"/>
          <w:szCs w:val="20"/>
          <w:color w:val="auto"/>
        </w:rPr>
      </w:pPr>
    </w:p>
    <w:p>
      <w:pPr>
        <w:jc w:val="both"/>
        <w:ind w:left="240" w:right="220"/>
        <w:spacing w:after="0" w:line="314" w:lineRule="auto"/>
        <w:rPr>
          <w:sz w:val="20"/>
          <w:szCs w:val="20"/>
          <w:color w:val="auto"/>
        </w:rPr>
      </w:pPr>
      <w:r>
        <w:rPr>
          <w:rFonts w:ascii="Arial" w:cs="Arial" w:eastAsia="Arial" w:hAnsi="Arial"/>
          <w:sz w:val="12"/>
          <w:szCs w:val="12"/>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32" w:lineRule="exact"/>
        <w:rPr>
          <w:sz w:val="20"/>
          <w:szCs w:val="20"/>
          <w:color w:val="auto"/>
        </w:rPr>
      </w:pPr>
    </w:p>
    <w:p>
      <w:pPr>
        <w:jc w:val="both"/>
        <w:ind w:left="240" w:right="220"/>
        <w:spacing w:after="0" w:line="249" w:lineRule="auto"/>
        <w:rPr>
          <w:sz w:val="20"/>
          <w:szCs w:val="20"/>
          <w:color w:val="auto"/>
        </w:rPr>
      </w:pPr>
      <w:r>
        <w:rPr>
          <w:rFonts w:ascii="Arial" w:cs="Arial" w:eastAsia="Arial" w:hAnsi="Arial"/>
          <w:sz w:val="14"/>
          <w:szCs w:val="14"/>
          <w:color w:val="auto"/>
        </w:rPr>
        <w:t>Legislative and regulatory proposals have also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69" w:lineRule="exact"/>
        <w:rPr>
          <w:sz w:val="20"/>
          <w:szCs w:val="20"/>
          <w:color w:val="auto"/>
        </w:rPr>
      </w:pPr>
    </w:p>
    <w:p>
      <w:pPr>
        <w:ind w:left="240"/>
        <w:spacing w:after="0" w:line="261" w:lineRule="auto"/>
        <w:rPr>
          <w:sz w:val="20"/>
          <w:szCs w:val="20"/>
          <w:color w:val="auto"/>
        </w:rPr>
      </w:pPr>
      <w:r>
        <w:rPr>
          <w:rFonts w:ascii="Arial" w:cs="Arial" w:eastAsia="Arial" w:hAnsi="Arial"/>
          <w:sz w:val="14"/>
          <w:szCs w:val="14"/>
          <w:b w:val="1"/>
          <w:bCs w:val="1"/>
          <w:i w:val="1"/>
          <w:iCs w:val="1"/>
          <w:color w:val="auto"/>
        </w:rPr>
        <w:t>The FDA’s ability to review and approve new products may be hindered by a variety of factors, including budget and funding levels, ability to hire and retain key personnel, statutory, regulatory and policy changes and global health concerns.</w:t>
      </w:r>
    </w:p>
    <w:p>
      <w:pPr>
        <w:spacing w:after="0" w:line="160" w:lineRule="exact"/>
        <w:rPr>
          <w:sz w:val="20"/>
          <w:szCs w:val="20"/>
          <w:color w:val="auto"/>
        </w:rPr>
      </w:pPr>
    </w:p>
    <w:p>
      <w:pPr>
        <w:jc w:val="both"/>
        <w:ind w:left="240" w:right="220"/>
        <w:spacing w:after="0" w:line="299" w:lineRule="auto"/>
        <w:rPr>
          <w:sz w:val="20"/>
          <w:szCs w:val="20"/>
          <w:color w:val="auto"/>
        </w:rPr>
      </w:pPr>
      <w:r>
        <w:rPr>
          <w:rFonts w:ascii="Arial" w:cs="Arial" w:eastAsia="Arial" w:hAnsi="Arial"/>
          <w:sz w:val="12"/>
          <w:szCs w:val="12"/>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41" w:lineRule="exact"/>
        <w:rPr>
          <w:sz w:val="20"/>
          <w:szCs w:val="20"/>
          <w:color w:val="auto"/>
        </w:rPr>
      </w:pPr>
    </w:p>
    <w:p>
      <w:pPr>
        <w:jc w:val="both"/>
        <w:ind w:left="240" w:right="220"/>
        <w:spacing w:after="0" w:line="252" w:lineRule="auto"/>
        <w:rPr>
          <w:sz w:val="20"/>
          <w:szCs w:val="20"/>
          <w:color w:val="auto"/>
        </w:rPr>
      </w:pPr>
      <w:r>
        <w:rPr>
          <w:rFonts w:ascii="Arial" w:cs="Arial" w:eastAsia="Arial" w:hAnsi="Arial"/>
          <w:sz w:val="14"/>
          <w:szCs w:val="14"/>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spacing w:after="0" w:line="167" w:lineRule="exact"/>
        <w:rPr>
          <w:sz w:val="20"/>
          <w:szCs w:val="20"/>
          <w:color w:val="auto"/>
        </w:rPr>
      </w:pPr>
    </w:p>
    <w:p>
      <w:pPr>
        <w:jc w:val="both"/>
        <w:ind w:left="240" w:right="220"/>
        <w:spacing w:after="0" w:line="292" w:lineRule="auto"/>
        <w:rPr>
          <w:sz w:val="20"/>
          <w:szCs w:val="20"/>
          <w:color w:val="auto"/>
        </w:rPr>
      </w:pPr>
      <w:r>
        <w:rPr>
          <w:rFonts w:ascii="Arial" w:cs="Arial" w:eastAsia="Arial" w:hAnsi="Arial"/>
          <w:sz w:val="12"/>
          <w:szCs w:val="12"/>
          <w:color w:val="auto"/>
        </w:rPr>
        <w:t>Separately, in response to the COVID-19 pandemic, on March 10, 2020, the FDA announced its intention to postpone most foreign inspections of manufacturing facilities and, subsequently, on March 18, 2020, the FDA temporarily postponed routine surveillance inspections of domestic manufacturing facilities. Regulatory authorities outside the United States may adopt similar restrictions or other policy measures in response to the COVID-19 pandemic.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48" w:lineRule="exact"/>
        <w:rPr>
          <w:sz w:val="20"/>
          <w:szCs w:val="20"/>
          <w:color w:val="auto"/>
        </w:rPr>
      </w:pPr>
    </w:p>
    <w:p>
      <w:pPr>
        <w:jc w:val="both"/>
        <w:ind w:left="240" w:right="220"/>
        <w:spacing w:after="0" w:line="261" w:lineRule="auto"/>
        <w:rPr>
          <w:sz w:val="20"/>
          <w:szCs w:val="20"/>
          <w:color w:val="auto"/>
        </w:rPr>
      </w:pPr>
      <w:r>
        <w:rPr>
          <w:rFonts w:ascii="Arial" w:cs="Arial" w:eastAsia="Arial" w:hAnsi="Arial"/>
          <w:sz w:val="14"/>
          <w:szCs w:val="14"/>
          <w:b w:val="1"/>
          <w:bCs w:val="1"/>
          <w:i w:val="1"/>
          <w:iCs w:val="1"/>
          <w:color w:val="auto"/>
        </w:rPr>
        <w:t>Our internal computer and information systems, or those used by its CROs, CMOs or other contractors or consultants, may fail or suffer security breaches, which could result in a material disruption of our development programs.</w:t>
      </w:r>
    </w:p>
    <w:p>
      <w:pPr>
        <w:spacing w:after="0" w:line="160" w:lineRule="exact"/>
        <w:rPr>
          <w:sz w:val="20"/>
          <w:szCs w:val="20"/>
          <w:color w:val="auto"/>
        </w:rPr>
      </w:pPr>
    </w:p>
    <w:p>
      <w:pPr>
        <w:jc w:val="both"/>
        <w:ind w:left="240" w:right="220"/>
        <w:spacing w:after="0" w:line="294" w:lineRule="auto"/>
        <w:rPr>
          <w:sz w:val="20"/>
          <w:szCs w:val="20"/>
          <w:color w:val="auto"/>
        </w:rPr>
      </w:pPr>
      <w:r>
        <w:rPr>
          <w:rFonts w:ascii="Arial" w:cs="Arial" w:eastAsia="Arial" w:hAnsi="Arial"/>
          <w:sz w:val="12"/>
          <w:szCs w:val="12"/>
          <w:color w:val="auto"/>
        </w:rPr>
        <w:t>Despite the implementation of appropriate security measures, our internal computer and information systems and those of our current and any future CROs, CMOs and other contractors or consultants may become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data from completed or future preclinical studies or clinical trials could result in significant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significantly delayed. We. our</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313"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314" w:lineRule="auto"/>
        <w:rPr>
          <w:sz w:val="20"/>
          <w:szCs w:val="20"/>
          <w:color w:val="auto"/>
        </w:rPr>
      </w:pPr>
      <w:r>
        <w:rPr>
          <w:rFonts w:ascii="Arial" w:cs="Arial" w:eastAsia="Arial" w:hAnsi="Arial"/>
          <w:sz w:val="12"/>
          <w:szCs w:val="12"/>
          <w:color w:val="auto"/>
        </w:rPr>
        <w:t>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during the COVID-19 pandemic, could compromise our ability to perform its day-to-day operations, which could harm its ability to conduct business or delay its financial reporting. Such failures could materially adversely affect our operating results and financial condition.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are subject to a variety of privacy and data security laws, and our failure to comply with them could harm our business.</w:t>
      </w:r>
    </w:p>
    <w:p>
      <w:pPr>
        <w:spacing w:after="0" w:line="186" w:lineRule="exact"/>
        <w:rPr>
          <w:sz w:val="20"/>
          <w:szCs w:val="20"/>
          <w:color w:val="auto"/>
        </w:rPr>
      </w:pPr>
    </w:p>
    <w:p>
      <w:pPr>
        <w:jc w:val="both"/>
        <w:ind w:left="240"/>
        <w:spacing w:after="0" w:line="296" w:lineRule="auto"/>
        <w:rPr>
          <w:sz w:val="20"/>
          <w:szCs w:val="20"/>
          <w:color w:val="auto"/>
        </w:rPr>
      </w:pPr>
      <w:r>
        <w:rPr>
          <w:rFonts w:ascii="Arial" w:cs="Arial" w:eastAsia="Arial" w:hAnsi="Arial"/>
          <w:sz w:val="12"/>
          <w:szCs w:val="12"/>
          <w:color w:val="auto"/>
        </w:rPr>
        <w:t>We maintain a large quantity of sensitive information, including confidential business and patient health information in connection with our preclinical and clinical studies, and is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health information privacy laws, security breach notification laws, and consumer protection laws. Each of these laws is subject to varying interpretations and constantly evolving. In addition, we may obtain health information from third parties (including research institutions from which it obtains clinical trial data) that are subject to privacy and security requirements under HIPAA. Depending on the facts and circumstances, we could be subject to criminal penalties if it knowingly obtains, uses or discloses individually identifiable health information maintained by a HIPAA covered entity in a manner that is not authorized or permitted by HIPAA.</w:t>
      </w:r>
    </w:p>
    <w:p>
      <w:pPr>
        <w:spacing w:after="0" w:line="143" w:lineRule="exact"/>
        <w:rPr>
          <w:sz w:val="20"/>
          <w:szCs w:val="20"/>
          <w:color w:val="auto"/>
        </w:rPr>
      </w:pPr>
    </w:p>
    <w:p>
      <w:pPr>
        <w:jc w:val="both"/>
        <w:ind w:left="240"/>
        <w:spacing w:after="0" w:line="299" w:lineRule="auto"/>
        <w:rPr>
          <w:sz w:val="20"/>
          <w:szCs w:val="20"/>
          <w:color w:val="auto"/>
        </w:rPr>
      </w:pPr>
      <w:r>
        <w:rPr>
          <w:rFonts w:ascii="Arial" w:cs="Arial" w:eastAsia="Arial" w:hAnsi="Arial"/>
          <w:sz w:val="12"/>
          <w:szCs w:val="12"/>
          <w:color w:val="auto"/>
        </w:rPr>
        <w:t>Certain states have also adopted comparable privacy and security laws and regulations, some of which may be more stringent than HIPAA. For example, California enacted the California Consumer Privacy Act (the “CCPA”),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41"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color w:val="auto"/>
        </w:rPr>
        <w:t>In Canada, the Personal Information Protection and Electronic Documents Act (“PIPEDA”) and similar provincial laws may impose obligations with respect to processing personal information, including health-related information. PIPEDA requires companies to obtain an individual’s consent when collecting, using or disclosing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 Failure to comply with PIPEDA could result in significant fines and penalties.</w:t>
      </w:r>
    </w:p>
    <w:p>
      <w:pPr>
        <w:spacing w:after="0" w:line="138" w:lineRule="exact"/>
        <w:rPr>
          <w:sz w:val="20"/>
          <w:szCs w:val="20"/>
          <w:color w:val="auto"/>
        </w:rPr>
      </w:pPr>
    </w:p>
    <w:p>
      <w:pPr>
        <w:jc w:val="both"/>
        <w:ind w:left="240"/>
        <w:spacing w:after="0" w:line="289" w:lineRule="auto"/>
        <w:rPr>
          <w:sz w:val="20"/>
          <w:szCs w:val="20"/>
          <w:color w:val="auto"/>
        </w:rPr>
      </w:pPr>
      <w:r>
        <w:rPr>
          <w:rFonts w:ascii="Arial" w:cs="Arial" w:eastAsia="Arial" w:hAnsi="Arial"/>
          <w:sz w:val="12"/>
          <w:szCs w:val="12"/>
          <w:color w:val="auto"/>
        </w:rPr>
        <w:t>In May 2018, the General Data Protection Regulation (the “GDPR”), took effect in the European Economic Area (the “EEA”). The GDPR governs the collection, use, disclosure, transfer or other processing of personal data of natural persons. Among other things, the GDPR imposes strict obligations on the ability to process health-related and other personal data of data subjects in the EEA, including in relation to use, collection, analysis and transfer (including cross-border transfer) of such personal data. The GDPR includes requirements relating to the consent of the individuals to whom the personal data relates, including detailed notices for clinical trial subjects and investigators. The GDPR also includes certain requirements regarding the security of personal data and notification of data processing obligations or security incidents to appropriate data protection authorities or data subjects as well as requirements for establishing a lawful basis on which personal data can be processed.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€20 million or 4% of our annual worldwide gross revenue). Further, recent legal developments in Europe have created complexity and compliance uncertainty regarding certain transfers of information from the EEA to the United States. For example, on June 16, 2020, the Court of Justice of the European Union (the “CJEU”), declared the EU-U.S. Privacy Shield framework (the “Privacy Shield”), to be invalid. As a result, the Privacy Shield is no longer a valid mechanism for transferring personal data from the EEA to the United States. Moreover, it is uncertain whether the standard contractual clauses will also be invalidated by the European courts or legislature, which seems possible given the rationale behind the CJEU’s concerns about U.S. law and practice on government surveillance. The GDPR also confers a private right of action on data subjects and consumer associations to lodge complaints with supervisory authorities, seek judicial remedies and obtain compensation for damages resulting from violations of the GDPR.</w:t>
      </w:r>
    </w:p>
    <w:p>
      <w:pPr>
        <w:spacing w:after="0" w:line="314"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Compliance with these and any other applicable privacy and data security laws and regulations is a rigorous and time-intensive process, and we may be required to put in place additional mechanisms ensuring compliance with the new data</w:t>
      </w:r>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protection rules. If we fail to comply with any such laws or regulations, We may face significant fines and penalties that could adversely affect Our business, financial condition and results of operations.</w:t>
      </w:r>
    </w:p>
    <w:p>
      <w:pPr>
        <w:spacing w:after="0" w:line="160"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We may be unable to adequately protect its information systems from cyberattacks, which could result in the disclosure of confidential information, damage Our reputation, and subject us to significant financial and legal exposure.</w:t>
      </w:r>
    </w:p>
    <w:p>
      <w:pPr>
        <w:spacing w:after="0" w:line="160" w:lineRule="exact"/>
        <w:rPr>
          <w:sz w:val="20"/>
          <w:szCs w:val="20"/>
          <w:color w:val="auto"/>
        </w:rPr>
      </w:pPr>
    </w:p>
    <w:p>
      <w:pPr>
        <w:jc w:val="both"/>
        <w:ind w:left="240"/>
        <w:spacing w:after="0" w:line="295" w:lineRule="auto"/>
        <w:rPr>
          <w:sz w:val="20"/>
          <w:szCs w:val="20"/>
          <w:color w:val="auto"/>
        </w:rPr>
      </w:pPr>
      <w:r>
        <w:rPr>
          <w:rFonts w:ascii="Arial" w:cs="Arial" w:eastAsia="Arial" w:hAnsi="Arial"/>
          <w:sz w:val="12"/>
          <w:szCs w:val="12"/>
          <w:color w:val="auto"/>
        </w:rPr>
        <w:t>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The COVID-19 pandemic is generally increasing the attack surface available to criminals,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recent COVID-19 pandemic to their advantage.</w:t>
      </w:r>
    </w:p>
    <w:p>
      <w:pPr>
        <w:spacing w:after="0" w:line="310"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color w:val="auto"/>
        </w:rPr>
        <w:t>Although we devote resources to protect its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w:t>
      </w:r>
    </w:p>
    <w:p>
      <w:pPr>
        <w:spacing w:after="0" w:line="114" w:lineRule="exact"/>
        <w:rPr>
          <w:sz w:val="20"/>
          <w:szCs w:val="20"/>
          <w:color w:val="auto"/>
        </w:rPr>
      </w:pPr>
    </w:p>
    <w:p>
      <w:pPr>
        <w:jc w:val="both"/>
        <w:ind w:left="240"/>
        <w:spacing w:after="0" w:line="314" w:lineRule="auto"/>
        <w:rPr>
          <w:sz w:val="20"/>
          <w:szCs w:val="20"/>
          <w:color w:val="auto"/>
        </w:rPr>
      </w:pPr>
      <w:r>
        <w:rPr>
          <w:rFonts w:ascii="Arial" w:cs="Arial" w:eastAsia="Arial" w:hAnsi="Arial"/>
          <w:sz w:val="12"/>
          <w:szCs w:val="12"/>
          <w:color w:val="auto"/>
        </w:rPr>
        <w:t>In addition, the computer systems of various third parties on which we rely, including its CROs, CMOs and other contractors, consultants and law and accounting firms, may sustain damage from computer viruses, unauthorized access, data breaches, phishing attacks, cybercriminals, natural disasters (including hurricanes and earthquakes), terrorism, war and telecommunication and electrical failures. We rely on its third-party providers to implement effective security measures and identify and correct for any such failures, deficiencies or breaches.</w:t>
      </w:r>
    </w:p>
    <w:p>
      <w:pPr>
        <w:spacing w:after="0" w:line="132"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Our employees, principal investigators, CROs, CMOs and consultants may engage in misconduct or other improper activities, including non-compliance with regulatory standards and requirements and insider trading.</w:t>
      </w:r>
    </w:p>
    <w:p>
      <w:pPr>
        <w:spacing w:after="0" w:line="160" w:lineRule="exact"/>
        <w:rPr>
          <w:sz w:val="20"/>
          <w:szCs w:val="20"/>
          <w:color w:val="auto"/>
        </w:rPr>
      </w:pPr>
    </w:p>
    <w:p>
      <w:pPr>
        <w:jc w:val="both"/>
        <w:ind w:left="240"/>
        <w:spacing w:after="0" w:line="291" w:lineRule="auto"/>
        <w:rPr>
          <w:sz w:val="20"/>
          <w:szCs w:val="20"/>
          <w:color w:val="auto"/>
        </w:rPr>
      </w:pPr>
      <w:r>
        <w:rPr>
          <w:rFonts w:ascii="Arial" w:cs="Arial" w:eastAsia="Arial" w:hAnsi="Arial"/>
          <w:sz w:val="12"/>
          <w:szCs w:val="12"/>
          <w:color w:val="auto"/>
        </w:rPr>
        <w:t>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or asserting our rights, those actions could have a significant impact on our business, including the imposition of significant fines or other sanctions.</w:t>
      </w:r>
    </w:p>
    <w:p>
      <w:pPr>
        <w:spacing w:after="0" w:line="149"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60" w:lineRule="exact"/>
        <w:rPr>
          <w:sz w:val="20"/>
          <w:szCs w:val="20"/>
          <w:color w:val="auto"/>
        </w:rPr>
      </w:pPr>
    </w:p>
    <w:p>
      <w:pPr>
        <w:jc w:val="both"/>
        <w:ind w:left="240"/>
        <w:spacing w:after="0" w:line="246" w:lineRule="auto"/>
        <w:rPr>
          <w:sz w:val="20"/>
          <w:szCs w:val="20"/>
          <w:color w:val="auto"/>
        </w:rPr>
      </w:pPr>
      <w:r>
        <w:rPr>
          <w:rFonts w:ascii="Arial" w:cs="Arial" w:eastAsia="Arial" w:hAnsi="Arial"/>
          <w:sz w:val="14"/>
          <w:szCs w:val="14"/>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00" w:lineRule="exact"/>
        <w:rPr>
          <w:sz w:val="20"/>
          <w:szCs w:val="20"/>
          <w:color w:val="auto"/>
        </w:rPr>
      </w:pPr>
    </w:p>
    <w:p>
      <w:pPr>
        <w:spacing w:after="0" w:line="299"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38"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b w:val="1"/>
          <w:bCs w:val="1"/>
          <w:i w:val="1"/>
          <w:iCs w:val="1"/>
          <w:color w:val="auto"/>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14" w:lineRule="exact"/>
        <w:rPr>
          <w:sz w:val="20"/>
          <w:szCs w:val="20"/>
          <w:color w:val="auto"/>
        </w:rPr>
      </w:pPr>
    </w:p>
    <w:p>
      <w:pPr>
        <w:jc w:val="both"/>
        <w:ind w:left="240"/>
        <w:spacing w:after="0" w:line="314" w:lineRule="auto"/>
        <w:rPr>
          <w:sz w:val="20"/>
          <w:szCs w:val="20"/>
          <w:color w:val="auto"/>
        </w:rPr>
      </w:pPr>
      <w:r>
        <w:rPr>
          <w:rFonts w:ascii="Arial" w:cs="Arial" w:eastAsia="Arial" w:hAnsi="Arial"/>
          <w:sz w:val="12"/>
          <w:szCs w:val="12"/>
          <w:color w:val="auto"/>
        </w:rPr>
        <w:t>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sells and distributes any product candidates for which we obtain marketing approval.</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Restrictions under applicable U.S. federal and state healthcare laws and regulations include the following:</w:t>
      </w:r>
    </w:p>
    <w:p>
      <w:pPr>
        <w:spacing w:after="0" w:line="186" w:lineRule="exact"/>
        <w:rPr>
          <w:sz w:val="20"/>
          <w:szCs w:val="20"/>
          <w:color w:val="auto"/>
        </w:rPr>
      </w:pPr>
    </w:p>
    <w:p>
      <w:pPr>
        <w:jc w:val="both"/>
        <w:ind w:left="980" w:hanging="243"/>
        <w:spacing w:after="0" w:line="299" w:lineRule="auto"/>
        <w:tabs>
          <w:tab w:leader="none" w:pos="977"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Violations of the federal Anti-Kickback Statute can result in significant civil monetary penalties and criminal fines, as well as imprisonment and exclusion from participation in federal health care programs;</w:t>
      </w:r>
    </w:p>
    <w:p>
      <w:pPr>
        <w:spacing w:after="0" w:line="141" w:lineRule="exact"/>
        <w:rPr>
          <w:rFonts w:ascii="Arial" w:cs="Arial" w:eastAsia="Arial" w:hAnsi="Arial"/>
          <w:sz w:val="12"/>
          <w:szCs w:val="12"/>
          <w:color w:val="auto"/>
        </w:rPr>
      </w:pPr>
    </w:p>
    <w:p>
      <w:pPr>
        <w:jc w:val="both"/>
        <w:ind w:left="980" w:hanging="243"/>
        <w:spacing w:after="0" w:line="304" w:lineRule="auto"/>
        <w:tabs>
          <w:tab w:leader="none" w:pos="977"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U.S. federal Anti-Kickback Statute constitutes a false or fraudulent claim for purposes of the civil False Claims Act;</w:t>
      </w:r>
    </w:p>
    <w:p>
      <w:pPr>
        <w:spacing w:after="0" w:line="138" w:lineRule="exact"/>
        <w:rPr>
          <w:rFonts w:ascii="Arial" w:cs="Arial" w:eastAsia="Arial" w:hAnsi="Arial"/>
          <w:sz w:val="12"/>
          <w:szCs w:val="12"/>
          <w:color w:val="auto"/>
        </w:rPr>
      </w:pPr>
    </w:p>
    <w:p>
      <w:pPr>
        <w:jc w:val="both"/>
        <w:ind w:left="980" w:hanging="243"/>
        <w:spacing w:after="0" w:line="252" w:lineRule="auto"/>
        <w:tabs>
          <w:tab w:leader="none" w:pos="977"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66" w:lineRule="exact"/>
        <w:rPr>
          <w:rFonts w:ascii="Arial" w:cs="Arial" w:eastAsia="Arial" w:hAnsi="Arial"/>
          <w:sz w:val="14"/>
          <w:szCs w:val="14"/>
          <w:color w:val="auto"/>
        </w:rPr>
      </w:pPr>
    </w:p>
    <w:p>
      <w:pPr>
        <w:jc w:val="both"/>
        <w:ind w:left="980" w:hanging="243"/>
        <w:spacing w:after="0" w:line="249" w:lineRule="auto"/>
        <w:tabs>
          <w:tab w:leader="none" w:pos="977"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169" w:lineRule="exact"/>
        <w:rPr>
          <w:rFonts w:ascii="Arial" w:cs="Arial" w:eastAsia="Arial" w:hAnsi="Arial"/>
          <w:sz w:val="14"/>
          <w:szCs w:val="14"/>
          <w:color w:val="auto"/>
        </w:rPr>
      </w:pPr>
    </w:p>
    <w:p>
      <w:pPr>
        <w:jc w:val="both"/>
        <w:ind w:left="980" w:hanging="243"/>
        <w:spacing w:after="0" w:line="314" w:lineRule="auto"/>
        <w:tabs>
          <w:tab w:leader="none" w:pos="977"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federal Health Insurance Portability and Accountability Act of 1996, or HIPAA, imposes criminal and civil liability for,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32" w:lineRule="exact"/>
        <w:rPr>
          <w:rFonts w:ascii="Arial" w:cs="Arial" w:eastAsia="Arial" w:hAnsi="Arial"/>
          <w:sz w:val="12"/>
          <w:szCs w:val="12"/>
          <w:color w:val="auto"/>
        </w:rPr>
      </w:pPr>
    </w:p>
    <w:p>
      <w:pPr>
        <w:jc w:val="both"/>
        <w:ind w:left="980" w:hanging="243"/>
        <w:spacing w:after="0" w:line="249" w:lineRule="auto"/>
        <w:tabs>
          <w:tab w:leader="none" w:pos="977"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teaching hospitals, and for reports submitted on or after January 1, 2022, physician assistants, nurse practitioners, clinical nurse specialists, certified nurse anesthetists,</w:t>
      </w:r>
    </w:p>
    <w:p>
      <w:pPr>
        <w:spacing w:after="0" w:line="31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and certified nurse midwives, as well as certain ownership and investment interests held by physicians and their immediate family;</w:t>
      </w:r>
    </w:p>
    <w:p>
      <w:pPr>
        <w:spacing w:after="0" w:line="186" w:lineRule="exact"/>
        <w:rPr>
          <w:sz w:val="20"/>
          <w:szCs w:val="20"/>
          <w:color w:val="auto"/>
        </w:rPr>
      </w:pPr>
    </w:p>
    <w:p>
      <w:pPr>
        <w:ind w:left="980" w:hanging="243"/>
        <w:spacing w:after="0" w:line="261" w:lineRule="auto"/>
        <w:tabs>
          <w:tab w:leader="none" w:pos="977"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spacing w:after="0" w:line="160" w:lineRule="exact"/>
        <w:rPr>
          <w:rFonts w:ascii="Arial" w:cs="Arial" w:eastAsia="Arial" w:hAnsi="Arial"/>
          <w:sz w:val="14"/>
          <w:szCs w:val="14"/>
          <w:color w:val="auto"/>
        </w:rPr>
      </w:pPr>
    </w:p>
    <w:p>
      <w:pPr>
        <w:jc w:val="both"/>
        <w:ind w:left="980" w:hanging="243"/>
        <w:spacing w:after="0" w:line="252" w:lineRule="auto"/>
        <w:tabs>
          <w:tab w:leader="none" w:pos="977" w:val="left"/>
        </w:tabs>
        <w:numPr>
          <w:ilvl w:val="0"/>
          <w:numId w:val="29"/>
        </w:numPr>
        <w:rPr>
          <w:rFonts w:ascii="Arial" w:cs="Arial" w:eastAsia="Arial" w:hAnsi="Arial"/>
          <w:sz w:val="14"/>
          <w:szCs w:val="14"/>
          <w:color w:val="auto"/>
        </w:rPr>
      </w:pPr>
      <w:r>
        <w:rPr>
          <w:rFonts w:ascii="Arial" w:cs="Arial" w:eastAsia="Arial" w:hAnsi="Arial"/>
          <w:sz w:val="14"/>
          <w:szCs w:val="14"/>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spacing w:after="0" w:line="167" w:lineRule="exact"/>
        <w:rPr>
          <w:sz w:val="20"/>
          <w:szCs w:val="20"/>
          <w:color w:val="auto"/>
        </w:rPr>
      </w:pPr>
    </w:p>
    <w:p>
      <w:pPr>
        <w:jc w:val="both"/>
        <w:ind w:left="240"/>
        <w:spacing w:after="0" w:line="246" w:lineRule="auto"/>
        <w:rPr>
          <w:sz w:val="20"/>
          <w:szCs w:val="20"/>
          <w:color w:val="auto"/>
        </w:rPr>
      </w:pPr>
      <w:r>
        <w:rPr>
          <w:rFonts w:ascii="Arial" w:cs="Arial" w:eastAsia="Arial" w:hAnsi="Arial"/>
          <w:sz w:val="14"/>
          <w:szCs w:val="14"/>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it may be costly to us in terms of money, time and resources, and we may be subject to criminal, civil or administrative sanctions, including exclusion from government-funded healthcare programs.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If we fail to comply with environmental, health, and safety laws and regulations, we could become subject to fines or penalties or incur costs that could harm our business.</w:t>
      </w:r>
    </w:p>
    <w:p>
      <w:pPr>
        <w:spacing w:after="0" w:line="209" w:lineRule="exact"/>
        <w:rPr>
          <w:sz w:val="20"/>
          <w:szCs w:val="20"/>
          <w:color w:val="auto"/>
        </w:rPr>
      </w:pPr>
    </w:p>
    <w:p>
      <w:pPr>
        <w:jc w:val="both"/>
        <w:ind w:left="240"/>
        <w:spacing w:after="0" w:line="299" w:lineRule="auto"/>
        <w:rPr>
          <w:sz w:val="20"/>
          <w:szCs w:val="20"/>
          <w:color w:val="auto"/>
        </w:rPr>
      </w:pPr>
      <w:r>
        <w:rPr>
          <w:rFonts w:ascii="Arial" w:cs="Arial" w:eastAsia="Arial" w:hAnsi="Arial"/>
          <w:sz w:val="12"/>
          <w:szCs w:val="12"/>
          <w:color w:val="auto"/>
        </w:rPr>
        <w:t>We are subject to numerous environmental, health, and safety laws and regulations, including those governing laboratory procedures and the handling, use, storage, treatment and disposal of hazardous materials and wastes. We. our operations involve the use of hazardous and flammable materials, including chemicals and biological materials.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41"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Although we maintains workers’ compensation insurance to cover for costs and expenses, we may incur due to injuries to our employees resulting from the use of hazardous materials, this insurance may not provide adequate coverage against potential liabilities.</w:t>
      </w:r>
    </w:p>
    <w:p>
      <w:pPr>
        <w:spacing w:after="0" w:line="160"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Changes in tax laws or regulations could materially adversely affect us.</w:t>
      </w:r>
    </w:p>
    <w:p>
      <w:pPr>
        <w:spacing w:after="0" w:line="186" w:lineRule="exact"/>
        <w:rPr>
          <w:sz w:val="20"/>
          <w:szCs w:val="20"/>
          <w:color w:val="auto"/>
        </w:rPr>
      </w:pPr>
    </w:p>
    <w:p>
      <w:pPr>
        <w:jc w:val="both"/>
        <w:ind w:left="240"/>
        <w:spacing w:after="0" w:line="294" w:lineRule="auto"/>
        <w:rPr>
          <w:sz w:val="20"/>
          <w:szCs w:val="20"/>
          <w:color w:val="auto"/>
        </w:rPr>
      </w:pPr>
      <w:r>
        <w:rPr>
          <w:rFonts w:ascii="Arial" w:cs="Arial" w:eastAsia="Arial" w:hAnsi="Arial"/>
          <w:sz w:val="12"/>
          <w:szCs w:val="12"/>
          <w:color w:val="auto"/>
        </w:rPr>
        <w:t>New tax laws or regulations could be enacted at any time, and existing tax laws or regulations could be interpreted, modified or applied in a manner that is adverse to us, which could adversely affect its business and financial condition. For example, legislation enacted in 2017, informally titled the Tax Act, enacted many significant changes to the U.S. tax laws, including changes in corporate tax rates, the utilization of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its business and financial condition.</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188"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Our success depends in part on its ability to obtain, maintain and protect its intellectual property. It is difficult and costly to protect our proprietary rights and technology, and we may not be able to ensure their protection.</w:t>
      </w:r>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ind w:left="240"/>
        <w:spacing w:after="0" w:line="294" w:lineRule="auto"/>
        <w:rPr>
          <w:sz w:val="20"/>
          <w:szCs w:val="20"/>
          <w:color w:val="auto"/>
        </w:rPr>
      </w:pPr>
      <w:r>
        <w:rPr>
          <w:rFonts w:ascii="Arial" w:cs="Arial" w:eastAsia="Arial" w:hAnsi="Arial"/>
          <w:sz w:val="12"/>
          <w:szCs w:val="12"/>
          <w:color w:val="auto"/>
        </w:rPr>
        <w:t>Our commercial success will depend in large part on obtaining and maintaining patent, trademark, trade secret and other intellectual property protection of our proprietary technologies and product candidates, which include TPST-1495, TPST-1120 and the other product candidates we have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spacing w:after="0" w:line="144" w:lineRule="exact"/>
        <w:rPr>
          <w:sz w:val="20"/>
          <w:szCs w:val="20"/>
          <w:color w:val="auto"/>
        </w:rPr>
      </w:pPr>
    </w:p>
    <w:p>
      <w:pPr>
        <w:jc w:val="both"/>
        <w:ind w:left="240"/>
        <w:spacing w:after="0" w:line="292" w:lineRule="auto"/>
        <w:rPr>
          <w:sz w:val="20"/>
          <w:szCs w:val="20"/>
          <w:color w:val="auto"/>
        </w:rPr>
      </w:pPr>
      <w:r>
        <w:rPr>
          <w:rFonts w:ascii="Arial" w:cs="Arial" w:eastAsia="Arial" w:hAnsi="Arial"/>
          <w:sz w:val="12"/>
          <w:szCs w:val="12"/>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we license from or licenses to third parties and may be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in-licenses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spacing w:after="0" w:line="148"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b w:val="1"/>
          <w:bCs w:val="1"/>
          <w:i w:val="1"/>
          <w:iCs w:val="1"/>
          <w:color w:val="auto"/>
        </w:rPr>
        <w:t>In the future, we may depend on intellectual property licensed from third parties, and its licensors may not always act in our best interest. If we fail to comply with its obligations under its intellectual property licenses, if the licenses are terminated, or if disputes regarding these licenses arise, we could lose significant rights that may be important to its business.</w:t>
      </w:r>
    </w:p>
    <w:p>
      <w:pPr>
        <w:spacing w:after="0" w:line="114" w:lineRule="exact"/>
        <w:rPr>
          <w:sz w:val="20"/>
          <w:szCs w:val="20"/>
          <w:color w:val="auto"/>
        </w:rPr>
      </w:pPr>
    </w:p>
    <w:p>
      <w:pPr>
        <w:jc w:val="both"/>
        <w:ind w:left="240"/>
        <w:spacing w:after="0" w:line="314" w:lineRule="auto"/>
        <w:rPr>
          <w:sz w:val="20"/>
          <w:szCs w:val="20"/>
          <w:color w:val="auto"/>
        </w:rPr>
      </w:pPr>
      <w:r>
        <w:rPr>
          <w:rFonts w:ascii="Arial" w:cs="Arial" w:eastAsia="Arial" w:hAnsi="Arial"/>
          <w:sz w:val="12"/>
          <w:szCs w:val="12"/>
          <w:color w:val="auto"/>
        </w:rPr>
        <w:t>We may in the future depend on patents, know-how and proprietary technology licensed from third parties. Our licenses to such patents, know-how and proprietary technology may not provide exclusive rights in all relevant fields of use and in all territories in which we may wish to develop or commercialize our products in the future. The agreements under which Tempest licenses patents, know-how and proprietary technology from others may be complex, and certain provisions in such agreements may be susceptible to multiple interpretations.</w:t>
      </w:r>
    </w:p>
    <w:p>
      <w:pPr>
        <w:spacing w:after="0" w:line="132"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We may need to obtain licenses from third parties to advance our research or allow commercialization of product candidates Tempest may develop. It is possible that we may be unable to obtain any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spacing w:after="0" w:line="169"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color w:val="auto"/>
        </w:rPr>
        <w:t>If our future licensors fail to adequately protect our licensed intellectual property, our ability to commercialize product candidates could suffer. We may not have complete control over the maintenance, prosecution and litigation of our future in-licensed patents and patent applications. For example, we cannot be certain that activities such as the maintenance and prosecution by our future licensors have been or will be conducted in compliance with applicable laws and regulations or will result in valid and enforceable patents and other intellectual property rights. It is possible that future our licensors’ infringement proceedings or defense activities may be less vigorous than had we conducted them ourself or may not be conducted in accordance with our best interests.</w:t>
      </w:r>
    </w:p>
    <w:p>
      <w:pPr>
        <w:spacing w:after="0" w:line="138"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In addition, the resolution of any contract interpretation disagreement that may arise could narrow what we might believe to be the scope of our rights to the relevant patents, know-how and proprietary technology, or increase what we believe to be our financial or other obligations under the relevant agreement. Disputes that may arise between us and our future licensors regarding intellectual property subject to a license agreement could include disputes regarding:</w:t>
      </w:r>
    </w:p>
    <w:p>
      <w:pPr>
        <w:spacing w:after="0" w:line="167" w:lineRule="exact"/>
        <w:rPr>
          <w:sz w:val="20"/>
          <w:szCs w:val="20"/>
          <w:color w:val="auto"/>
        </w:rPr>
      </w:pPr>
    </w:p>
    <w:p>
      <w:pPr>
        <w:ind w:left="980" w:hanging="243"/>
        <w:spacing w:after="0"/>
        <w:tabs>
          <w:tab w:leader="none" w:pos="9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scope of rights granted under the license agreement and other interpretation-related issues;</w:t>
      </w:r>
    </w:p>
    <w:p>
      <w:pPr>
        <w:spacing w:after="0" w:line="200" w:lineRule="exact"/>
        <w:rPr>
          <w:rFonts w:ascii="Arial" w:cs="Arial" w:eastAsia="Arial" w:hAnsi="Arial"/>
          <w:sz w:val="14"/>
          <w:szCs w:val="14"/>
          <w:color w:val="auto"/>
        </w:rPr>
      </w:pPr>
    </w:p>
    <w:p>
      <w:pPr>
        <w:spacing w:after="0" w:line="313" w:lineRule="exact"/>
        <w:rPr>
          <w:rFonts w:ascii="Arial" w:cs="Arial" w:eastAsia="Arial" w:hAnsi="Arial"/>
          <w:sz w:val="14"/>
          <w:szCs w:val="14"/>
          <w:color w:val="auto"/>
        </w:rPr>
      </w:pPr>
    </w:p>
    <w:p>
      <w:pPr>
        <w:ind w:left="5580"/>
        <w:spacing w:after="0"/>
        <w:rPr>
          <w:rFonts w:ascii="Arial" w:cs="Arial" w:eastAsia="Arial" w:hAnsi="Arial"/>
          <w:sz w:val="14"/>
          <w:szCs w:val="14"/>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ind w:left="980" w:hanging="243"/>
        <w:spacing w:after="0"/>
        <w:tabs>
          <w:tab w:leader="none" w:pos="9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whether and the extent to which our technology and processes infringe on intellectual property of the licensor that is not subject to the licensing agreement;</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right to sublicense patent and other rights to third parties under collaborative development relationships;</w:t>
      </w:r>
    </w:p>
    <w:p>
      <w:pPr>
        <w:spacing w:after="0" w:line="186"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diligence obligations with respect to the use of the licensed technology in relation to our development and commercialization of our product candidates and what activities satisfy those diligence obligations;</w:t>
      </w:r>
    </w:p>
    <w:p>
      <w:pPr>
        <w:spacing w:after="0" w:line="160" w:lineRule="exact"/>
        <w:rPr>
          <w:rFonts w:ascii="Arial" w:cs="Arial" w:eastAsia="Arial" w:hAnsi="Arial"/>
          <w:sz w:val="14"/>
          <w:szCs w:val="14"/>
          <w:color w:val="auto"/>
        </w:rPr>
      </w:pPr>
    </w:p>
    <w:p>
      <w:pPr>
        <w:ind w:left="980" w:hanging="243"/>
        <w:spacing w:after="0"/>
        <w:tabs>
          <w:tab w:leader="none" w:pos="9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royalty, milestone or other payment obligations that may result from the advancement or commercial sale of any of our product candidates; and</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ownership of inventions and know-how resulting from the joint creation or use of intellectual property by our licensors and us.</w:t>
      </w:r>
    </w:p>
    <w:p>
      <w:pPr>
        <w:spacing w:after="0" w:line="186"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If disputes over intellectual property that we license in the future prevent or impair our ability to maintain our licensing arrangements on acceptable terms, we may be unable to successfully develop and commercialize the affected technology or product candidates.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Our owned and in-licensed patents and patent applications may not provide sufficient protection of our product candidates or result in any competitive advantage.</w:t>
      </w:r>
    </w:p>
    <w:p>
      <w:pPr>
        <w:spacing w:after="0" w:line="209" w:lineRule="exact"/>
        <w:rPr>
          <w:sz w:val="20"/>
          <w:szCs w:val="20"/>
          <w:color w:val="auto"/>
        </w:rPr>
      </w:pPr>
    </w:p>
    <w:p>
      <w:pPr>
        <w:jc w:val="both"/>
        <w:ind w:left="240"/>
        <w:spacing w:after="0" w:line="314" w:lineRule="auto"/>
        <w:rPr>
          <w:sz w:val="20"/>
          <w:szCs w:val="20"/>
          <w:color w:val="auto"/>
        </w:rPr>
      </w:pPr>
      <w:r>
        <w:rPr>
          <w:rFonts w:ascii="Arial" w:cs="Arial" w:eastAsia="Arial" w:hAnsi="Arial"/>
          <w:sz w:val="12"/>
          <w:szCs w:val="12"/>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is highly uncertain. Our pending and future patent applications and those of its licensors may not result in patents being issued which protect its product candidates or which effectively prevent others from commercializing competitive product candidates.</w:t>
      </w:r>
    </w:p>
    <w:p>
      <w:pPr>
        <w:spacing w:after="0" w:line="132" w:lineRule="exact"/>
        <w:rPr>
          <w:sz w:val="20"/>
          <w:szCs w:val="20"/>
          <w:color w:val="auto"/>
        </w:rPr>
      </w:pPr>
    </w:p>
    <w:p>
      <w:pPr>
        <w:jc w:val="both"/>
        <w:ind w:left="240"/>
        <w:spacing w:after="0" w:line="289" w:lineRule="auto"/>
        <w:rPr>
          <w:sz w:val="20"/>
          <w:szCs w:val="20"/>
          <w:color w:val="auto"/>
        </w:rPr>
      </w:pPr>
      <w:r>
        <w:rPr>
          <w:rFonts w:ascii="Arial" w:cs="Arial" w:eastAsia="Arial" w:hAnsi="Arial"/>
          <w:sz w:val="12"/>
          <w:szCs w:val="12"/>
          <w:color w:val="auto"/>
        </w:rPr>
        <w:t xml:space="preserve">The strength of patents in the biotechnology and pharmaceutical field involves complex legal and scientific questions and can be uncertain. The patent applications that we own or, in the future, in-license may fail to result in issued patents with claims that cover our product candidates or uses thereof in the United States or in other foreign countries. For example, while our patent applications are pending, we may be subject to a third party preissuance submission of prior art to the United States Patent and Trademark 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Arial" w:cs="Arial" w:eastAsia="Arial" w:hAnsi="Arial"/>
          <w:sz w:val="12"/>
          <w:szCs w:val="12"/>
          <w:i w:val="1"/>
          <w:iCs w:val="1"/>
          <w:color w:val="auto"/>
        </w:rPr>
        <w:t>inter partes</w:t>
      </w:r>
      <w:r>
        <w:rPr>
          <w:rFonts w:ascii="Arial" w:cs="Arial" w:eastAsia="Arial" w:hAnsi="Arial"/>
          <w:sz w:val="12"/>
          <w:szCs w:val="12"/>
          <w:color w:val="auto"/>
        </w:rPr>
        <w:t xml:space="preserve"> review proceedings. An adverse determination in any such submission, proceeding or litigation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spacing w:after="0" w:line="311" w:lineRule="exact"/>
        <w:rPr>
          <w:sz w:val="20"/>
          <w:szCs w:val="20"/>
          <w:color w:val="auto"/>
        </w:rPr>
      </w:pPr>
    </w:p>
    <w:p>
      <w:pPr>
        <w:jc w:val="both"/>
        <w:ind w:left="240"/>
        <w:spacing w:after="0" w:line="294" w:lineRule="auto"/>
        <w:rPr>
          <w:sz w:val="20"/>
          <w:szCs w:val="20"/>
          <w:color w:val="auto"/>
        </w:rPr>
      </w:pPr>
      <w:r>
        <w:rPr>
          <w:rFonts w:ascii="Arial" w:cs="Arial" w:eastAsia="Arial" w:hAnsi="Arial"/>
          <w:sz w:val="12"/>
          <w:szCs w:val="12"/>
          <w:color w:val="auto"/>
        </w:rPr>
        <w:t>Since patent applications in the United States and other countries are confidential for a period of time after filing or until issuance, at any moment in time, we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w:t>
      </w: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291" w:lineRule="auto"/>
        <w:rPr>
          <w:sz w:val="20"/>
          <w:szCs w:val="20"/>
          <w:color w:val="auto"/>
        </w:rPr>
      </w:pPr>
      <w:r>
        <w:rPr>
          <w:rFonts w:ascii="Arial" w:cs="Arial" w:eastAsia="Arial" w:hAnsi="Arial"/>
          <w:sz w:val="12"/>
          <w:szCs w:val="12"/>
          <w:color w:val="auto"/>
        </w:rPr>
        <w:t>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 products and technology.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patents that we have had issued that cover our product candidates or their use. Likewise, our currently owned patents and patent applications, if issued as patents, directed to our proprietary technologies and our product candidates are expected to expire from 2033 through 2041,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in-licenses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312"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60" w:lineRule="exact"/>
        <w:rPr>
          <w:sz w:val="20"/>
          <w:szCs w:val="20"/>
          <w:color w:val="auto"/>
        </w:rPr>
      </w:pPr>
    </w:p>
    <w:p>
      <w:pPr>
        <w:ind w:left="980" w:hanging="243"/>
        <w:spacing w:after="0"/>
        <w:tabs>
          <w:tab w:leader="none" w:pos="9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others may be able to make or use compounds that are similar to the active compositions of our product candidates but that are not covered by the claims of our patents;</w:t>
      </w:r>
    </w:p>
    <w:p>
      <w:pPr>
        <w:spacing w:after="0" w:line="209" w:lineRule="exact"/>
        <w:rPr>
          <w:rFonts w:ascii="Arial" w:cs="Arial" w:eastAsia="Arial" w:hAnsi="Arial"/>
          <w:sz w:val="12"/>
          <w:szCs w:val="12"/>
          <w:color w:val="auto"/>
        </w:rPr>
      </w:pPr>
    </w:p>
    <w:p>
      <w:pPr>
        <w:ind w:left="980" w:hanging="243"/>
        <w:spacing w:after="0" w:line="261" w:lineRule="auto"/>
        <w:tabs>
          <w:tab w:leader="none" w:pos="977"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APIs in our current product candidates will eventually become commercially available in generic drug products, and no patent protection may be available with regard to formulation or method of use;</w:t>
      </w:r>
    </w:p>
    <w:p>
      <w:pPr>
        <w:spacing w:after="0" w:line="160"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or our future licensors, as the case may be, may fail to meet its or our obligations to the U.S. government regarding any patents and patent applications funded by U.S. government grants, leading to the loss or unenforceability of patent rights;</w:t>
      </w:r>
    </w:p>
    <w:p>
      <w:pPr>
        <w:spacing w:after="0" w:line="160" w:lineRule="exact"/>
        <w:rPr>
          <w:rFonts w:ascii="Arial" w:cs="Arial" w:eastAsia="Arial" w:hAnsi="Arial"/>
          <w:sz w:val="14"/>
          <w:szCs w:val="14"/>
          <w:color w:val="auto"/>
        </w:rPr>
      </w:pPr>
    </w:p>
    <w:p>
      <w:pPr>
        <w:ind w:left="980" w:hanging="243"/>
        <w:spacing w:after="0"/>
        <w:tabs>
          <w:tab w:leader="none" w:pos="9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or our future licensors, as the case may be, might not have been the first to file patent applications for certain inventions;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others may independently develop similar or alternative technologies or duplicate any of our technologies;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it is possible that our pending patent applications will not result in issued patents;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it is possible that there are prior public disclosures that could invalidate our owned or in-licensed patents, as the case may be, or parts of our owned or in-licensed patents;</w:t>
      </w:r>
    </w:p>
    <w:p>
      <w:pPr>
        <w:spacing w:after="0" w:line="209" w:lineRule="exact"/>
        <w:rPr>
          <w:rFonts w:ascii="Arial" w:cs="Arial" w:eastAsia="Arial" w:hAnsi="Arial"/>
          <w:sz w:val="12"/>
          <w:szCs w:val="12"/>
          <w:color w:val="auto"/>
        </w:rPr>
      </w:pPr>
    </w:p>
    <w:p>
      <w:pPr>
        <w:ind w:left="980" w:hanging="243"/>
        <w:spacing w:after="0"/>
        <w:tabs>
          <w:tab w:leader="none" w:pos="9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it is possible that others may circumvent our owned or in-licensed patents;</w:t>
      </w:r>
    </w:p>
    <w:p>
      <w:pPr>
        <w:spacing w:after="0" w:line="186"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32"/>
        </w:numPr>
        <w:rPr>
          <w:rFonts w:ascii="Arial" w:cs="Arial" w:eastAsia="Arial" w:hAnsi="Arial"/>
          <w:sz w:val="14"/>
          <w:szCs w:val="14"/>
          <w:color w:val="auto"/>
        </w:rPr>
      </w:pPr>
      <w:r>
        <w:rPr>
          <w:rFonts w:ascii="Arial" w:cs="Arial" w:eastAsia="Arial" w:hAnsi="Arial"/>
          <w:sz w:val="14"/>
          <w:szCs w:val="14"/>
          <w:color w:val="auto"/>
        </w:rPr>
        <w:t>it is possible that there are unpublished applications or patent applications maintained in secrecy that may later issue with claims covering our product candidates or technology similar to our;</w:t>
      </w:r>
    </w:p>
    <w:p>
      <w:pPr>
        <w:spacing w:after="0" w:line="160" w:lineRule="exact"/>
        <w:rPr>
          <w:rFonts w:ascii="Arial" w:cs="Arial" w:eastAsia="Arial" w:hAnsi="Arial"/>
          <w:sz w:val="14"/>
          <w:szCs w:val="14"/>
          <w:color w:val="auto"/>
        </w:rPr>
      </w:pPr>
    </w:p>
    <w:p>
      <w:pPr>
        <w:ind w:left="980" w:hanging="243"/>
        <w:spacing w:after="0"/>
        <w:tabs>
          <w:tab w:leader="none" w:pos="9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laws of foreign countries may not protect our or our future licensors’, as the case may be, proprietary rights to the same extent as the laws of the United States;</w:t>
      </w:r>
    </w:p>
    <w:p>
      <w:pPr>
        <w:spacing w:after="0" w:line="209" w:lineRule="exact"/>
        <w:rPr>
          <w:rFonts w:ascii="Arial" w:cs="Arial" w:eastAsia="Arial" w:hAnsi="Arial"/>
          <w:sz w:val="12"/>
          <w:szCs w:val="12"/>
          <w:color w:val="auto"/>
        </w:rPr>
      </w:pPr>
    </w:p>
    <w:p>
      <w:pPr>
        <w:ind w:left="980" w:hanging="243"/>
        <w:spacing w:after="0"/>
        <w:tabs>
          <w:tab w:leader="none" w:pos="9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claims of our owned or in-licensed issued patents or patent applications, if and when issued, may not adequately cover our product candidates;</w:t>
      </w:r>
    </w:p>
    <w:p>
      <w:pPr>
        <w:spacing w:after="0" w:line="186"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owned or in-licensed issued patents may not provide us with any competitive advantages, may be narrowed in scope, or be held invalid or unenforceable as a result of legal challenges by third parties;</w:t>
      </w:r>
    </w:p>
    <w:p>
      <w:pPr>
        <w:spacing w:after="0" w:line="160"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160"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32"/>
        </w:numPr>
        <w:rPr>
          <w:rFonts w:ascii="Arial" w:cs="Arial" w:eastAsia="Arial" w:hAnsi="Arial"/>
          <w:sz w:val="14"/>
          <w:szCs w:val="14"/>
          <w:color w:val="auto"/>
        </w:rPr>
      </w:pPr>
      <w:r>
        <w:rPr>
          <w:rFonts w:ascii="Arial" w:cs="Arial" w:eastAsia="Arial" w:hAnsi="Arial"/>
          <w:sz w:val="14"/>
          <w:szCs w:val="14"/>
          <w:color w:val="auto"/>
        </w:rPr>
        <w:t>it is possible that our owned or in-licensed patents or patent applications may omit individual(s) that should be listed as inventor(s) or include individual(s) that should not be listed as inventor(s), which may cause these</w:t>
      </w:r>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patents or patents issuing from these patent applications to be held invalid or unenforceable or such omitted individuals may grant licenses to third parties;</w:t>
      </w:r>
    </w:p>
    <w:p>
      <w:pPr>
        <w:spacing w:after="0" w:line="186" w:lineRule="exact"/>
        <w:rPr>
          <w:sz w:val="20"/>
          <w:szCs w:val="20"/>
          <w:color w:val="auto"/>
        </w:rPr>
      </w:pPr>
    </w:p>
    <w:p>
      <w:pPr>
        <w:ind w:left="980" w:hanging="243"/>
        <w:spacing w:after="0" w:line="261" w:lineRule="auto"/>
        <w:tabs>
          <w:tab w:leader="none" w:pos="977"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have engaged in scientific collaborations in the past and will continue to do so in the future and our collaborators may develop adjacent or competing products that are outside the scope of our patents;</w:t>
      </w:r>
    </w:p>
    <w:p>
      <w:pPr>
        <w:spacing w:after="0" w:line="160" w:lineRule="exact"/>
        <w:rPr>
          <w:rFonts w:ascii="Arial" w:cs="Arial" w:eastAsia="Arial" w:hAnsi="Arial"/>
          <w:sz w:val="14"/>
          <w:szCs w:val="14"/>
          <w:color w:val="auto"/>
        </w:rPr>
      </w:pPr>
    </w:p>
    <w:p>
      <w:pPr>
        <w:ind w:left="980" w:hanging="243"/>
        <w:spacing w:after="0"/>
        <w:tabs>
          <w:tab w:leader="none" w:pos="9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may not develop additional proprietary technologies for which we can obtain patent protection;</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it is possible that product candidates or diagnostic tests we develop may be covered by third parties’ patents or other exclusive rights; or</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patents of others may have an adverse effect on our business.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Any of the foregoing could have a material adverse effect on our business, financial conditions, results of operations and prospects.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Our strategy of obtaining rights to key technologies through in-licenses may not be successful.</w:t>
      </w:r>
    </w:p>
    <w:p>
      <w:pPr>
        <w:spacing w:after="0" w:line="186"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The future growth of our business may depend in part on our ability to in-license or otherwise acquire the rights to additional product candidates and technologies. We cannot assure you that we will be able to in-license or acquire the rights to any product candidates or technologies from third parties on acceptable terms or at all.</w:t>
      </w:r>
    </w:p>
    <w:p>
      <w:pPr>
        <w:spacing w:after="0" w:line="160" w:lineRule="exact"/>
        <w:rPr>
          <w:sz w:val="20"/>
          <w:szCs w:val="20"/>
          <w:color w:val="auto"/>
        </w:rPr>
      </w:pPr>
    </w:p>
    <w:p>
      <w:pPr>
        <w:jc w:val="both"/>
        <w:ind w:left="240"/>
        <w:spacing w:after="0" w:line="296" w:lineRule="auto"/>
        <w:rPr>
          <w:sz w:val="20"/>
          <w:szCs w:val="20"/>
          <w:color w:val="auto"/>
        </w:rPr>
      </w:pPr>
      <w:r>
        <w:rPr>
          <w:rFonts w:ascii="Arial" w:cs="Arial" w:eastAsia="Arial" w:hAnsi="Arial"/>
          <w:sz w:val="12"/>
          <w:szCs w:val="12"/>
          <w:color w:val="auto"/>
        </w:rPr>
        <w:t>For example, our agreements with certain of its third-party research partners provide that improvements developed in the course of its relationship may be owned solely by either we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its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143" w:lineRule="exact"/>
        <w:rPr>
          <w:sz w:val="20"/>
          <w:szCs w:val="20"/>
          <w:color w:val="auto"/>
        </w:rPr>
      </w:pPr>
    </w:p>
    <w:p>
      <w:pPr>
        <w:jc w:val="both"/>
        <w:ind w:left="240"/>
        <w:spacing w:after="0" w:line="248" w:lineRule="auto"/>
        <w:rPr>
          <w:sz w:val="20"/>
          <w:szCs w:val="20"/>
          <w:color w:val="auto"/>
        </w:rPr>
      </w:pPr>
      <w:r>
        <w:rPr>
          <w:rFonts w:ascii="Arial" w:cs="Arial" w:eastAsia="Arial" w:hAnsi="Arial"/>
          <w:sz w:val="14"/>
          <w:szCs w:val="14"/>
          <w:color w:val="auto"/>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If we are unable to protect the confidentiality of its trade secrets, our business and competitive position would be harmed.</w:t>
      </w:r>
    </w:p>
    <w:p>
      <w:pPr>
        <w:spacing w:after="0" w:line="176"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114" w:lineRule="exact"/>
        <w:rPr>
          <w:sz w:val="20"/>
          <w:szCs w:val="20"/>
          <w:color w:val="auto"/>
        </w:rPr>
      </w:pPr>
    </w:p>
    <w:p>
      <w:pPr>
        <w:jc w:val="both"/>
        <w:ind w:left="240"/>
        <w:spacing w:after="0" w:line="292" w:lineRule="auto"/>
        <w:rPr>
          <w:sz w:val="20"/>
          <w:szCs w:val="20"/>
          <w:color w:val="auto"/>
        </w:rPr>
      </w:pPr>
      <w:r>
        <w:rPr>
          <w:rFonts w:ascii="Arial" w:cs="Arial" w:eastAsia="Arial" w:hAnsi="Arial"/>
          <w:sz w:val="12"/>
          <w:szCs w:val="12"/>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we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hawse have entered into such agreements with each party that may have or have had access to our trade secrets or proprietary technology and processes. We have also adopted policies and conducts training that provides guidance on our expectations, and our advice for best practices, in protecting its trade secrets. Despite these efforts, any of these parties</w:t>
      </w:r>
    </w:p>
    <w:p>
      <w:pPr>
        <w:spacing w:after="0" w:line="291"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may breach the agreements and disclose our proprietary information, including its trade secrets, and we may not be able to obtain adequate remedies for such breaches.</w:t>
      </w:r>
    </w:p>
    <w:p>
      <w:pPr>
        <w:spacing w:after="0" w:line="186" w:lineRule="exact"/>
        <w:rPr>
          <w:sz w:val="20"/>
          <w:szCs w:val="20"/>
          <w:color w:val="auto"/>
        </w:rPr>
      </w:pPr>
    </w:p>
    <w:p>
      <w:pPr>
        <w:jc w:val="both"/>
        <w:ind w:left="240"/>
        <w:spacing w:after="0" w:line="291" w:lineRule="auto"/>
        <w:rPr>
          <w:sz w:val="20"/>
          <w:szCs w:val="20"/>
          <w:color w:val="auto"/>
        </w:rPr>
      </w:pPr>
      <w:r>
        <w:rPr>
          <w:rFonts w:ascii="Arial" w:cs="Arial" w:eastAsia="Arial" w:hAnsi="Arial"/>
          <w:sz w:val="12"/>
          <w:szCs w:val="12"/>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its trade secrets, were to be disclosed or misappropriated, such as through a data breach, or if any of that information was independently developed by a competitor, our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w:t>
      </w:r>
    </w:p>
    <w:p>
      <w:pPr>
        <w:spacing w:after="0" w:line="149" w:lineRule="exact"/>
        <w:rPr>
          <w:sz w:val="20"/>
          <w:szCs w:val="20"/>
          <w:color w:val="auto"/>
        </w:rPr>
      </w:pPr>
    </w:p>
    <w:p>
      <w:pPr>
        <w:jc w:val="both"/>
        <w:ind w:left="240"/>
        <w:spacing w:after="0" w:line="248" w:lineRule="auto"/>
        <w:rPr>
          <w:sz w:val="20"/>
          <w:szCs w:val="20"/>
          <w:color w:val="auto"/>
        </w:rPr>
      </w:pPr>
      <w:r>
        <w:rPr>
          <w:rFonts w:ascii="Arial" w:cs="Arial" w:eastAsia="Arial" w:hAnsi="Arial"/>
          <w:sz w:val="14"/>
          <w:szCs w:val="14"/>
          <w:color w:val="auto"/>
        </w:rPr>
        <w:t>In addition, courts outside the United States are sometimes less willing to protect trade secrets. If we choose to go to court to stop a third party from using any of our trade secrets, we may incur substantial costs. Even if we are successful, these types of lawsuits may result in substantial cost and require significant time from our scientists and management. Although we take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we may not be able to meaningfully protect its trade secrets. Any of the foregoing could have a material adverse effect on our business, financial condition, results of operations and prospects.</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Third-party claims of intellectual property infringement may prevent, delay or otherwise interfere with our product discovery and development efforts.</w:t>
      </w:r>
    </w:p>
    <w:p>
      <w:pPr>
        <w:spacing w:after="0" w:line="176" w:lineRule="exact"/>
        <w:rPr>
          <w:sz w:val="20"/>
          <w:szCs w:val="20"/>
          <w:color w:val="auto"/>
        </w:rPr>
      </w:pPr>
    </w:p>
    <w:p>
      <w:pPr>
        <w:jc w:val="both"/>
        <w:ind w:left="240"/>
        <w:spacing w:after="0" w:line="291" w:lineRule="auto"/>
        <w:rPr>
          <w:sz w:val="20"/>
          <w:szCs w:val="20"/>
          <w:color w:val="auto"/>
        </w:rPr>
      </w:pPr>
      <w:r>
        <w:rPr>
          <w:rFonts w:ascii="Arial" w:cs="Arial" w:eastAsia="Arial" w:hAnsi="Arial"/>
          <w:sz w:val="12"/>
          <w:szCs w:val="12"/>
          <w:color w:val="auto"/>
        </w:rPr>
        <w:t>Our commercial success depends in part on our ability to develop, manufacture, market and sell our product candidates and use our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If a third-party claims that we infringe, misappropriate or otherwise violate their intellectual property rights, we may face a number of issues, including, but not limited to:</w:t>
      </w:r>
    </w:p>
    <w:p>
      <w:pPr>
        <w:spacing w:after="0" w:line="186" w:lineRule="exact"/>
        <w:rPr>
          <w:sz w:val="20"/>
          <w:szCs w:val="20"/>
          <w:color w:val="auto"/>
        </w:rPr>
      </w:pPr>
    </w:p>
    <w:p>
      <w:pPr>
        <w:ind w:left="980" w:hanging="243"/>
        <w:spacing w:after="0" w:line="261" w:lineRule="auto"/>
        <w:tabs>
          <w:tab w:leader="none" w:pos="977"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infringement and other intellectual property claims that, regardless of merit, may be expensive and time-consuming to litigate and may divert our management’s attention from its core business;</w:t>
      </w:r>
    </w:p>
    <w:p>
      <w:pPr>
        <w:spacing w:after="0" w:line="160"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34"/>
        </w:numPr>
        <w:rPr>
          <w:rFonts w:ascii="Arial" w:cs="Arial" w:eastAsia="Arial" w:hAnsi="Arial"/>
          <w:sz w:val="14"/>
          <w:szCs w:val="14"/>
          <w:color w:val="auto"/>
        </w:rPr>
      </w:pPr>
      <w:r>
        <w:rPr>
          <w:rFonts w:ascii="Arial" w:cs="Arial" w:eastAsia="Arial" w:hAnsi="Arial"/>
          <w:sz w:val="14"/>
          <w:szCs w:val="14"/>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spacing w:after="0" w:line="160"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34"/>
        </w:numPr>
        <w:rPr>
          <w:rFonts w:ascii="Arial" w:cs="Arial" w:eastAsia="Arial" w:hAnsi="Arial"/>
          <w:sz w:val="14"/>
          <w:szCs w:val="14"/>
          <w:color w:val="auto"/>
        </w:rPr>
      </w:pPr>
      <w:r>
        <w:rPr>
          <w:rFonts w:ascii="Arial" w:cs="Arial" w:eastAsia="Arial" w:hAnsi="Arial"/>
          <w:sz w:val="14"/>
          <w:szCs w:val="14"/>
          <w:color w:val="auto"/>
        </w:rPr>
        <w:t>a court prohibiting us from developing, manufacturing, marketing or selling our product candidates, or from using our proprietary technologies, unless the third-party licenses its product rights or proprietary technology to us, which it is not required to do, on commercially reasonable terms or at all;</w:t>
      </w:r>
    </w:p>
    <w:p>
      <w:pPr>
        <w:spacing w:after="0" w:line="160"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34"/>
        </w:numPr>
        <w:rPr>
          <w:rFonts w:ascii="Arial" w:cs="Arial" w:eastAsia="Arial" w:hAnsi="Arial"/>
          <w:sz w:val="14"/>
          <w:szCs w:val="14"/>
          <w:color w:val="auto"/>
        </w:rPr>
      </w:pPr>
      <w:r>
        <w:rPr>
          <w:rFonts w:ascii="Arial" w:cs="Arial" w:eastAsia="Arial" w:hAnsi="Arial"/>
          <w:sz w:val="14"/>
          <w:szCs w:val="14"/>
          <w:color w:val="auto"/>
        </w:rPr>
        <w:t>if a license is available from a third party, we may have to pay substantial royalties, upfront fees and other amounts, and/or grant cross-licenses to intellectual property rights for our product candidates;</w:t>
      </w:r>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2" w:right="55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left="980" w:hanging="243"/>
        <w:spacing w:after="0"/>
        <w:tabs>
          <w:tab w:leader="none" w:pos="9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requirement that we redesign our product candidates or processes so they do not infringe, which may not be possible or may require substantial monetary expenditures and time; and</w:t>
      </w:r>
    </w:p>
    <w:p>
      <w:pPr>
        <w:spacing w:after="0" w:line="209" w:lineRule="exact"/>
        <w:rPr>
          <w:rFonts w:ascii="Arial" w:cs="Arial" w:eastAsia="Arial" w:hAnsi="Arial"/>
          <w:sz w:val="12"/>
          <w:szCs w:val="12"/>
          <w:color w:val="auto"/>
        </w:rPr>
      </w:pPr>
    </w:p>
    <w:p>
      <w:pPr>
        <w:ind w:left="980" w:hanging="243"/>
        <w:spacing w:after="0" w:line="261" w:lineRule="auto"/>
        <w:tabs>
          <w:tab w:leader="none" w:pos="977"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0"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167"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color w:val="auto"/>
        </w:rPr>
        <w:t>Third parties may assert that we are employing their proprietary technology without authorization, including by enforcing its patents against us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114" w:lineRule="exact"/>
        <w:rPr>
          <w:sz w:val="20"/>
          <w:szCs w:val="20"/>
          <w:color w:val="auto"/>
        </w:rPr>
      </w:pPr>
    </w:p>
    <w:p>
      <w:pPr>
        <w:jc w:val="both"/>
        <w:ind w:left="240"/>
        <w:spacing w:after="0" w:line="314" w:lineRule="auto"/>
        <w:rPr>
          <w:sz w:val="20"/>
          <w:szCs w:val="20"/>
          <w:color w:val="auto"/>
        </w:rPr>
      </w:pPr>
      <w:r>
        <w:rPr>
          <w:rFonts w:ascii="Arial" w:cs="Arial" w:eastAsia="Arial" w:hAnsi="Arial"/>
          <w:sz w:val="12"/>
          <w:szCs w:val="12"/>
          <w:color w:val="auto"/>
        </w:rPr>
        <w:t>There may be third-party patents of which we are currently unaware of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spacing w:after="0" w:line="132" w:lineRule="exact"/>
        <w:rPr>
          <w:sz w:val="20"/>
          <w:szCs w:val="20"/>
          <w:color w:val="auto"/>
        </w:rPr>
      </w:pPr>
    </w:p>
    <w:p>
      <w:pPr>
        <w:jc w:val="both"/>
        <w:ind w:left="240"/>
        <w:spacing w:after="0" w:line="291" w:lineRule="auto"/>
        <w:rPr>
          <w:sz w:val="20"/>
          <w:szCs w:val="20"/>
          <w:color w:val="auto"/>
        </w:rPr>
      </w:pPr>
      <w:r>
        <w:rPr>
          <w:rFonts w:ascii="Arial" w:cs="Arial" w:eastAsia="Arial" w:hAnsi="Arial"/>
          <w:sz w:val="12"/>
          <w:szCs w:val="12"/>
          <w:color w:val="auto"/>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49" w:lineRule="exact"/>
        <w:rPr>
          <w:sz w:val="20"/>
          <w:szCs w:val="20"/>
          <w:color w:val="auto"/>
        </w:rPr>
      </w:pPr>
    </w:p>
    <w:p>
      <w:pPr>
        <w:jc w:val="both"/>
        <w:ind w:left="240"/>
        <w:spacing w:after="0" w:line="296" w:lineRule="auto"/>
        <w:rPr>
          <w:sz w:val="20"/>
          <w:szCs w:val="20"/>
          <w:color w:val="auto"/>
        </w:rPr>
      </w:pPr>
      <w:r>
        <w:rPr>
          <w:rFonts w:ascii="Arial" w:cs="Arial" w:eastAsia="Arial" w:hAnsi="Arial"/>
          <w:sz w:val="12"/>
          <w:szCs w:val="12"/>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 that event, we would be unable to further develop and commercialize our product candidates, which could significantly harm our business.</w:t>
      </w:r>
    </w:p>
    <w:p>
      <w:pPr>
        <w:spacing w:after="0" w:line="186"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We may be involved in lawsuits to protect or enforce its patents or the patents of its licensors, which could be expensive, time-consuming and unsuccessful and could result in a finding that such patents are unenforceable or invalid.</w:t>
      </w:r>
    </w:p>
    <w:p>
      <w:pPr>
        <w:spacing w:after="0" w:line="160"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Competitors may infringe our patents or the patents of its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ind w:left="240"/>
        <w:spacing w:after="0" w:line="291" w:lineRule="auto"/>
        <w:rPr>
          <w:sz w:val="20"/>
          <w:szCs w:val="20"/>
          <w:color w:val="auto"/>
        </w:rPr>
      </w:pPr>
      <w:r>
        <w:rPr>
          <w:rFonts w:ascii="Arial" w:cs="Arial" w:eastAsia="Arial" w:hAnsi="Arial"/>
          <w:sz w:val="12"/>
          <w:szCs w:val="12"/>
          <w:color w:val="auto"/>
        </w:rPr>
        <w:t>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inter partes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145" w:lineRule="exact"/>
        <w:rPr>
          <w:sz w:val="20"/>
          <w:szCs w:val="20"/>
          <w:color w:val="auto"/>
        </w:rPr>
      </w:pPr>
    </w:p>
    <w:p>
      <w:pPr>
        <w:jc w:val="both"/>
        <w:ind w:left="240"/>
        <w:spacing w:after="0" w:line="299" w:lineRule="auto"/>
        <w:rPr>
          <w:sz w:val="20"/>
          <w:szCs w:val="20"/>
          <w:color w:val="auto"/>
        </w:rPr>
      </w:pPr>
      <w:r>
        <w:rPr>
          <w:rFonts w:ascii="Arial" w:cs="Arial" w:eastAsia="Arial" w:hAnsi="Arial"/>
          <w:sz w:val="12"/>
          <w:szCs w:val="12"/>
          <w:color w:val="auto"/>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spacing w:after="0" w:line="141"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may not be able to protect its intellectual property rights throughout the world.</w:t>
      </w:r>
    </w:p>
    <w:p>
      <w:pPr>
        <w:spacing w:after="0" w:line="186" w:lineRule="exact"/>
        <w:rPr>
          <w:sz w:val="20"/>
          <w:szCs w:val="20"/>
          <w:color w:val="auto"/>
        </w:rPr>
      </w:pPr>
    </w:p>
    <w:p>
      <w:pPr>
        <w:jc w:val="both"/>
        <w:ind w:left="240"/>
        <w:spacing w:after="0" w:line="294" w:lineRule="auto"/>
        <w:rPr>
          <w:sz w:val="20"/>
          <w:szCs w:val="20"/>
          <w:color w:val="auto"/>
        </w:rPr>
      </w:pPr>
      <w:r>
        <w:rPr>
          <w:rFonts w:ascii="Arial" w:cs="Arial" w:eastAsia="Arial" w:hAnsi="Arial"/>
          <w:sz w:val="12"/>
          <w:szCs w:val="12"/>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spacing w:after="0" w:line="144" w:lineRule="exact"/>
        <w:rPr>
          <w:sz w:val="20"/>
          <w:szCs w:val="20"/>
          <w:color w:val="auto"/>
        </w:rPr>
      </w:pPr>
    </w:p>
    <w:p>
      <w:pPr>
        <w:jc w:val="both"/>
        <w:ind w:left="240"/>
        <w:spacing w:after="0" w:line="294" w:lineRule="auto"/>
        <w:rPr>
          <w:sz w:val="20"/>
          <w:szCs w:val="20"/>
          <w:color w:val="auto"/>
        </w:rPr>
      </w:pPr>
      <w:r>
        <w:rPr>
          <w:rFonts w:ascii="Arial" w:cs="Arial" w:eastAsia="Arial" w:hAnsi="Arial"/>
          <w:sz w:val="12"/>
          <w:szCs w:val="12"/>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w:t>
      </w: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around the world may be inadequate to obtain a significant commercial advantage from the intellectual property that we develop or license.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Third parties may assert that our employees or consultants have wrongfully used or disclosed confidential information or misappropriated trade secrets.</w:t>
      </w:r>
    </w:p>
    <w:p>
      <w:pPr>
        <w:spacing w:after="0" w:line="186" w:lineRule="exact"/>
        <w:rPr>
          <w:sz w:val="20"/>
          <w:szCs w:val="20"/>
          <w:color w:val="auto"/>
        </w:rPr>
      </w:pPr>
    </w:p>
    <w:p>
      <w:pPr>
        <w:jc w:val="both"/>
        <w:ind w:left="240"/>
        <w:spacing w:after="0" w:line="290" w:lineRule="auto"/>
        <w:rPr>
          <w:sz w:val="20"/>
          <w:szCs w:val="20"/>
          <w:color w:val="auto"/>
        </w:rPr>
      </w:pPr>
      <w:r>
        <w:rPr>
          <w:rFonts w:ascii="Arial" w:cs="Arial" w:eastAsia="Arial" w:hAnsi="Arial"/>
          <w:sz w:val="12"/>
          <w:szCs w:val="12"/>
          <w:color w:val="auto"/>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us, we may be subject to claims that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us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147"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0" w:lineRule="exact"/>
        <w:rPr>
          <w:sz w:val="20"/>
          <w:szCs w:val="20"/>
          <w:color w:val="auto"/>
        </w:rPr>
      </w:pPr>
    </w:p>
    <w:p>
      <w:pPr>
        <w:jc w:val="both"/>
        <w:ind w:left="240"/>
        <w:spacing w:after="0" w:line="294" w:lineRule="auto"/>
        <w:rPr>
          <w:sz w:val="20"/>
          <w:szCs w:val="20"/>
          <w:color w:val="auto"/>
        </w:rPr>
      </w:pPr>
      <w:r>
        <w:rPr>
          <w:rFonts w:ascii="Arial" w:cs="Arial" w:eastAsia="Arial" w:hAnsi="Arial"/>
          <w:sz w:val="12"/>
          <w:szCs w:val="12"/>
          <w:color w:val="auto"/>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Changes in patent law in the United States and in non-U.S. jurisdictions could diminish the value of patents in general, thereby impairing our ability to protect its product candidates.</w:t>
      </w:r>
    </w:p>
    <w:p>
      <w:pPr>
        <w:spacing w:after="0" w:line="209"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160" w:lineRule="exact"/>
        <w:rPr>
          <w:sz w:val="20"/>
          <w:szCs w:val="20"/>
          <w:color w:val="auto"/>
        </w:rPr>
      </w:pPr>
    </w:p>
    <w:p>
      <w:pPr>
        <w:jc w:val="both"/>
        <w:ind w:left="240"/>
        <w:spacing w:after="0" w:line="292" w:lineRule="auto"/>
        <w:rPr>
          <w:sz w:val="20"/>
          <w:szCs w:val="20"/>
          <w:color w:val="auto"/>
        </w:rPr>
      </w:pPr>
      <w:r>
        <w:rPr>
          <w:rFonts w:ascii="Arial" w:cs="Arial" w:eastAsia="Arial" w:hAnsi="Arial"/>
          <w:sz w:val="12"/>
          <w:szCs w:val="12"/>
          <w:color w:val="auto"/>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its implementation could increase the uncertainties and costs surrounding the prosecution of our patent applications and the enforcement or defense of our issued patents.</w:t>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248" w:lineRule="auto"/>
        <w:rPr>
          <w:sz w:val="20"/>
          <w:szCs w:val="20"/>
          <w:color w:val="auto"/>
        </w:rPr>
      </w:pPr>
      <w:r>
        <w:rPr>
          <w:rFonts w:ascii="Arial" w:cs="Arial" w:eastAsia="Arial" w:hAnsi="Arial"/>
          <w:sz w:val="14"/>
          <w:szCs w:val="14"/>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or license in the future. For example, in the case, Assoc. for Molecular Pathology v. Myriad Genetics, Inc., the U.S. Supreme Court held that certain claims to DNA molecules are not patent-eligible.</w:t>
      </w:r>
    </w:p>
    <w:p>
      <w:pPr>
        <w:spacing w:after="0" w:line="169"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Similarly, other cases by the U.S. Supreme Court have held that certain methods of treatment or diagnosis are not patent-eligible. U.S. law regarding patent-eligibility continues to evolve. While we do not believe that any of our patents will be found invalid based on these changes to US patent law, we cannot predict how future decisions by the courts, the U.S. Congress or the USPTO may impact the value of our patents and patent applications. Any similar adverse changes in the patent laws of other jurisdictions could also have a material adverse effect on our business, financial condition, results of operations and prospects.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Patent terms may be inadequate to protect our competitive position on its product candidates for an adequate amount of time.</w:t>
      </w:r>
    </w:p>
    <w:p>
      <w:pPr>
        <w:spacing w:after="0" w:line="186" w:lineRule="exact"/>
        <w:rPr>
          <w:sz w:val="20"/>
          <w:szCs w:val="20"/>
          <w:color w:val="auto"/>
        </w:rPr>
      </w:pPr>
    </w:p>
    <w:p>
      <w:pPr>
        <w:jc w:val="both"/>
        <w:ind w:left="240"/>
        <w:spacing w:after="0" w:line="299" w:lineRule="auto"/>
        <w:rPr>
          <w:sz w:val="20"/>
          <w:szCs w:val="20"/>
          <w:color w:val="auto"/>
        </w:rPr>
      </w:pPr>
      <w:r>
        <w:rPr>
          <w:rFonts w:ascii="Arial" w:cs="Arial" w:eastAsia="Arial" w:hAnsi="Arial"/>
          <w:sz w:val="12"/>
          <w:szCs w:val="12"/>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If we do not obtain patent term extension for any product candidates it may develop, our business may be materially harmed.</w:t>
      </w:r>
    </w:p>
    <w:p>
      <w:pPr>
        <w:spacing w:after="0" w:line="186" w:lineRule="exact"/>
        <w:rPr>
          <w:sz w:val="20"/>
          <w:szCs w:val="20"/>
          <w:color w:val="auto"/>
        </w:rPr>
      </w:pPr>
    </w:p>
    <w:p>
      <w:pPr>
        <w:jc w:val="both"/>
        <w:ind w:left="240"/>
        <w:spacing w:after="0" w:line="291" w:lineRule="auto"/>
        <w:rPr>
          <w:sz w:val="20"/>
          <w:szCs w:val="20"/>
          <w:color w:val="auto"/>
        </w:rPr>
      </w:pPr>
      <w:r>
        <w:rPr>
          <w:rFonts w:ascii="Arial" w:cs="Arial" w:eastAsia="Arial" w:hAnsi="Arial"/>
          <w:sz w:val="12"/>
          <w:szCs w:val="12"/>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U.S. and ex-U.S. law concerning patent term extensions and foreign equivalents continue to evolve.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of extension or the scope of patent protection afforded could be less than we request. If we are unable to obtain patent term extension or term of any such extension is less than it requests, our competitors may obtain approval of competing products following our patent expiration sooner than expected, and our business, financial condition, results of operations and prospects could be materially harmed.</w:t>
      </w:r>
    </w:p>
    <w:p>
      <w:pPr>
        <w:spacing w:after="0" w:line="149" w:lineRule="exact"/>
        <w:rPr>
          <w:sz w:val="20"/>
          <w:szCs w:val="20"/>
          <w:color w:val="auto"/>
        </w:rPr>
      </w:pPr>
    </w:p>
    <w:p>
      <w:pPr>
        <w:ind w:left="240"/>
        <w:spacing w:after="0" w:line="345" w:lineRule="auto"/>
        <w:rPr>
          <w:sz w:val="20"/>
          <w:szCs w:val="20"/>
          <w:color w:val="auto"/>
        </w:rPr>
      </w:pPr>
      <w:r>
        <w:rPr>
          <w:rFonts w:ascii="Arial" w:cs="Arial" w:eastAsia="Arial" w:hAnsi="Arial"/>
          <w:sz w:val="12"/>
          <w:szCs w:val="12"/>
          <w:b w:val="1"/>
          <w:bCs w:val="1"/>
          <w:i w:val="1"/>
          <w:iCs w:val="1"/>
          <w:color w:val="auto"/>
        </w:rPr>
        <w:t xml:space="preserve">Intellectual property discovered through government funded programs may be subject to federal regulations such as </w:t>
      </w:r>
      <w:r>
        <w:rPr>
          <w:rFonts w:ascii="Arial" w:cs="Arial" w:eastAsia="Arial" w:hAnsi="Arial"/>
          <w:sz w:val="12"/>
          <w:szCs w:val="12"/>
          <w:color w:val="auto"/>
        </w:rPr>
        <w:t>“</w:t>
      </w:r>
      <w:r>
        <w:rPr>
          <w:rFonts w:ascii="Arial" w:cs="Arial" w:eastAsia="Arial" w:hAnsi="Arial"/>
          <w:sz w:val="12"/>
          <w:szCs w:val="12"/>
          <w:b w:val="1"/>
          <w:bCs w:val="1"/>
          <w:i w:val="1"/>
          <w:iCs w:val="1"/>
          <w:color w:val="auto"/>
        </w:rPr>
        <w:t>march-in</w:t>
      </w:r>
      <w:r>
        <w:rPr>
          <w:rFonts w:ascii="Arial" w:cs="Arial" w:eastAsia="Arial" w:hAnsi="Arial"/>
          <w:sz w:val="12"/>
          <w:szCs w:val="12"/>
          <w:color w:val="auto"/>
        </w:rPr>
        <w:t>”</w:t>
      </w:r>
      <w:r>
        <w:rPr>
          <w:rFonts w:ascii="Arial" w:cs="Arial" w:eastAsia="Arial" w:hAnsi="Arial"/>
          <w:sz w:val="12"/>
          <w:szCs w:val="12"/>
          <w:b w:val="1"/>
          <w:bCs w:val="1"/>
          <w:i w:val="1"/>
          <w:iCs w:val="1"/>
          <w:color w:val="auto"/>
        </w:rPr>
        <w:t xml:space="preserve"> rights, certain reporting requirements and a preference for U.S.-based companies. Compliance with such regulations may limit our exclusive rights and limit its ability to contract with non-U.S. manufacturers.</w:t>
      </w:r>
    </w:p>
    <w:p>
      <w:pPr>
        <w:spacing w:after="0" w:line="114" w:lineRule="exact"/>
        <w:rPr>
          <w:sz w:val="20"/>
          <w:szCs w:val="20"/>
          <w:color w:val="auto"/>
        </w:rPr>
      </w:pPr>
    </w:p>
    <w:p>
      <w:pPr>
        <w:jc w:val="both"/>
        <w:ind w:left="240"/>
        <w:spacing w:after="0" w:line="294" w:lineRule="auto"/>
        <w:rPr>
          <w:sz w:val="20"/>
          <w:szCs w:val="20"/>
          <w:color w:val="auto"/>
        </w:rPr>
      </w:pPr>
      <w:r>
        <w:rPr>
          <w:rFonts w:ascii="Arial" w:cs="Arial" w:eastAsia="Arial" w:hAnsi="Arial"/>
          <w:sz w:val="12"/>
          <w:szCs w:val="12"/>
          <w:color w:val="auto"/>
        </w:rPr>
        <w:t>Although we do not currently own issued patents or pending patent applications that have been generated through the use of U.S. government funding,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w:t>
      </w: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292" w:lineRule="auto"/>
        <w:rPr>
          <w:sz w:val="20"/>
          <w:szCs w:val="20"/>
          <w:color w:val="auto"/>
        </w:rPr>
      </w:pPr>
      <w:r>
        <w:rPr>
          <w:rFonts w:ascii="Arial" w:cs="Arial" w:eastAsia="Arial" w:hAnsi="Arial"/>
          <w:sz w:val="12"/>
          <w:szCs w:val="12"/>
          <w:color w:val="auto"/>
        </w:rPr>
        <w:t>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General Risks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Unfavorable global economic conditions could adversely affect our business, financial condition, stock price and results of operations.</w:t>
      </w:r>
    </w:p>
    <w:p>
      <w:pPr>
        <w:spacing w:after="0" w:line="186" w:lineRule="exact"/>
        <w:rPr>
          <w:sz w:val="20"/>
          <w:szCs w:val="20"/>
          <w:color w:val="auto"/>
        </w:rPr>
      </w:pPr>
    </w:p>
    <w:p>
      <w:pPr>
        <w:jc w:val="both"/>
        <w:ind w:left="240"/>
        <w:spacing w:after="0" w:line="291" w:lineRule="auto"/>
        <w:rPr>
          <w:sz w:val="20"/>
          <w:szCs w:val="20"/>
          <w:color w:val="auto"/>
        </w:rPr>
      </w:pPr>
      <w:r>
        <w:rPr>
          <w:rFonts w:ascii="Arial" w:cs="Arial" w:eastAsia="Arial" w:hAnsi="Arial"/>
          <w:sz w:val="12"/>
          <w:szCs w:val="12"/>
          <w:color w:val="auto"/>
        </w:rPr>
        <w:t>Our results of operations could be adversely affected by general conditions in the global economy and in the global financial markets. For example, a global economic downturn that could result from the COVID-19 pandemic could cause extreme volatility and disruptions in the capital and credit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w:t>
      </w:r>
    </w:p>
    <w:p>
      <w:pPr>
        <w:spacing w:after="0" w:line="149"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We or the third parties upon whom we depend may be adversely affected by natural disasters and other calamities, including pandemics, such as the global outbreak of COVID-19, and our business continuity and disaster recovery plans may not adequately protect us from a serious disaster.</w:t>
      </w:r>
    </w:p>
    <w:p>
      <w:pPr>
        <w:spacing w:after="0" w:line="160" w:lineRule="exact"/>
        <w:rPr>
          <w:sz w:val="20"/>
          <w:szCs w:val="20"/>
          <w:color w:val="auto"/>
        </w:rPr>
      </w:pPr>
    </w:p>
    <w:p>
      <w:pPr>
        <w:jc w:val="both"/>
        <w:ind w:left="240"/>
        <w:spacing w:after="0" w:line="314" w:lineRule="auto"/>
        <w:rPr>
          <w:sz w:val="20"/>
          <w:szCs w:val="20"/>
          <w:color w:val="auto"/>
        </w:rPr>
      </w:pPr>
      <w:r>
        <w:rPr>
          <w:rFonts w:ascii="Arial" w:cs="Arial" w:eastAsia="Arial" w:hAnsi="Arial"/>
          <w:sz w:val="12"/>
          <w:szCs w:val="12"/>
          <w:color w:val="auto"/>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spacing w:after="0" w:line="132" w:lineRule="exact"/>
        <w:rPr>
          <w:sz w:val="20"/>
          <w:szCs w:val="20"/>
          <w:color w:val="auto"/>
        </w:rPr>
      </w:pPr>
    </w:p>
    <w:p>
      <w:pPr>
        <w:jc w:val="both"/>
        <w:ind w:left="240"/>
        <w:spacing w:after="0" w:line="294" w:lineRule="auto"/>
        <w:rPr>
          <w:sz w:val="20"/>
          <w:szCs w:val="20"/>
          <w:color w:val="auto"/>
        </w:rPr>
      </w:pPr>
      <w:r>
        <w:rPr>
          <w:rFonts w:ascii="Arial" w:cs="Arial" w:eastAsia="Arial" w:hAnsi="Arial"/>
          <w:sz w:val="12"/>
          <w:szCs w:val="12"/>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For example, the COVID-19 pandemic could have an adverse effect on the coordination of research and development, our capital raising efforts, and the financial condition of our business, as well as our ability to retain key personnel and continue to expand product candidate development and conduct clinical trials. In addition, the impact of COVID-19 is likely to continue to cause substantial changes in consumer behavior and has caused restrictions on business and individual activities, which are likely to lead to reduced economic activity. Extraordinary actions taken by international, federal, state and local public health and governmental authorities to contain and combat the outbreak and spread of COVID-19 in regions throughout the world, including travel bans, quarantines, “stay-at-home” orders and similar mandates for many individuals and businesses to substantially restrict daily activities could have an adverse effect on our financial condition and ability to raise financing.</w:t>
      </w:r>
    </w:p>
    <w:p>
      <w:pPr>
        <w:spacing w:after="0" w:line="144"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a result of the COVID-19 pandemic, we may experience reduction in research and development, clinical testing, regulatory compliance activities, and manufacturing</w:t>
      </w:r>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activities, and is unable at this time to estimate the extent of the effect of COVID-19 on its business. The extent and duration of the economic slowdown attributable to COVID-19 remains uncertain at this time. A continued significant economic slowdown could have a substantial adverse effect on our financial condition, liquidity, and results of operations. If these conditions persist for an extended term, it could have a material adverse effect on our future revenue and sales.</w:t>
      </w:r>
    </w:p>
    <w:p>
      <w:pPr>
        <w:spacing w:after="0" w:line="167"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160"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We will face an inherent risk of product liability exposure related to the testing of its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spacing w:after="0" w:line="169" w:lineRule="exact"/>
        <w:rPr>
          <w:sz w:val="20"/>
          <w:szCs w:val="20"/>
          <w:color w:val="auto"/>
        </w:rPr>
      </w:pPr>
    </w:p>
    <w:p>
      <w:pPr>
        <w:ind w:left="980" w:hanging="243"/>
        <w:spacing w:after="0"/>
        <w:tabs>
          <w:tab w:leader="none" w:pos="9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decreased demand for any product candidates that we may develop;</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injury to our reputation and significant negative media attention;</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withdrawal of clinical trial participants;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significant time and costs to defend the related litigation;</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substantial monetary awards to trial participants or patients;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loss of revenue;</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termination of our collaboration relationships or disputes with its collaborators;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voluntary product recalls, withdrawals or labeling restrictions; and</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inability to commercialize any product candidates that we may develop.</w:t>
      </w:r>
    </w:p>
    <w:p>
      <w:pPr>
        <w:spacing w:after="0" w:line="186" w:lineRule="exact"/>
        <w:rPr>
          <w:sz w:val="20"/>
          <w:szCs w:val="20"/>
          <w:color w:val="auto"/>
        </w:rPr>
      </w:pPr>
    </w:p>
    <w:p>
      <w:pPr>
        <w:jc w:val="both"/>
        <w:ind w:left="240"/>
        <w:spacing w:after="0" w:line="249" w:lineRule="auto"/>
        <w:rPr>
          <w:sz w:val="20"/>
          <w:szCs w:val="20"/>
          <w:color w:val="auto"/>
        </w:rPr>
      </w:pPr>
      <w:r>
        <w:rPr>
          <w:rFonts w:ascii="Arial" w:cs="Arial" w:eastAsia="Arial" w:hAnsi="Arial"/>
          <w:sz w:val="14"/>
          <w:szCs w:val="14"/>
          <w:color w:val="auto"/>
        </w:rPr>
        <w:t>While we currently has insurance that we believe is appropriate for our stage of development, we may need to obtain higher levels prior to clinical development or marketing any of its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Risks Related to Ownership of Our Common Stock</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The trading price of the shares of our common stock has been and is likely to continue to be volatile, and purchasers of our common stock could incur substantial losses.</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market price of our common stock has been and is likely to continue to be volatile. Some of the factors that may cause the market price of our common stock to fluctuate include:</w:t>
      </w:r>
    </w:p>
    <w:p>
      <w:pPr>
        <w:spacing w:after="0" w:line="209" w:lineRule="exact"/>
        <w:rPr>
          <w:sz w:val="20"/>
          <w:szCs w:val="20"/>
          <w:color w:val="auto"/>
        </w:rPr>
      </w:pPr>
    </w:p>
    <w:p>
      <w:pPr>
        <w:ind w:left="980" w:hanging="243"/>
        <w:spacing w:after="0"/>
        <w:tabs>
          <w:tab w:leader="none" w:pos="9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results of clinical trials and preclinical studies of our product candidates, or those of our competitors or our existing or future collaborators;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failure to meet or exceed financial and development projections we may provide to the public;</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failure to meet or exceed the financial and development projections of the investment community;</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if we do not achieve the perceived benefits of the Merger as rapidly or to the extent anticipated by financial or industry analysts;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announcements of significant acquisitions, strategic collaborations, joint ventures or capital commitments by us or our competitors;</w:t>
      </w: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left="980" w:hanging="243"/>
        <w:spacing w:after="0"/>
        <w:tabs>
          <w:tab w:leader="none" w:pos="9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actions taken by regulatory agencies with respect to our product candidates, clinical studies, manufacturing process or sales and marketing terms;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disputes or other developments relating to proprietary rights, including patents, litigation matters, and our ability to obtain patent protection for its technologies;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additions or departures of key personnel;</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significant lawsuits, including patent or stockholder litigation;</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if securities or industry analysts do not publish research or reports about our business, or if they issue adverse or misleading opinions regarding our business and stock;</w:t>
      </w:r>
    </w:p>
    <w:p>
      <w:pPr>
        <w:spacing w:after="0" w:line="209" w:lineRule="exact"/>
        <w:rPr>
          <w:rFonts w:ascii="Arial" w:cs="Arial" w:eastAsia="Arial" w:hAnsi="Arial"/>
          <w:sz w:val="12"/>
          <w:szCs w:val="12"/>
          <w:color w:val="auto"/>
        </w:rPr>
      </w:pPr>
    </w:p>
    <w:p>
      <w:pPr>
        <w:ind w:left="980" w:hanging="243"/>
        <w:spacing w:after="0"/>
        <w:tabs>
          <w:tab w:leader="none" w:pos="9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changes in the market valuations of similar companies;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general market or macroeconomic conditions or market conditions in the pharmaceutical and biotechnology sectors;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sales of securities by us or our securityholders in the future;</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if we fail to raise an adequate amount of capital to fund our operations and continued development of our product candidates;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trading volume of our common stock;</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announcements by competitors of new commercial products, clinical progress or lack thereof, significant contracts, commercial relationships or capital commitments;</w:t>
      </w:r>
    </w:p>
    <w:p>
      <w:pPr>
        <w:spacing w:after="0" w:line="209" w:lineRule="exact"/>
        <w:rPr>
          <w:rFonts w:ascii="Arial" w:cs="Arial" w:eastAsia="Arial" w:hAnsi="Arial"/>
          <w:sz w:val="12"/>
          <w:szCs w:val="12"/>
          <w:color w:val="auto"/>
        </w:rPr>
      </w:pPr>
    </w:p>
    <w:p>
      <w:pPr>
        <w:ind w:left="980" w:hanging="243"/>
        <w:spacing w:after="0"/>
        <w:tabs>
          <w:tab w:leader="none" w:pos="9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adverse publicity relating to precision medicine product candidates, including with respect to other products in such markets;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introduction of technological innovations or new therapies that compete with our products and services; and</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period-to-period fluctuations in our financial results.</w:t>
      </w:r>
    </w:p>
    <w:p>
      <w:pPr>
        <w:spacing w:after="0" w:line="186" w:lineRule="exact"/>
        <w:rPr>
          <w:sz w:val="20"/>
          <w:szCs w:val="20"/>
          <w:color w:val="auto"/>
        </w:rPr>
      </w:pPr>
    </w:p>
    <w:p>
      <w:pPr>
        <w:jc w:val="both"/>
        <w:ind w:left="240"/>
        <w:spacing w:after="0" w:line="296" w:lineRule="auto"/>
        <w:rPr>
          <w:sz w:val="20"/>
          <w:szCs w:val="20"/>
          <w:color w:val="auto"/>
        </w:rPr>
      </w:pPr>
      <w:r>
        <w:rPr>
          <w:rFonts w:ascii="Arial" w:cs="Arial" w:eastAsia="Arial" w:hAnsi="Arial"/>
          <w:sz w:val="12"/>
          <w:szCs w:val="12"/>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resulting from the spread of COVID-19 or otherwise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its intrinsic value. Activist campaigns that contest or conflict with our strategic direction or seek changes in the composition of our board of directors could have an adverse effect on its operating results and financial condition.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Private Tempest and Millendo may be unable to integrate successfully and we may not realize the anticipated benefits of the Merger.</w:t>
      </w:r>
    </w:p>
    <w:p>
      <w:pPr>
        <w:spacing w:after="0" w:line="186"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color w:val="auto"/>
        </w:rPr>
        <w:t>The Merger involved the combination of two companies which previously operated as independent companies. We may fail to realize some or all of the anticipated benefits of the Merger if the integration process takes longer than expected or is more costly than expected. It is possible that the integration process also could result in the diversion of our management’s attention, the disruption or interruption of, or the loss of momentum in, our ongoing businesses or inconsistencies in standards, controls, procedures and policies, any of which could adversely affect our ability to maintain relationships with customers, suppliers and employees or the ability to achieve the anticipated benefits of the Merger, or could otherwise adversely affect our business and financial results.</w:t>
      </w:r>
    </w:p>
    <w:p>
      <w:pPr>
        <w:spacing w:after="0" w:line="138"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We expect to continue to incur increased costs as a result of operating as a public company, and our management is required to devote substantial time to compliance with our public company responsibilities and corporate governance practices.</w:t>
      </w:r>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ind w:left="240"/>
        <w:spacing w:after="0" w:line="294" w:lineRule="auto"/>
        <w:rPr>
          <w:sz w:val="20"/>
          <w:szCs w:val="20"/>
          <w:color w:val="auto"/>
        </w:rPr>
      </w:pPr>
      <w:r>
        <w:rPr>
          <w:rFonts w:ascii="Arial" w:cs="Arial" w:eastAsia="Arial" w:hAnsi="Arial"/>
          <w:sz w:val="12"/>
          <w:szCs w:val="12"/>
          <w:color w:val="auto"/>
        </w:rPr>
        <w:t>As a relatively new public company, we continue to incur significant legal, accounting and other expenses that we did not incur as a private company. The Sarbanes-Oxley Act, the Dodd-Frank Wall Street Reform and Consumer Protection Act, the listing requirements of the Nasdaq Capital Market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For example, we expect that these rules and regulations may make it more difficult and more expensive for us to obtain directors’ and officers’ liability insurance, compared to when we were a private company, which could make it more difficult for us to attract and retain qualified members of our board of directors.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spacing w:after="0" w:line="308"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spacing w:after="0" w:line="160" w:lineRule="exact"/>
        <w:rPr>
          <w:sz w:val="20"/>
          <w:szCs w:val="20"/>
          <w:color w:val="auto"/>
        </w:rPr>
      </w:pPr>
    </w:p>
    <w:p>
      <w:pPr>
        <w:jc w:val="both"/>
        <w:ind w:left="240"/>
        <w:spacing w:after="0" w:line="247" w:lineRule="auto"/>
        <w:rPr>
          <w:sz w:val="20"/>
          <w:szCs w:val="20"/>
          <w:color w:val="auto"/>
        </w:rPr>
      </w:pPr>
      <w:r>
        <w:rPr>
          <w:rFonts w:ascii="Arial" w:cs="Arial" w:eastAsia="Arial" w:hAnsi="Arial"/>
          <w:sz w:val="14"/>
          <w:szCs w:val="14"/>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by our stockholders to replace or remove our current management by making it more difficult for stockholders to replace members of our board of directors. Among other things, these provisions:</w:t>
      </w:r>
    </w:p>
    <w:p>
      <w:pPr>
        <w:spacing w:after="0" w:line="199" w:lineRule="exact"/>
        <w:rPr>
          <w:sz w:val="20"/>
          <w:szCs w:val="20"/>
          <w:color w:val="auto"/>
        </w:rPr>
      </w:pPr>
    </w:p>
    <w:p>
      <w:pPr>
        <w:ind w:left="980" w:hanging="243"/>
        <w:spacing w:after="0"/>
        <w:tabs>
          <w:tab w:leader="none" w:pos="9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establish a classified board of directors such that not all members of the board are elected at one time;</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allow the authorized number of our directors to be changed only by resolution of our board of directors;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limit the manner in which stockholders can remove directors from the board;</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establish advance notice requirements for stockholder proposals that can be acted on at stockholder meetings and for nominations to our board of directors;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limit who may call stockholder meetings;</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prohibit actions by our stockholders by written consent;</w:t>
      </w:r>
    </w:p>
    <w:p>
      <w:pPr>
        <w:spacing w:after="0" w:line="186" w:lineRule="exact"/>
        <w:rPr>
          <w:rFonts w:ascii="Arial" w:cs="Arial" w:eastAsia="Arial" w:hAnsi="Arial"/>
          <w:sz w:val="14"/>
          <w:szCs w:val="14"/>
          <w:color w:val="auto"/>
        </w:rPr>
      </w:pPr>
    </w:p>
    <w:p>
      <w:pPr>
        <w:ind w:left="980" w:hanging="243"/>
        <w:spacing w:after="0"/>
        <w:tabs>
          <w:tab w:leader="none" w:pos="9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require that stockholder actions be effected at a duly called stockholders meeting;</w:t>
      </w:r>
    </w:p>
    <w:p>
      <w:pPr>
        <w:spacing w:after="0" w:line="186"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39"/>
        </w:numPr>
        <w:rPr>
          <w:rFonts w:ascii="Arial" w:cs="Arial" w:eastAsia="Arial" w:hAnsi="Arial"/>
          <w:sz w:val="14"/>
          <w:szCs w:val="14"/>
          <w:color w:val="auto"/>
        </w:rPr>
      </w:pPr>
      <w:r>
        <w:rPr>
          <w:rFonts w:ascii="Arial" w:cs="Arial" w:eastAsia="Arial" w:hAnsi="Arial"/>
          <w:sz w:val="14"/>
          <w:szCs w:val="14"/>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60" w:lineRule="exact"/>
        <w:rPr>
          <w:rFonts w:ascii="Arial" w:cs="Arial" w:eastAsia="Arial" w:hAnsi="Arial"/>
          <w:sz w:val="14"/>
          <w:szCs w:val="14"/>
          <w:color w:val="auto"/>
        </w:rPr>
      </w:pPr>
    </w:p>
    <w:p>
      <w:pPr>
        <w:ind w:left="980" w:hanging="243"/>
        <w:spacing w:after="0" w:line="261" w:lineRule="auto"/>
        <w:tabs>
          <w:tab w:leader="none" w:pos="977"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require the approval of the holders of at least 75 percent of the votes that all our stockholders would be entitled to cast to amend or repeal certain provisions of our certificate of incorporation or by-laws.</w:t>
      </w:r>
    </w:p>
    <w:p>
      <w:pPr>
        <w:spacing w:after="0" w:line="160"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Delaware General Corporation Law, which prohibits a person who owns 15 percent or more of our outstanding voting stock from merging or combining with us for a period of three years after the date of the transaction in which the person acquired 15 percent or more of our outstanding voting stock, unless the merger or combination is approved in a manner prescribed by the statute.</w:t>
      </w:r>
    </w:p>
    <w:p>
      <w:pPr>
        <w:spacing w:after="0" w:line="167"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200" w:lineRule="exact"/>
        <w:rPr>
          <w:sz w:val="20"/>
          <w:szCs w:val="20"/>
          <w:color w:val="auto"/>
        </w:rPr>
      </w:pP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2" w:right="55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247" w:lineRule="auto"/>
        <w:rPr>
          <w:sz w:val="20"/>
          <w:szCs w:val="20"/>
          <w:color w:val="auto"/>
        </w:rPr>
      </w:pPr>
      <w:r>
        <w:rPr>
          <w:rFonts w:ascii="Arial" w:cs="Arial" w:eastAsia="Arial" w:hAnsi="Arial"/>
          <w:sz w:val="14"/>
          <w:szCs w:val="14"/>
          <w:color w:val="auto"/>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do not anticipate that we will pay any cash dividends in the foreseeable future.</w:t>
      </w:r>
    </w:p>
    <w:p>
      <w:pPr>
        <w:spacing w:after="0" w:line="186"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The current expectation is that we will retain its future earnings, if any, to fund our growth as opposed to paying dividends. As a result, capital appreciation, if any, of our common stock will be your sole source of gain, if any, for the foreseeable future.</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Future sales of shares by existing stockholders could cause our stock price to decline.</w:t>
      </w:r>
    </w:p>
    <w:p>
      <w:pPr>
        <w:spacing w:after="0" w:line="186" w:lineRule="exact"/>
        <w:rPr>
          <w:sz w:val="20"/>
          <w:szCs w:val="20"/>
          <w:color w:val="auto"/>
        </w:rPr>
      </w:pPr>
    </w:p>
    <w:p>
      <w:pPr>
        <w:ind w:left="240"/>
        <w:spacing w:after="0" w:line="296" w:lineRule="auto"/>
        <w:rPr>
          <w:sz w:val="20"/>
          <w:szCs w:val="20"/>
          <w:color w:val="auto"/>
        </w:rPr>
      </w:pPr>
      <w:r>
        <w:rPr>
          <w:rFonts w:ascii="Arial" w:cs="Arial" w:eastAsia="Arial" w:hAnsi="Arial"/>
          <w:sz w:val="12"/>
          <w:szCs w:val="12"/>
          <w:color w:val="auto"/>
        </w:rPr>
        <w:t>If our existing securityholders sell, or indicate an intention to sell, substantial amounts of our common stock in the public market after legal restrictions on resale lapse, the trading price of our common stock could decline. As of September 30, 2021, of the total 6,900,595 shares of common stock outstanding, approximately 4,230,786 shares will be available for sale in the public market beginning 180 days after the closing of the Merger as a result of the expiration of lock-up agreements between Millendo and Private Tempest on the one hand and certain securityholders of Millendo and Private Tempest on the other hand. All other outstanding shares of common stock, other than shares held by our affiliates, will be freely tradable, without restriction, in the public market. In addition, shares of common stock that are subject to outstanding options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Our executive officers, directors and principal stockholders have the ability to control or significantly influence all matters submitted to our stockholders for approval.</w:t>
      </w:r>
    </w:p>
    <w:p>
      <w:pPr>
        <w:spacing w:after="0" w:line="209"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color w:val="auto"/>
        </w:rPr>
        <w:t>Our executive officers, directors and principal stockholders, in the aggregate, beneficially own approximately 65.8% of our outstanding shares of common stock. As a result, if these persons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the company’s assets. This concentration of voting power could delay or prevent an acquisition on terms that other stockholders may desire.</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may be exposed to increased litigation, including stockholder litigation, which could have an adverse effect on our business and operations.</w:t>
      </w:r>
    </w:p>
    <w:p>
      <w:pPr>
        <w:spacing w:after="0" w:line="186" w:lineRule="exact"/>
        <w:rPr>
          <w:sz w:val="20"/>
          <w:szCs w:val="20"/>
          <w:color w:val="auto"/>
        </w:rPr>
      </w:pPr>
    </w:p>
    <w:p>
      <w:pPr>
        <w:jc w:val="both"/>
        <w:ind w:left="240"/>
        <w:spacing w:after="0" w:line="304" w:lineRule="auto"/>
        <w:rPr>
          <w:sz w:val="20"/>
          <w:szCs w:val="20"/>
          <w:color w:val="auto"/>
        </w:rPr>
      </w:pPr>
      <w:r>
        <w:rPr>
          <w:rFonts w:ascii="Arial" w:cs="Arial" w:eastAsia="Arial" w:hAnsi="Arial"/>
          <w:sz w:val="12"/>
          <w:szCs w:val="12"/>
          <w:color w:val="auto"/>
        </w:rPr>
        <w:t>We may be exposed to increased litigation from stockholders, customers, suppliers, consumers and other third parties due to the combination of Millendo’s business and Private Tempest’s business following the merger. 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38"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color w:val="auto"/>
        </w:rPr>
        <w:t>We also remain the subject of various securities class action lawsuits and shareholder derivative lawsuits that were filed against OvaScience and certain of its officer and directors, as described in more detail in Part II-Item 1 under the heading “Legal Proceedings” of our Quarterly Report on Form 10-Q for the quarter ended September 30, 2021.</w:t>
      </w:r>
    </w:p>
    <w:p>
      <w:pPr>
        <w:spacing w:after="0" w:line="114"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60" w:lineRule="exact"/>
        <w:rPr>
          <w:sz w:val="20"/>
          <w:szCs w:val="20"/>
          <w:color w:val="auto"/>
        </w:rPr>
      </w:pPr>
    </w:p>
    <w:p>
      <w:pPr>
        <w:jc w:val="both"/>
        <w:ind w:left="240"/>
        <w:spacing w:after="0" w:line="345" w:lineRule="auto"/>
        <w:rPr>
          <w:sz w:val="20"/>
          <w:szCs w:val="20"/>
          <w:color w:val="auto"/>
        </w:rPr>
      </w:pPr>
      <w:r>
        <w:rPr>
          <w:rFonts w:ascii="Arial" w:cs="Arial" w:eastAsia="Arial" w:hAnsi="Arial"/>
          <w:sz w:val="12"/>
          <w:szCs w:val="12"/>
          <w:color w:val="auto"/>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w:t>
      </w:r>
    </w:p>
    <w:p>
      <w:pPr>
        <w:spacing w:after="0" w:line="257"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5" w:lineRule="exact"/>
        <w:rPr>
          <w:sz w:val="20"/>
          <w:szCs w:val="20"/>
          <w:color w:val="auto"/>
        </w:rPr>
      </w:pPr>
    </w:p>
    <w:p>
      <w:pPr>
        <w:jc w:val="both"/>
        <w:ind w:left="240"/>
        <w:spacing w:after="0" w:line="261" w:lineRule="auto"/>
        <w:rPr>
          <w:sz w:val="20"/>
          <w:szCs w:val="20"/>
          <w:color w:val="auto"/>
        </w:rPr>
      </w:pPr>
      <w:r>
        <w:rPr>
          <w:rFonts w:ascii="Arial" w:cs="Arial" w:eastAsia="Arial" w:hAnsi="Arial"/>
          <w:sz w:val="14"/>
          <w:szCs w:val="14"/>
          <w:color w:val="auto"/>
        </w:rPr>
        <w:t>unfavorable commentary or research. If one or more equity research analysts ceases coverage or fails to publish reports on us regularly, demand for our common stock could decrease, which in turn could cause its stock price or trading volume to decline.</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We are a smaller reporting company, and the reduced reporting requirements applicable to smaller reporting companies may make our common stock less attractive to investors.</w:t>
      </w:r>
    </w:p>
    <w:p>
      <w:pPr>
        <w:spacing w:after="0" w:line="209" w:lineRule="exact"/>
        <w:rPr>
          <w:sz w:val="20"/>
          <w:szCs w:val="20"/>
          <w:color w:val="auto"/>
        </w:rPr>
      </w:pPr>
    </w:p>
    <w:p>
      <w:pPr>
        <w:jc w:val="both"/>
        <w:ind w:left="240"/>
        <w:spacing w:after="0" w:line="296" w:lineRule="auto"/>
        <w:rPr>
          <w:sz w:val="20"/>
          <w:szCs w:val="20"/>
          <w:color w:val="auto"/>
        </w:rPr>
      </w:pPr>
      <w:r>
        <w:rPr>
          <w:rFonts w:ascii="Arial" w:cs="Arial" w:eastAsia="Arial" w:hAnsi="Arial"/>
          <w:sz w:val="12"/>
          <w:szCs w:val="12"/>
          <w:color w:val="auto"/>
        </w:rPr>
        <w:t>We are a “smaller reporting company” as defined in Section 12 of the Securities Exchange Act of 1934, as amended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(SOX),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Recent Sales of Unregistered Securities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did not sell any unregistered securities during the nine months ended September 30, 2021.</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186" w:lineRule="exact"/>
        <w:rPr>
          <w:sz w:val="20"/>
          <w:szCs w:val="20"/>
          <w:color w:val="auto"/>
        </w:rPr>
      </w:pPr>
    </w:p>
    <w:p>
      <w:pPr>
        <w:ind w:left="240" w:right="400"/>
        <w:spacing w:after="0" w:line="345" w:lineRule="auto"/>
        <w:rPr>
          <w:sz w:val="20"/>
          <w:szCs w:val="20"/>
          <w:color w:val="auto"/>
        </w:rPr>
      </w:pPr>
      <w:r>
        <w:rPr>
          <w:rFonts w:ascii="Arial" w:cs="Arial" w:eastAsia="Arial" w:hAnsi="Arial"/>
          <w:sz w:val="12"/>
          <w:szCs w:val="12"/>
          <w:color w:val="auto"/>
        </w:rPr>
        <w:t>In September 2021, we exercised our right to repurchase 764 unvested shares related to the early exercise of stock options under the 2017 Plan. The unvested shares were repurchased from an employee in connection with the termination of their service in exchange for $3,554.68 in cash and the cancellation of indebtedness, and were canceled upon completion of the repurchase.</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Not applicable.</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Item 4. Mine Safety Disclosures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Not applicable.</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Item 5. Other Information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Not applicable.</w:t>
      </w: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13" w:right="55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4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Item 6. Exhibits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exhibits are incorporated by reference or filed as part of this report.</w:t>
      </w:r>
    </w:p>
    <w:p>
      <w:pPr>
        <w:spacing w:after="0" w:line="221" w:lineRule="exact"/>
        <w:rPr>
          <w:sz w:val="20"/>
          <w:szCs w:val="20"/>
          <w:color w:val="auto"/>
        </w:rPr>
      </w:pPr>
    </w:p>
    <w:tbl>
      <w:tblPr>
        <w:tblLayout w:type="fixed"/>
        <w:tblInd w:w="240" w:type="dxa"/>
        <w:tblCellMar>
          <w:top w:w="0" w:type="dxa"/>
          <w:left w:w="0" w:type="dxa"/>
          <w:bottom w:w="0" w:type="dxa"/>
          <w:right w:w="0" w:type="dxa"/>
        </w:tblCellMar>
      </w:tblPr>
      <w:tr>
        <w:trPr>
          <w:trHeight w:val="150"/>
        </w:trPr>
        <w:tc>
          <w:tcPr>
            <w:tcW w:w="1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3"/>
          </w:tcPr>
          <w:p>
            <w:pPr>
              <w:jc w:val="center"/>
              <w:ind w:right="546"/>
              <w:spacing w:after="0"/>
              <w:rPr>
                <w:sz w:val="20"/>
                <w:szCs w:val="20"/>
                <w:color w:val="auto"/>
              </w:rPr>
            </w:pPr>
            <w:r>
              <w:rPr>
                <w:rFonts w:ascii="Arial" w:cs="Arial" w:eastAsia="Arial" w:hAnsi="Arial"/>
                <w:sz w:val="11"/>
                <w:szCs w:val="11"/>
                <w:b w:val="1"/>
                <w:bCs w:val="1"/>
                <w:color w:val="auto"/>
                <w:w w:val="89"/>
              </w:rPr>
              <w:t>Incorporation by Reference</w:t>
            </w:r>
          </w:p>
        </w:tc>
        <w:tc>
          <w:tcPr>
            <w:tcW w:w="0" w:type="dxa"/>
            <w:vAlign w:val="bottom"/>
          </w:tcPr>
          <w:p>
            <w:pPr>
              <w:spacing w:after="0"/>
              <w:rPr>
                <w:sz w:val="1"/>
                <w:szCs w:val="1"/>
                <w:color w:val="auto"/>
              </w:rPr>
            </w:pPr>
          </w:p>
        </w:tc>
      </w:tr>
      <w:tr>
        <w:trPr>
          <w:trHeight w:val="154"/>
        </w:trPr>
        <w:tc>
          <w:tcPr>
            <w:tcW w:w="128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Exhibit Number</w:t>
            </w:r>
          </w:p>
        </w:tc>
        <w:tc>
          <w:tcPr>
            <w:tcW w:w="1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gridSpan w:val="11"/>
          </w:tcPr>
          <w:p>
            <w:pPr>
              <w:ind w:left="260"/>
              <w:spacing w:after="0"/>
              <w:rPr>
                <w:sz w:val="20"/>
                <w:szCs w:val="20"/>
                <w:color w:val="auto"/>
              </w:rPr>
            </w:pPr>
            <w:r>
              <w:rPr>
                <w:rFonts w:ascii="Arial" w:cs="Arial" w:eastAsia="Arial" w:hAnsi="Arial"/>
                <w:sz w:val="11"/>
                <w:szCs w:val="11"/>
                <w:b w:val="1"/>
                <w:bCs w:val="1"/>
                <w:color w:val="auto"/>
              </w:rPr>
              <w:t>Description of Exhibit</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Form</w:t>
            </w:r>
          </w:p>
        </w:tc>
        <w:tc>
          <w:tcPr>
            <w:tcW w:w="10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File Number</w:t>
            </w:r>
          </w:p>
        </w:tc>
        <w:tc>
          <w:tcPr>
            <w:tcW w:w="56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2"/>
              </w:rPr>
              <w:t>Exhibit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Filing Date   Filed Herewith</w:t>
            </w:r>
          </w:p>
        </w:tc>
        <w:tc>
          <w:tcPr>
            <w:tcW w:w="0" w:type="dxa"/>
            <w:vAlign w:val="bottom"/>
          </w:tcPr>
          <w:p>
            <w:pPr>
              <w:spacing w:after="0"/>
              <w:rPr>
                <w:sz w:val="1"/>
                <w:szCs w:val="1"/>
                <w:color w:val="auto"/>
              </w:rPr>
            </w:pPr>
          </w:p>
        </w:tc>
      </w:tr>
      <w:tr>
        <w:trPr>
          <w:trHeight w:val="122"/>
        </w:trPr>
        <w:tc>
          <w:tcPr>
            <w:tcW w:w="1280" w:type="dxa"/>
            <w:vAlign w:val="bottom"/>
          </w:tcPr>
          <w:p>
            <w:pPr>
              <w:jc w:val="right"/>
              <w:spacing w:after="0" w:line="123" w:lineRule="exact"/>
              <w:rPr>
                <w:sz w:val="20"/>
                <w:szCs w:val="20"/>
                <w:color w:val="auto"/>
              </w:rPr>
            </w:pPr>
            <w:r>
              <w:rPr>
                <w:rFonts w:ascii="Arial" w:cs="Arial" w:eastAsia="Arial" w:hAnsi="Arial"/>
                <w:sz w:val="11"/>
                <w:szCs w:val="11"/>
                <w:color w:val="auto"/>
              </w:rPr>
              <w:t>1.1</w:t>
            </w:r>
          </w:p>
        </w:tc>
        <w:tc>
          <w:tcPr>
            <w:tcW w:w="3520" w:type="dxa"/>
            <w:vAlign w:val="bottom"/>
            <w:tcBorders>
              <w:bottom w:val="single" w:sz="8" w:color="0000FF"/>
            </w:tcBorders>
            <w:gridSpan w:val="8"/>
          </w:tcPr>
          <w:p>
            <w:pPr>
              <w:spacing w:after="0" w:line="123" w:lineRule="exact"/>
              <w:rPr>
                <w:rFonts w:ascii="Arial" w:cs="Arial" w:eastAsia="Arial" w:hAnsi="Arial"/>
                <w:sz w:val="11"/>
                <w:szCs w:val="11"/>
                <w:color w:val="0000FF"/>
                <w:w w:val="88"/>
              </w:rPr>
            </w:pPr>
            <w:hyperlink r:id="rId97">
              <w:r>
                <w:rPr>
                  <w:rFonts w:ascii="Arial" w:cs="Arial" w:eastAsia="Arial" w:hAnsi="Arial"/>
                  <w:sz w:val="11"/>
                  <w:szCs w:val="11"/>
                  <w:color w:val="0000FF"/>
                  <w:w w:val="88"/>
                </w:rPr>
                <w:t>Sales Agreement, dated July 23, 2021, between the Registrant and Jefferies LLC</w:t>
              </w:r>
            </w:hyperlink>
          </w:p>
        </w:tc>
        <w:tc>
          <w:tcPr>
            <w:tcW w:w="2300" w:type="dxa"/>
            <w:vAlign w:val="bottom"/>
            <w:gridSpan w:val="8"/>
          </w:tcPr>
          <w:p>
            <w:pPr>
              <w:spacing w:after="0"/>
              <w:rPr>
                <w:sz w:val="10"/>
                <w:szCs w:val="10"/>
                <w:color w:val="auto"/>
              </w:rPr>
            </w:pPr>
          </w:p>
        </w:tc>
        <w:tc>
          <w:tcPr>
            <w:tcW w:w="580" w:type="dxa"/>
            <w:vAlign w:val="bottom"/>
          </w:tcPr>
          <w:p>
            <w:pPr>
              <w:jc w:val="center"/>
              <w:ind w:right="6"/>
              <w:spacing w:after="0" w:line="123" w:lineRule="exact"/>
              <w:rPr>
                <w:sz w:val="20"/>
                <w:szCs w:val="20"/>
                <w:color w:val="auto"/>
              </w:rPr>
            </w:pPr>
            <w:r>
              <w:rPr>
                <w:rFonts w:ascii="Arial" w:cs="Arial" w:eastAsia="Arial" w:hAnsi="Arial"/>
                <w:sz w:val="11"/>
                <w:szCs w:val="11"/>
                <w:color w:val="auto"/>
                <w:w w:val="93"/>
              </w:rPr>
              <w:t>8-K</w:t>
            </w:r>
          </w:p>
        </w:tc>
        <w:tc>
          <w:tcPr>
            <w:tcW w:w="1020" w:type="dxa"/>
            <w:vAlign w:val="bottom"/>
          </w:tcPr>
          <w:p>
            <w:pPr>
              <w:jc w:val="right"/>
              <w:ind w:right="26"/>
              <w:spacing w:after="0" w:line="123" w:lineRule="exact"/>
              <w:rPr>
                <w:sz w:val="20"/>
                <w:szCs w:val="20"/>
                <w:color w:val="auto"/>
              </w:rPr>
            </w:pPr>
            <w:r>
              <w:rPr>
                <w:rFonts w:ascii="Arial" w:cs="Arial" w:eastAsia="Arial" w:hAnsi="Arial"/>
                <w:sz w:val="11"/>
                <w:szCs w:val="11"/>
                <w:color w:val="auto"/>
              </w:rPr>
              <w:t>001-35890</w:t>
            </w:r>
          </w:p>
        </w:tc>
        <w:tc>
          <w:tcPr>
            <w:tcW w:w="560" w:type="dxa"/>
            <w:vAlign w:val="bottom"/>
          </w:tcPr>
          <w:p>
            <w:pPr>
              <w:jc w:val="center"/>
              <w:ind w:right="6"/>
              <w:spacing w:after="0" w:line="123" w:lineRule="exact"/>
              <w:rPr>
                <w:sz w:val="20"/>
                <w:szCs w:val="20"/>
                <w:color w:val="auto"/>
              </w:rPr>
            </w:pPr>
            <w:r>
              <w:rPr>
                <w:rFonts w:ascii="Arial" w:cs="Arial" w:eastAsia="Arial" w:hAnsi="Arial"/>
                <w:sz w:val="11"/>
                <w:szCs w:val="11"/>
                <w:color w:val="auto"/>
                <w:w w:val="91"/>
              </w:rPr>
              <w:t>1.1</w:t>
            </w:r>
          </w:p>
        </w:tc>
        <w:tc>
          <w:tcPr>
            <w:tcW w:w="1540" w:type="dxa"/>
            <w:vAlign w:val="bottom"/>
          </w:tcPr>
          <w:p>
            <w:pPr>
              <w:jc w:val="right"/>
              <w:ind w:right="706"/>
              <w:spacing w:after="0" w:line="123" w:lineRule="exact"/>
              <w:rPr>
                <w:sz w:val="20"/>
                <w:szCs w:val="20"/>
                <w:color w:val="auto"/>
              </w:rPr>
            </w:pPr>
            <w:r>
              <w:rPr>
                <w:rFonts w:ascii="Arial" w:cs="Arial" w:eastAsia="Arial" w:hAnsi="Arial"/>
                <w:sz w:val="11"/>
                <w:szCs w:val="11"/>
                <w:color w:val="auto"/>
              </w:rPr>
              <w:t>7/23/2021</w:t>
            </w:r>
          </w:p>
        </w:tc>
        <w:tc>
          <w:tcPr>
            <w:tcW w:w="0" w:type="dxa"/>
            <w:vAlign w:val="bottom"/>
          </w:tcPr>
          <w:p>
            <w:pPr>
              <w:spacing w:after="0"/>
              <w:rPr>
                <w:sz w:val="1"/>
                <w:szCs w:val="1"/>
                <w:color w:val="auto"/>
              </w:rPr>
            </w:pPr>
          </w:p>
        </w:tc>
      </w:tr>
      <w:tr>
        <w:trPr>
          <w:trHeight w:val="143"/>
        </w:trPr>
        <w:tc>
          <w:tcPr>
            <w:tcW w:w="1280" w:type="dxa"/>
            <w:vAlign w:val="bottom"/>
          </w:tcPr>
          <w:p>
            <w:pPr>
              <w:jc w:val="right"/>
              <w:spacing w:after="0"/>
              <w:rPr>
                <w:sz w:val="20"/>
                <w:szCs w:val="20"/>
                <w:color w:val="auto"/>
              </w:rPr>
            </w:pPr>
            <w:r>
              <w:rPr>
                <w:rFonts w:ascii="Arial" w:cs="Arial" w:eastAsia="Arial" w:hAnsi="Arial"/>
                <w:sz w:val="11"/>
                <w:szCs w:val="11"/>
                <w:color w:val="auto"/>
              </w:rPr>
              <w:t>3.1</w:t>
            </w:r>
          </w:p>
        </w:tc>
        <w:tc>
          <w:tcPr>
            <w:tcW w:w="2920" w:type="dxa"/>
            <w:vAlign w:val="bottom"/>
            <w:tcBorders>
              <w:bottom w:val="single" w:sz="8" w:color="0000FF"/>
            </w:tcBorders>
            <w:gridSpan w:val="6"/>
          </w:tcPr>
          <w:p>
            <w:pPr>
              <w:spacing w:after="0"/>
              <w:rPr>
                <w:rFonts w:ascii="Arial" w:cs="Arial" w:eastAsia="Arial" w:hAnsi="Arial"/>
                <w:sz w:val="11"/>
                <w:szCs w:val="11"/>
                <w:color w:val="0000FF"/>
                <w:w w:val="88"/>
              </w:rPr>
            </w:pPr>
            <w:hyperlink r:id="rId98">
              <w:r>
                <w:rPr>
                  <w:rFonts w:ascii="Arial" w:cs="Arial" w:eastAsia="Arial" w:hAnsi="Arial"/>
                  <w:sz w:val="11"/>
                  <w:szCs w:val="11"/>
                  <w:color w:val="0000FF"/>
                  <w:w w:val="88"/>
                </w:rPr>
                <w:t>Restated Certificate of Incorporation of the Registrant, as amended</w:t>
              </w:r>
            </w:hyperlink>
          </w:p>
        </w:tc>
        <w:tc>
          <w:tcPr>
            <w:tcW w:w="2900" w:type="dxa"/>
            <w:vAlign w:val="bottom"/>
            <w:gridSpan w:val="10"/>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10-Q</w:t>
            </w:r>
          </w:p>
        </w:tc>
        <w:tc>
          <w:tcPr>
            <w:tcW w:w="1020" w:type="dxa"/>
            <w:vAlign w:val="bottom"/>
          </w:tcPr>
          <w:p>
            <w:pPr>
              <w:jc w:val="right"/>
              <w:ind w:right="26"/>
              <w:spacing w:after="0"/>
              <w:rPr>
                <w:sz w:val="20"/>
                <w:szCs w:val="20"/>
                <w:color w:val="auto"/>
              </w:rPr>
            </w:pPr>
            <w:r>
              <w:rPr>
                <w:rFonts w:ascii="Arial" w:cs="Arial" w:eastAsia="Arial" w:hAnsi="Arial"/>
                <w:sz w:val="11"/>
                <w:szCs w:val="11"/>
                <w:color w:val="auto"/>
              </w:rPr>
              <w:t>001-35890</w:t>
            </w:r>
          </w:p>
        </w:tc>
        <w:tc>
          <w:tcPr>
            <w:tcW w:w="560" w:type="dxa"/>
            <w:vAlign w:val="bottom"/>
          </w:tcPr>
          <w:p>
            <w:pPr>
              <w:jc w:val="center"/>
              <w:ind w:right="6"/>
              <w:spacing w:after="0"/>
              <w:rPr>
                <w:sz w:val="20"/>
                <w:szCs w:val="20"/>
                <w:color w:val="auto"/>
              </w:rPr>
            </w:pPr>
            <w:r>
              <w:rPr>
                <w:rFonts w:ascii="Arial" w:cs="Arial" w:eastAsia="Arial" w:hAnsi="Arial"/>
                <w:sz w:val="11"/>
                <w:szCs w:val="11"/>
                <w:color w:val="auto"/>
                <w:w w:val="91"/>
              </w:rPr>
              <w:t>3.1</w:t>
            </w:r>
          </w:p>
        </w:tc>
        <w:tc>
          <w:tcPr>
            <w:tcW w:w="1540" w:type="dxa"/>
            <w:vAlign w:val="bottom"/>
          </w:tcPr>
          <w:p>
            <w:pPr>
              <w:jc w:val="right"/>
              <w:ind w:right="706"/>
              <w:spacing w:after="0"/>
              <w:rPr>
                <w:sz w:val="20"/>
                <w:szCs w:val="20"/>
                <w:color w:val="auto"/>
              </w:rPr>
            </w:pPr>
            <w:r>
              <w:rPr>
                <w:rFonts w:ascii="Arial" w:cs="Arial" w:eastAsia="Arial" w:hAnsi="Arial"/>
                <w:sz w:val="11"/>
                <w:szCs w:val="11"/>
                <w:color w:val="auto"/>
              </w:rPr>
              <w:t>5/15/2019</w:t>
            </w:r>
          </w:p>
        </w:tc>
        <w:tc>
          <w:tcPr>
            <w:tcW w:w="0" w:type="dxa"/>
            <w:vAlign w:val="bottom"/>
          </w:tcPr>
          <w:p>
            <w:pPr>
              <w:spacing w:after="0"/>
              <w:rPr>
                <w:sz w:val="1"/>
                <w:szCs w:val="1"/>
                <w:color w:val="auto"/>
              </w:rPr>
            </w:pPr>
          </w:p>
        </w:tc>
      </w:tr>
      <w:tr>
        <w:trPr>
          <w:trHeight w:val="143"/>
        </w:trPr>
        <w:tc>
          <w:tcPr>
            <w:tcW w:w="1280" w:type="dxa"/>
            <w:vAlign w:val="bottom"/>
            <w:vMerge w:val="restart"/>
          </w:tcPr>
          <w:p>
            <w:pPr>
              <w:jc w:val="right"/>
              <w:spacing w:after="0"/>
              <w:rPr>
                <w:sz w:val="20"/>
                <w:szCs w:val="20"/>
                <w:color w:val="auto"/>
              </w:rPr>
            </w:pPr>
            <w:r>
              <w:rPr>
                <w:rFonts w:ascii="Arial" w:cs="Arial" w:eastAsia="Arial" w:hAnsi="Arial"/>
                <w:sz w:val="11"/>
                <w:szCs w:val="11"/>
                <w:color w:val="auto"/>
              </w:rPr>
              <w:t>3.2</w:t>
            </w:r>
          </w:p>
        </w:tc>
        <w:tc>
          <w:tcPr>
            <w:tcW w:w="5820" w:type="dxa"/>
            <w:vAlign w:val="bottom"/>
            <w:gridSpan w:val="16"/>
          </w:tcPr>
          <w:p>
            <w:pPr>
              <w:spacing w:after="0"/>
              <w:rPr>
                <w:rFonts w:ascii="Arial" w:cs="Arial" w:eastAsia="Arial" w:hAnsi="Arial"/>
                <w:sz w:val="11"/>
                <w:szCs w:val="11"/>
                <w:color w:val="0000FF"/>
                <w:w w:val="93"/>
              </w:rPr>
            </w:pPr>
            <w:hyperlink r:id="rId99">
              <w:r>
                <w:rPr>
                  <w:rFonts w:ascii="Arial" w:cs="Arial" w:eastAsia="Arial" w:hAnsi="Arial"/>
                  <w:sz w:val="11"/>
                  <w:szCs w:val="11"/>
                  <w:color w:val="0000FF"/>
                  <w:w w:val="93"/>
                </w:rPr>
                <w:t>Certificate of Amendment to the Restated Certificate of Incorporation of the Company, as filed with the Secretary of State of the</w:t>
              </w:r>
            </w:hyperlink>
          </w:p>
        </w:tc>
        <w:tc>
          <w:tcPr>
            <w:tcW w:w="580" w:type="dxa"/>
            <w:vAlign w:val="bottom"/>
            <w:vMerge w:val="restart"/>
          </w:tcPr>
          <w:p>
            <w:pPr>
              <w:jc w:val="center"/>
              <w:ind w:right="6"/>
              <w:spacing w:after="0"/>
              <w:rPr>
                <w:sz w:val="20"/>
                <w:szCs w:val="20"/>
                <w:color w:val="auto"/>
              </w:rPr>
            </w:pPr>
            <w:r>
              <w:rPr>
                <w:rFonts w:ascii="Arial" w:cs="Arial" w:eastAsia="Arial" w:hAnsi="Arial"/>
                <w:sz w:val="11"/>
                <w:szCs w:val="11"/>
                <w:color w:val="auto"/>
                <w:w w:val="93"/>
              </w:rPr>
              <w:t>8-K</w:t>
            </w:r>
          </w:p>
        </w:tc>
        <w:tc>
          <w:tcPr>
            <w:tcW w:w="1020" w:type="dxa"/>
            <w:vAlign w:val="bottom"/>
            <w:vMerge w:val="restart"/>
          </w:tcPr>
          <w:p>
            <w:pPr>
              <w:jc w:val="right"/>
              <w:ind w:right="26"/>
              <w:spacing w:after="0"/>
              <w:rPr>
                <w:sz w:val="20"/>
                <w:szCs w:val="20"/>
                <w:color w:val="auto"/>
              </w:rPr>
            </w:pPr>
            <w:r>
              <w:rPr>
                <w:rFonts w:ascii="Arial" w:cs="Arial" w:eastAsia="Arial" w:hAnsi="Arial"/>
                <w:sz w:val="11"/>
                <w:szCs w:val="11"/>
                <w:color w:val="auto"/>
              </w:rPr>
              <w:t>001-35890</w:t>
            </w:r>
          </w:p>
        </w:tc>
        <w:tc>
          <w:tcPr>
            <w:tcW w:w="560" w:type="dxa"/>
            <w:vAlign w:val="bottom"/>
            <w:vMerge w:val="restart"/>
          </w:tcPr>
          <w:p>
            <w:pPr>
              <w:jc w:val="center"/>
              <w:ind w:right="6"/>
              <w:spacing w:after="0"/>
              <w:rPr>
                <w:sz w:val="20"/>
                <w:szCs w:val="20"/>
                <w:color w:val="auto"/>
              </w:rPr>
            </w:pPr>
            <w:r>
              <w:rPr>
                <w:rFonts w:ascii="Arial" w:cs="Arial" w:eastAsia="Arial" w:hAnsi="Arial"/>
                <w:sz w:val="11"/>
                <w:szCs w:val="11"/>
                <w:color w:val="auto"/>
                <w:w w:val="91"/>
              </w:rPr>
              <w:t>3.1</w:t>
            </w:r>
          </w:p>
        </w:tc>
        <w:tc>
          <w:tcPr>
            <w:tcW w:w="1540" w:type="dxa"/>
            <w:vAlign w:val="bottom"/>
            <w:vMerge w:val="restart"/>
          </w:tcPr>
          <w:p>
            <w:pPr>
              <w:jc w:val="right"/>
              <w:ind w:right="706"/>
              <w:spacing w:after="0"/>
              <w:rPr>
                <w:sz w:val="20"/>
                <w:szCs w:val="20"/>
                <w:color w:val="auto"/>
              </w:rPr>
            </w:pPr>
            <w:r>
              <w:rPr>
                <w:rFonts w:ascii="Arial" w:cs="Arial" w:eastAsia="Arial" w:hAnsi="Arial"/>
                <w:sz w:val="11"/>
                <w:szCs w:val="11"/>
                <w:color w:val="auto"/>
              </w:rPr>
              <w:t>6/28/2021</w:t>
            </w:r>
          </w:p>
        </w:tc>
        <w:tc>
          <w:tcPr>
            <w:tcW w:w="0" w:type="dxa"/>
            <w:vAlign w:val="bottom"/>
          </w:tcPr>
          <w:p>
            <w:pPr>
              <w:spacing w:after="0"/>
              <w:rPr>
                <w:sz w:val="1"/>
                <w:szCs w:val="1"/>
                <w:color w:val="auto"/>
              </w:rPr>
            </w:pPr>
          </w:p>
        </w:tc>
      </w:tr>
      <w:tr>
        <w:trPr>
          <w:trHeight w:val="103"/>
        </w:trPr>
        <w:tc>
          <w:tcPr>
            <w:tcW w:w="1280" w:type="dxa"/>
            <w:vAlign w:val="bottom"/>
            <w:vMerge w:val="continue"/>
          </w:tcPr>
          <w:p>
            <w:pPr>
              <w:spacing w:after="0"/>
              <w:rPr>
                <w:sz w:val="8"/>
                <w:szCs w:val="8"/>
                <w:color w:val="auto"/>
              </w:rPr>
            </w:pPr>
          </w:p>
        </w:tc>
        <w:tc>
          <w:tcPr>
            <w:tcW w:w="5580" w:type="dxa"/>
            <w:vAlign w:val="bottom"/>
            <w:tcBorders>
              <w:top w:val="single" w:sz="8" w:color="0000FF"/>
            </w:tcBorders>
            <w:gridSpan w:val="13"/>
          </w:tcPr>
          <w:p>
            <w:pPr>
              <w:spacing w:after="0" w:line="103" w:lineRule="exact"/>
              <w:rPr>
                <w:rFonts w:ascii="Arial" w:cs="Arial" w:eastAsia="Arial" w:hAnsi="Arial"/>
                <w:sz w:val="11"/>
                <w:szCs w:val="11"/>
                <w:color w:val="0000FF"/>
              </w:rPr>
            </w:pPr>
            <w:hyperlink r:id="rId99">
              <w:r>
                <w:rPr>
                  <w:rFonts w:ascii="Arial" w:cs="Arial" w:eastAsia="Arial" w:hAnsi="Arial"/>
                  <w:sz w:val="11"/>
                  <w:szCs w:val="11"/>
                  <w:color w:val="0000FF"/>
                </w:rPr>
                <w:t>State of Delaware on June 24, 2021</w:t>
              </w:r>
            </w:hyperlink>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280" w:type="dxa"/>
            <w:vAlign w:val="bottom"/>
            <w:vMerge w:val="restart"/>
          </w:tcPr>
          <w:p>
            <w:pPr>
              <w:jc w:val="right"/>
              <w:spacing w:after="0"/>
              <w:rPr>
                <w:sz w:val="20"/>
                <w:szCs w:val="20"/>
                <w:color w:val="auto"/>
              </w:rPr>
            </w:pPr>
            <w:r>
              <w:rPr>
                <w:rFonts w:ascii="Arial" w:cs="Arial" w:eastAsia="Arial" w:hAnsi="Arial"/>
                <w:sz w:val="11"/>
                <w:szCs w:val="11"/>
                <w:color w:val="auto"/>
              </w:rPr>
              <w:t>3.3</w:t>
            </w:r>
          </w:p>
        </w:tc>
        <w:tc>
          <w:tcPr>
            <w:tcW w:w="5820" w:type="dxa"/>
            <w:vAlign w:val="bottom"/>
            <w:gridSpan w:val="16"/>
          </w:tcPr>
          <w:p>
            <w:pPr>
              <w:spacing w:after="0"/>
              <w:rPr>
                <w:rFonts w:ascii="Arial" w:cs="Arial" w:eastAsia="Arial" w:hAnsi="Arial"/>
                <w:sz w:val="11"/>
                <w:szCs w:val="11"/>
                <w:color w:val="0000FF"/>
                <w:w w:val="93"/>
              </w:rPr>
            </w:pPr>
            <w:hyperlink r:id="rId100">
              <w:r>
                <w:rPr>
                  <w:rFonts w:ascii="Arial" w:cs="Arial" w:eastAsia="Arial" w:hAnsi="Arial"/>
                  <w:sz w:val="11"/>
                  <w:szCs w:val="11"/>
                  <w:color w:val="0000FF"/>
                  <w:w w:val="93"/>
                </w:rPr>
                <w:t>Certificate of Amendment to the Restated Certificate of Incorporation of the Company, as filed with the Secretary of State of the</w:t>
              </w:r>
            </w:hyperlink>
          </w:p>
        </w:tc>
        <w:tc>
          <w:tcPr>
            <w:tcW w:w="580" w:type="dxa"/>
            <w:vAlign w:val="bottom"/>
            <w:vMerge w:val="restart"/>
          </w:tcPr>
          <w:p>
            <w:pPr>
              <w:jc w:val="center"/>
              <w:ind w:right="6"/>
              <w:spacing w:after="0"/>
              <w:rPr>
                <w:sz w:val="20"/>
                <w:szCs w:val="20"/>
                <w:color w:val="auto"/>
              </w:rPr>
            </w:pPr>
            <w:r>
              <w:rPr>
                <w:rFonts w:ascii="Arial" w:cs="Arial" w:eastAsia="Arial" w:hAnsi="Arial"/>
                <w:sz w:val="11"/>
                <w:szCs w:val="11"/>
                <w:color w:val="auto"/>
                <w:w w:val="93"/>
              </w:rPr>
              <w:t>8-K</w:t>
            </w:r>
          </w:p>
        </w:tc>
        <w:tc>
          <w:tcPr>
            <w:tcW w:w="1020" w:type="dxa"/>
            <w:vAlign w:val="bottom"/>
            <w:vMerge w:val="restart"/>
          </w:tcPr>
          <w:p>
            <w:pPr>
              <w:jc w:val="right"/>
              <w:ind w:right="26"/>
              <w:spacing w:after="0"/>
              <w:rPr>
                <w:sz w:val="20"/>
                <w:szCs w:val="20"/>
                <w:color w:val="auto"/>
              </w:rPr>
            </w:pPr>
            <w:r>
              <w:rPr>
                <w:rFonts w:ascii="Arial" w:cs="Arial" w:eastAsia="Arial" w:hAnsi="Arial"/>
                <w:sz w:val="11"/>
                <w:szCs w:val="11"/>
                <w:color w:val="auto"/>
              </w:rPr>
              <w:t>001-35890</w:t>
            </w:r>
          </w:p>
        </w:tc>
        <w:tc>
          <w:tcPr>
            <w:tcW w:w="560" w:type="dxa"/>
            <w:vAlign w:val="bottom"/>
            <w:vMerge w:val="restart"/>
          </w:tcPr>
          <w:p>
            <w:pPr>
              <w:jc w:val="center"/>
              <w:ind w:right="6"/>
              <w:spacing w:after="0"/>
              <w:rPr>
                <w:sz w:val="20"/>
                <w:szCs w:val="20"/>
                <w:color w:val="auto"/>
              </w:rPr>
            </w:pPr>
            <w:r>
              <w:rPr>
                <w:rFonts w:ascii="Arial" w:cs="Arial" w:eastAsia="Arial" w:hAnsi="Arial"/>
                <w:sz w:val="11"/>
                <w:szCs w:val="11"/>
                <w:color w:val="auto"/>
                <w:w w:val="91"/>
              </w:rPr>
              <w:t>3.2</w:t>
            </w:r>
          </w:p>
        </w:tc>
        <w:tc>
          <w:tcPr>
            <w:tcW w:w="1540" w:type="dxa"/>
            <w:vAlign w:val="bottom"/>
            <w:vMerge w:val="restart"/>
          </w:tcPr>
          <w:p>
            <w:pPr>
              <w:jc w:val="right"/>
              <w:ind w:right="706"/>
              <w:spacing w:after="0"/>
              <w:rPr>
                <w:sz w:val="20"/>
                <w:szCs w:val="20"/>
                <w:color w:val="auto"/>
              </w:rPr>
            </w:pPr>
            <w:r>
              <w:rPr>
                <w:rFonts w:ascii="Arial" w:cs="Arial" w:eastAsia="Arial" w:hAnsi="Arial"/>
                <w:sz w:val="11"/>
                <w:szCs w:val="11"/>
                <w:color w:val="auto"/>
              </w:rPr>
              <w:t>6/28/2021</w:t>
            </w:r>
          </w:p>
        </w:tc>
        <w:tc>
          <w:tcPr>
            <w:tcW w:w="0" w:type="dxa"/>
            <w:vAlign w:val="bottom"/>
          </w:tcPr>
          <w:p>
            <w:pPr>
              <w:spacing w:after="0"/>
              <w:rPr>
                <w:sz w:val="1"/>
                <w:szCs w:val="1"/>
                <w:color w:val="auto"/>
              </w:rPr>
            </w:pPr>
          </w:p>
        </w:tc>
      </w:tr>
      <w:tr>
        <w:trPr>
          <w:trHeight w:val="103"/>
        </w:trPr>
        <w:tc>
          <w:tcPr>
            <w:tcW w:w="1280" w:type="dxa"/>
            <w:vAlign w:val="bottom"/>
            <w:vMerge w:val="continue"/>
          </w:tcPr>
          <w:p>
            <w:pPr>
              <w:spacing w:after="0"/>
              <w:rPr>
                <w:sz w:val="8"/>
                <w:szCs w:val="8"/>
                <w:color w:val="auto"/>
              </w:rPr>
            </w:pPr>
          </w:p>
        </w:tc>
        <w:tc>
          <w:tcPr>
            <w:tcW w:w="5580" w:type="dxa"/>
            <w:vAlign w:val="bottom"/>
            <w:tcBorders>
              <w:top w:val="single" w:sz="8" w:color="0000FF"/>
            </w:tcBorders>
            <w:gridSpan w:val="13"/>
          </w:tcPr>
          <w:p>
            <w:pPr>
              <w:spacing w:after="0" w:line="103" w:lineRule="exact"/>
              <w:rPr>
                <w:rFonts w:ascii="Arial" w:cs="Arial" w:eastAsia="Arial" w:hAnsi="Arial"/>
                <w:sz w:val="11"/>
                <w:szCs w:val="11"/>
                <w:color w:val="0000FF"/>
              </w:rPr>
            </w:pPr>
            <w:hyperlink r:id="rId100">
              <w:r>
                <w:rPr>
                  <w:rFonts w:ascii="Arial" w:cs="Arial" w:eastAsia="Arial" w:hAnsi="Arial"/>
                  <w:sz w:val="11"/>
                  <w:szCs w:val="11"/>
                  <w:color w:val="0000FF"/>
                </w:rPr>
                <w:t>State of Delaware on June 25, 2021</w:t>
              </w:r>
            </w:hyperlink>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280" w:type="dxa"/>
            <w:vAlign w:val="bottom"/>
          </w:tcPr>
          <w:p>
            <w:pPr>
              <w:jc w:val="right"/>
              <w:spacing w:after="0"/>
              <w:rPr>
                <w:sz w:val="20"/>
                <w:szCs w:val="20"/>
                <w:color w:val="auto"/>
              </w:rPr>
            </w:pPr>
            <w:r>
              <w:rPr>
                <w:rFonts w:ascii="Arial" w:cs="Arial" w:eastAsia="Arial" w:hAnsi="Arial"/>
                <w:sz w:val="11"/>
                <w:szCs w:val="11"/>
                <w:color w:val="auto"/>
              </w:rPr>
              <w:t>3.4</w:t>
            </w:r>
          </w:p>
        </w:tc>
        <w:tc>
          <w:tcPr>
            <w:tcW w:w="2120" w:type="dxa"/>
            <w:vAlign w:val="bottom"/>
            <w:tcBorders>
              <w:bottom w:val="single" w:sz="8" w:color="0000FF"/>
            </w:tcBorders>
            <w:gridSpan w:val="5"/>
          </w:tcPr>
          <w:p>
            <w:pPr>
              <w:spacing w:after="0"/>
              <w:rPr>
                <w:rFonts w:ascii="Arial" w:cs="Arial" w:eastAsia="Arial" w:hAnsi="Arial"/>
                <w:sz w:val="11"/>
                <w:szCs w:val="11"/>
                <w:color w:val="0000FF"/>
                <w:w w:val="88"/>
              </w:rPr>
            </w:pPr>
            <w:hyperlink r:id="rId101">
              <w:r>
                <w:rPr>
                  <w:rFonts w:ascii="Arial" w:cs="Arial" w:eastAsia="Arial" w:hAnsi="Arial"/>
                  <w:sz w:val="11"/>
                  <w:szCs w:val="11"/>
                  <w:color w:val="0000FF"/>
                  <w:w w:val="88"/>
                </w:rPr>
                <w:t>Amended and Restated Bylaws of the Registrant</w:t>
              </w:r>
            </w:hyperlink>
          </w:p>
        </w:tc>
        <w:tc>
          <w:tcPr>
            <w:tcW w:w="3700" w:type="dxa"/>
            <w:vAlign w:val="bottom"/>
            <w:gridSpan w:val="11"/>
          </w:tcPr>
          <w:p>
            <w:pPr>
              <w:spacing w:after="0"/>
              <w:rPr>
                <w:sz w:val="12"/>
                <w:szCs w:val="12"/>
                <w:color w:val="auto"/>
              </w:rPr>
            </w:pPr>
          </w:p>
        </w:tc>
        <w:tc>
          <w:tcPr>
            <w:tcW w:w="580" w:type="dxa"/>
            <w:vAlign w:val="bottom"/>
          </w:tcPr>
          <w:p>
            <w:pPr>
              <w:jc w:val="center"/>
              <w:ind w:right="6"/>
              <w:spacing w:after="0"/>
              <w:rPr>
                <w:sz w:val="20"/>
                <w:szCs w:val="20"/>
                <w:color w:val="auto"/>
              </w:rPr>
            </w:pPr>
            <w:r>
              <w:rPr>
                <w:rFonts w:ascii="Arial" w:cs="Arial" w:eastAsia="Arial" w:hAnsi="Arial"/>
                <w:sz w:val="11"/>
                <w:szCs w:val="11"/>
                <w:color w:val="auto"/>
                <w:w w:val="93"/>
              </w:rPr>
              <w:t>8-K</w:t>
            </w:r>
          </w:p>
        </w:tc>
        <w:tc>
          <w:tcPr>
            <w:tcW w:w="1020" w:type="dxa"/>
            <w:vAlign w:val="bottom"/>
          </w:tcPr>
          <w:p>
            <w:pPr>
              <w:jc w:val="right"/>
              <w:ind w:right="26"/>
              <w:spacing w:after="0"/>
              <w:rPr>
                <w:sz w:val="20"/>
                <w:szCs w:val="20"/>
                <w:color w:val="auto"/>
              </w:rPr>
            </w:pPr>
            <w:r>
              <w:rPr>
                <w:rFonts w:ascii="Arial" w:cs="Arial" w:eastAsia="Arial" w:hAnsi="Arial"/>
                <w:sz w:val="11"/>
                <w:szCs w:val="11"/>
                <w:color w:val="auto"/>
              </w:rPr>
              <w:t>001-35890</w:t>
            </w:r>
          </w:p>
        </w:tc>
        <w:tc>
          <w:tcPr>
            <w:tcW w:w="560" w:type="dxa"/>
            <w:vAlign w:val="bottom"/>
          </w:tcPr>
          <w:p>
            <w:pPr>
              <w:jc w:val="center"/>
              <w:ind w:right="6"/>
              <w:spacing w:after="0"/>
              <w:rPr>
                <w:sz w:val="20"/>
                <w:szCs w:val="20"/>
                <w:color w:val="auto"/>
              </w:rPr>
            </w:pPr>
            <w:r>
              <w:rPr>
                <w:rFonts w:ascii="Arial" w:cs="Arial" w:eastAsia="Arial" w:hAnsi="Arial"/>
                <w:sz w:val="11"/>
                <w:szCs w:val="11"/>
                <w:color w:val="auto"/>
                <w:w w:val="91"/>
              </w:rPr>
              <w:t>3.1</w:t>
            </w:r>
          </w:p>
        </w:tc>
        <w:tc>
          <w:tcPr>
            <w:tcW w:w="1540" w:type="dxa"/>
            <w:vAlign w:val="bottom"/>
          </w:tcPr>
          <w:p>
            <w:pPr>
              <w:jc w:val="right"/>
              <w:ind w:right="706"/>
              <w:spacing w:after="0"/>
              <w:rPr>
                <w:sz w:val="20"/>
                <w:szCs w:val="20"/>
                <w:color w:val="auto"/>
              </w:rPr>
            </w:pPr>
            <w:r>
              <w:rPr>
                <w:rFonts w:ascii="Arial" w:cs="Arial" w:eastAsia="Arial" w:hAnsi="Arial"/>
                <w:sz w:val="11"/>
                <w:szCs w:val="11"/>
                <w:color w:val="auto"/>
              </w:rPr>
              <w:t>8/9/2018</w:t>
            </w:r>
          </w:p>
        </w:tc>
        <w:tc>
          <w:tcPr>
            <w:tcW w:w="0" w:type="dxa"/>
            <w:vAlign w:val="bottom"/>
          </w:tcPr>
          <w:p>
            <w:pPr>
              <w:spacing w:after="0"/>
              <w:rPr>
                <w:sz w:val="1"/>
                <w:szCs w:val="1"/>
                <w:color w:val="auto"/>
              </w:rPr>
            </w:pPr>
          </w:p>
        </w:tc>
      </w:tr>
      <w:tr>
        <w:trPr>
          <w:trHeight w:val="143"/>
        </w:trPr>
        <w:tc>
          <w:tcPr>
            <w:tcW w:w="1280" w:type="dxa"/>
            <w:vAlign w:val="bottom"/>
          </w:tcPr>
          <w:p>
            <w:pPr>
              <w:jc w:val="right"/>
              <w:spacing w:after="0"/>
              <w:rPr>
                <w:sz w:val="20"/>
                <w:szCs w:val="20"/>
                <w:color w:val="auto"/>
              </w:rPr>
            </w:pPr>
            <w:r>
              <w:rPr>
                <w:rFonts w:ascii="Arial" w:cs="Arial" w:eastAsia="Arial" w:hAnsi="Arial"/>
                <w:sz w:val="11"/>
                <w:szCs w:val="11"/>
                <w:color w:val="auto"/>
              </w:rPr>
              <w:t>4.1</w:t>
            </w:r>
          </w:p>
        </w:tc>
        <w:tc>
          <w:tcPr>
            <w:tcW w:w="5820" w:type="dxa"/>
            <w:vAlign w:val="bottom"/>
            <w:gridSpan w:val="16"/>
          </w:tcPr>
          <w:p>
            <w:pPr>
              <w:spacing w:after="0"/>
              <w:rPr>
                <w:rFonts w:ascii="Arial" w:cs="Arial" w:eastAsia="Arial" w:hAnsi="Arial"/>
                <w:sz w:val="11"/>
                <w:szCs w:val="11"/>
                <w:color w:val="0000FF"/>
              </w:rPr>
            </w:pPr>
            <w:hyperlink r:id="rId102">
              <w:r>
                <w:rPr>
                  <w:rFonts w:ascii="Arial" w:cs="Arial" w:eastAsia="Arial" w:hAnsi="Arial"/>
                  <w:sz w:val="11"/>
                  <w:szCs w:val="11"/>
                  <w:color w:val="0000FF"/>
                </w:rPr>
                <w:t>Form of Indenture, between the Registrant and one or more trustees to be named</w:t>
              </w:r>
            </w:hyperlink>
          </w:p>
        </w:tc>
        <w:tc>
          <w:tcPr>
            <w:tcW w:w="580" w:type="dxa"/>
            <w:vAlign w:val="bottom"/>
          </w:tcPr>
          <w:p>
            <w:pPr>
              <w:jc w:val="center"/>
              <w:ind w:right="6"/>
              <w:spacing w:after="0"/>
              <w:rPr>
                <w:sz w:val="20"/>
                <w:szCs w:val="20"/>
                <w:color w:val="auto"/>
              </w:rPr>
            </w:pPr>
            <w:r>
              <w:rPr>
                <w:rFonts w:ascii="Arial" w:cs="Arial" w:eastAsia="Arial" w:hAnsi="Arial"/>
                <w:sz w:val="11"/>
                <w:szCs w:val="11"/>
                <w:color w:val="auto"/>
                <w:w w:val="93"/>
              </w:rPr>
              <w:t>S-3</w:t>
            </w:r>
          </w:p>
        </w:tc>
        <w:tc>
          <w:tcPr>
            <w:tcW w:w="1020" w:type="dxa"/>
            <w:vAlign w:val="bottom"/>
          </w:tcPr>
          <w:p>
            <w:pPr>
              <w:jc w:val="right"/>
              <w:ind w:right="26"/>
              <w:spacing w:after="0"/>
              <w:rPr>
                <w:sz w:val="20"/>
                <w:szCs w:val="20"/>
                <w:color w:val="auto"/>
              </w:rPr>
            </w:pPr>
            <w:r>
              <w:rPr>
                <w:rFonts w:ascii="Arial" w:cs="Arial" w:eastAsia="Arial" w:hAnsi="Arial"/>
                <w:sz w:val="11"/>
                <w:szCs w:val="11"/>
                <w:color w:val="auto"/>
              </w:rPr>
              <w:t>333-257990</w:t>
            </w:r>
          </w:p>
        </w:tc>
        <w:tc>
          <w:tcPr>
            <w:tcW w:w="560" w:type="dxa"/>
            <w:vAlign w:val="bottom"/>
          </w:tcPr>
          <w:p>
            <w:pPr>
              <w:jc w:val="center"/>
              <w:ind w:right="6"/>
              <w:spacing w:after="0"/>
              <w:rPr>
                <w:sz w:val="20"/>
                <w:szCs w:val="20"/>
                <w:color w:val="auto"/>
              </w:rPr>
            </w:pPr>
            <w:r>
              <w:rPr>
                <w:rFonts w:ascii="Arial" w:cs="Arial" w:eastAsia="Arial" w:hAnsi="Arial"/>
                <w:sz w:val="11"/>
                <w:szCs w:val="11"/>
                <w:color w:val="auto"/>
                <w:w w:val="91"/>
              </w:rPr>
              <w:t>4.4</w:t>
            </w:r>
          </w:p>
        </w:tc>
        <w:tc>
          <w:tcPr>
            <w:tcW w:w="1540" w:type="dxa"/>
            <w:vAlign w:val="bottom"/>
          </w:tcPr>
          <w:p>
            <w:pPr>
              <w:jc w:val="right"/>
              <w:ind w:right="706"/>
              <w:spacing w:after="0"/>
              <w:rPr>
                <w:sz w:val="20"/>
                <w:szCs w:val="20"/>
                <w:color w:val="auto"/>
              </w:rPr>
            </w:pPr>
            <w:r>
              <w:rPr>
                <w:rFonts w:ascii="Arial" w:cs="Arial" w:eastAsia="Arial" w:hAnsi="Arial"/>
                <w:sz w:val="11"/>
                <w:szCs w:val="11"/>
                <w:color w:val="auto"/>
              </w:rPr>
              <w:t>7/16/2021</w:t>
            </w:r>
          </w:p>
        </w:tc>
        <w:tc>
          <w:tcPr>
            <w:tcW w:w="0" w:type="dxa"/>
            <w:vAlign w:val="bottom"/>
          </w:tcPr>
          <w:p>
            <w:pPr>
              <w:spacing w:after="0"/>
              <w:rPr>
                <w:sz w:val="1"/>
                <w:szCs w:val="1"/>
                <w:color w:val="auto"/>
              </w:rPr>
            </w:pPr>
          </w:p>
        </w:tc>
      </w:tr>
      <w:tr>
        <w:trPr>
          <w:trHeight w:val="143"/>
        </w:trPr>
        <w:tc>
          <w:tcPr>
            <w:tcW w:w="1280" w:type="dxa"/>
            <w:vAlign w:val="bottom"/>
          </w:tcPr>
          <w:p>
            <w:pPr>
              <w:jc w:val="right"/>
              <w:spacing w:after="0"/>
              <w:rPr>
                <w:sz w:val="20"/>
                <w:szCs w:val="20"/>
                <w:color w:val="auto"/>
              </w:rPr>
            </w:pPr>
            <w:r>
              <w:rPr>
                <w:rFonts w:ascii="Arial" w:cs="Arial" w:eastAsia="Arial" w:hAnsi="Arial"/>
                <w:sz w:val="11"/>
                <w:szCs w:val="11"/>
                <w:color w:val="auto"/>
              </w:rPr>
              <w:t>10.1</w:t>
            </w:r>
          </w:p>
        </w:tc>
        <w:tc>
          <w:tcPr>
            <w:tcW w:w="3500" w:type="dxa"/>
            <w:vAlign w:val="bottom"/>
            <w:tcBorders>
              <w:top w:val="single" w:sz="8" w:color="0000FF"/>
            </w:tcBorders>
            <w:gridSpan w:val="7"/>
          </w:tcPr>
          <w:p>
            <w:pPr>
              <w:spacing w:after="0"/>
              <w:rPr>
                <w:rFonts w:ascii="Arial" w:cs="Arial" w:eastAsia="Arial" w:hAnsi="Arial"/>
                <w:sz w:val="11"/>
                <w:szCs w:val="11"/>
                <w:color w:val="0000FF"/>
              </w:rPr>
            </w:pPr>
            <w:hyperlink r:id="rId103">
              <w:r>
                <w:rPr>
                  <w:rFonts w:ascii="Arial" w:cs="Arial" w:eastAsia="Arial" w:hAnsi="Arial"/>
                  <w:sz w:val="11"/>
                  <w:szCs w:val="11"/>
                  <w:color w:val="0000FF"/>
                </w:rPr>
                <w:t>Form of Indemnification Agreement</w:t>
              </w:r>
            </w:hyperlink>
          </w:p>
        </w:tc>
        <w:tc>
          <w:tcPr>
            <w:tcW w:w="2320" w:type="dxa"/>
            <w:vAlign w:val="bottom"/>
            <w:gridSpan w:val="9"/>
          </w:tcPr>
          <w:p>
            <w:pPr>
              <w:spacing w:after="0"/>
              <w:rPr>
                <w:sz w:val="12"/>
                <w:szCs w:val="12"/>
                <w:color w:val="auto"/>
              </w:rPr>
            </w:pPr>
          </w:p>
        </w:tc>
        <w:tc>
          <w:tcPr>
            <w:tcW w:w="580" w:type="dxa"/>
            <w:vAlign w:val="bottom"/>
          </w:tcPr>
          <w:p>
            <w:pPr>
              <w:jc w:val="center"/>
              <w:ind w:right="6"/>
              <w:spacing w:after="0"/>
              <w:rPr>
                <w:sz w:val="20"/>
                <w:szCs w:val="20"/>
                <w:color w:val="auto"/>
              </w:rPr>
            </w:pPr>
            <w:r>
              <w:rPr>
                <w:rFonts w:ascii="Arial" w:cs="Arial" w:eastAsia="Arial" w:hAnsi="Arial"/>
                <w:sz w:val="11"/>
                <w:szCs w:val="11"/>
                <w:color w:val="auto"/>
                <w:w w:val="93"/>
              </w:rPr>
              <w:t>8-K</w:t>
            </w:r>
          </w:p>
        </w:tc>
        <w:tc>
          <w:tcPr>
            <w:tcW w:w="1020" w:type="dxa"/>
            <w:vAlign w:val="bottom"/>
          </w:tcPr>
          <w:p>
            <w:pPr>
              <w:jc w:val="right"/>
              <w:ind w:right="26"/>
              <w:spacing w:after="0"/>
              <w:rPr>
                <w:sz w:val="20"/>
                <w:szCs w:val="20"/>
                <w:color w:val="auto"/>
              </w:rPr>
            </w:pPr>
            <w:r>
              <w:rPr>
                <w:rFonts w:ascii="Arial" w:cs="Arial" w:eastAsia="Arial" w:hAnsi="Arial"/>
                <w:sz w:val="11"/>
                <w:szCs w:val="11"/>
                <w:color w:val="auto"/>
              </w:rPr>
              <w:t>001-35890</w:t>
            </w:r>
          </w:p>
        </w:tc>
        <w:tc>
          <w:tcPr>
            <w:tcW w:w="560" w:type="dxa"/>
            <w:vAlign w:val="bottom"/>
          </w:tcPr>
          <w:p>
            <w:pPr>
              <w:jc w:val="center"/>
              <w:ind w:right="6"/>
              <w:spacing w:after="0"/>
              <w:rPr>
                <w:sz w:val="20"/>
                <w:szCs w:val="20"/>
                <w:color w:val="auto"/>
              </w:rPr>
            </w:pPr>
            <w:r>
              <w:rPr>
                <w:rFonts w:ascii="Arial" w:cs="Arial" w:eastAsia="Arial" w:hAnsi="Arial"/>
                <w:sz w:val="11"/>
                <w:szCs w:val="11"/>
                <w:color w:val="auto"/>
                <w:w w:val="83"/>
              </w:rPr>
              <w:t>10.1</w:t>
            </w:r>
          </w:p>
        </w:tc>
        <w:tc>
          <w:tcPr>
            <w:tcW w:w="1540" w:type="dxa"/>
            <w:vAlign w:val="bottom"/>
          </w:tcPr>
          <w:p>
            <w:pPr>
              <w:jc w:val="right"/>
              <w:ind w:right="706"/>
              <w:spacing w:after="0"/>
              <w:rPr>
                <w:sz w:val="20"/>
                <w:szCs w:val="20"/>
                <w:color w:val="auto"/>
              </w:rPr>
            </w:pPr>
            <w:r>
              <w:rPr>
                <w:rFonts w:ascii="Arial" w:cs="Arial" w:eastAsia="Arial" w:hAnsi="Arial"/>
                <w:sz w:val="11"/>
                <w:szCs w:val="11"/>
                <w:color w:val="auto"/>
              </w:rPr>
              <w:t>7/7/2021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280" w:type="dxa"/>
            <w:vAlign w:val="bottom"/>
          </w:tcPr>
          <w:p>
            <w:pPr>
              <w:jc w:val="right"/>
              <w:spacing w:after="0"/>
              <w:rPr>
                <w:sz w:val="20"/>
                <w:szCs w:val="20"/>
                <w:color w:val="auto"/>
              </w:rPr>
            </w:pPr>
            <w:r>
              <w:rPr>
                <w:rFonts w:ascii="Arial" w:cs="Arial" w:eastAsia="Arial" w:hAnsi="Arial"/>
                <w:sz w:val="11"/>
                <w:szCs w:val="11"/>
                <w:color w:val="auto"/>
              </w:rPr>
              <w:t>10.2</w:t>
            </w:r>
          </w:p>
        </w:tc>
        <w:tc>
          <w:tcPr>
            <w:tcW w:w="5820" w:type="dxa"/>
            <w:vAlign w:val="bottom"/>
            <w:gridSpan w:val="16"/>
          </w:tcPr>
          <w:p>
            <w:pPr>
              <w:spacing w:after="0"/>
              <w:rPr>
                <w:rFonts w:ascii="Arial" w:cs="Arial" w:eastAsia="Arial" w:hAnsi="Arial"/>
                <w:sz w:val="11"/>
                <w:szCs w:val="11"/>
                <w:color w:val="0000FF"/>
              </w:rPr>
            </w:pPr>
            <w:hyperlink r:id="rId103">
              <w:r>
                <w:rPr>
                  <w:rFonts w:ascii="Arial" w:cs="Arial" w:eastAsia="Arial" w:hAnsi="Arial"/>
                  <w:sz w:val="11"/>
                  <w:szCs w:val="11"/>
                  <w:color w:val="0000FF"/>
                </w:rPr>
                <w:t>Employment Agreement, dated July 7, 2021, by and between the Registrant and Stephen Brady</w:t>
              </w:r>
            </w:hyperlink>
          </w:p>
        </w:tc>
        <w:tc>
          <w:tcPr>
            <w:tcW w:w="580" w:type="dxa"/>
            <w:vAlign w:val="bottom"/>
          </w:tcPr>
          <w:p>
            <w:pPr>
              <w:jc w:val="center"/>
              <w:ind w:right="6"/>
              <w:spacing w:after="0"/>
              <w:rPr>
                <w:sz w:val="20"/>
                <w:szCs w:val="20"/>
                <w:color w:val="auto"/>
              </w:rPr>
            </w:pPr>
            <w:r>
              <w:rPr>
                <w:rFonts w:ascii="Arial" w:cs="Arial" w:eastAsia="Arial" w:hAnsi="Arial"/>
                <w:sz w:val="11"/>
                <w:szCs w:val="11"/>
                <w:color w:val="auto"/>
                <w:w w:val="93"/>
              </w:rPr>
              <w:t>8-K</w:t>
            </w:r>
          </w:p>
        </w:tc>
        <w:tc>
          <w:tcPr>
            <w:tcW w:w="1020" w:type="dxa"/>
            <w:vAlign w:val="bottom"/>
          </w:tcPr>
          <w:p>
            <w:pPr>
              <w:jc w:val="right"/>
              <w:ind w:right="26"/>
              <w:spacing w:after="0"/>
              <w:rPr>
                <w:sz w:val="20"/>
                <w:szCs w:val="20"/>
                <w:color w:val="auto"/>
              </w:rPr>
            </w:pPr>
            <w:r>
              <w:rPr>
                <w:rFonts w:ascii="Arial" w:cs="Arial" w:eastAsia="Arial" w:hAnsi="Arial"/>
                <w:sz w:val="11"/>
                <w:szCs w:val="11"/>
                <w:color w:val="auto"/>
              </w:rPr>
              <w:t>001-35890</w:t>
            </w:r>
          </w:p>
        </w:tc>
        <w:tc>
          <w:tcPr>
            <w:tcW w:w="560" w:type="dxa"/>
            <w:vAlign w:val="bottom"/>
          </w:tcPr>
          <w:p>
            <w:pPr>
              <w:jc w:val="center"/>
              <w:ind w:right="6"/>
              <w:spacing w:after="0"/>
              <w:rPr>
                <w:sz w:val="20"/>
                <w:szCs w:val="20"/>
                <w:color w:val="auto"/>
              </w:rPr>
            </w:pPr>
            <w:r>
              <w:rPr>
                <w:rFonts w:ascii="Arial" w:cs="Arial" w:eastAsia="Arial" w:hAnsi="Arial"/>
                <w:sz w:val="11"/>
                <w:szCs w:val="11"/>
                <w:color w:val="auto"/>
                <w:w w:val="83"/>
              </w:rPr>
              <w:t>10.2</w:t>
            </w:r>
          </w:p>
        </w:tc>
        <w:tc>
          <w:tcPr>
            <w:tcW w:w="1540" w:type="dxa"/>
            <w:vAlign w:val="bottom"/>
          </w:tcPr>
          <w:p>
            <w:pPr>
              <w:jc w:val="right"/>
              <w:ind w:right="706"/>
              <w:spacing w:after="0"/>
              <w:rPr>
                <w:sz w:val="20"/>
                <w:szCs w:val="20"/>
                <w:color w:val="auto"/>
              </w:rPr>
            </w:pPr>
            <w:r>
              <w:rPr>
                <w:rFonts w:ascii="Arial" w:cs="Arial" w:eastAsia="Arial" w:hAnsi="Arial"/>
                <w:sz w:val="11"/>
                <w:szCs w:val="11"/>
                <w:color w:val="auto"/>
              </w:rPr>
              <w:t>7/7/2021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280" w:type="dxa"/>
            <w:vAlign w:val="bottom"/>
          </w:tcPr>
          <w:p>
            <w:pPr>
              <w:jc w:val="right"/>
              <w:spacing w:after="0"/>
              <w:rPr>
                <w:sz w:val="20"/>
                <w:szCs w:val="20"/>
                <w:color w:val="auto"/>
              </w:rPr>
            </w:pPr>
            <w:r>
              <w:rPr>
                <w:rFonts w:ascii="Arial" w:cs="Arial" w:eastAsia="Arial" w:hAnsi="Arial"/>
                <w:sz w:val="11"/>
                <w:szCs w:val="11"/>
                <w:color w:val="auto"/>
              </w:rPr>
              <w:t>10.3</w:t>
            </w:r>
          </w:p>
        </w:tc>
        <w:tc>
          <w:tcPr>
            <w:tcW w:w="4620" w:type="dxa"/>
            <w:vAlign w:val="bottom"/>
            <w:tcBorders>
              <w:bottom w:val="single" w:sz="8" w:color="0000FF"/>
            </w:tcBorders>
            <w:gridSpan w:val="10"/>
          </w:tcPr>
          <w:p>
            <w:pPr>
              <w:spacing w:after="0"/>
              <w:rPr>
                <w:rFonts w:ascii="Arial" w:cs="Arial" w:eastAsia="Arial" w:hAnsi="Arial"/>
                <w:sz w:val="11"/>
                <w:szCs w:val="11"/>
                <w:color w:val="0000FF"/>
                <w:w w:val="88"/>
              </w:rPr>
            </w:pPr>
            <w:hyperlink r:id="rId103">
              <w:r>
                <w:rPr>
                  <w:rFonts w:ascii="Arial" w:cs="Arial" w:eastAsia="Arial" w:hAnsi="Arial"/>
                  <w:sz w:val="11"/>
                  <w:szCs w:val="11"/>
                  <w:color w:val="0000FF"/>
                  <w:w w:val="88"/>
                </w:rPr>
                <w:t>Employment Agreement, dated July 7, 2021, by and between the Registrant and Thomas Dubensky, Ph.D.</w:t>
              </w:r>
            </w:hyperlink>
          </w:p>
        </w:tc>
        <w:tc>
          <w:tcPr>
            <w:tcW w:w="1200" w:type="dxa"/>
            <w:vAlign w:val="bottom"/>
            <w:gridSpan w:val="6"/>
          </w:tcPr>
          <w:p>
            <w:pPr>
              <w:spacing w:after="0"/>
              <w:rPr>
                <w:sz w:val="12"/>
                <w:szCs w:val="12"/>
                <w:color w:val="auto"/>
              </w:rPr>
            </w:pPr>
          </w:p>
        </w:tc>
        <w:tc>
          <w:tcPr>
            <w:tcW w:w="580" w:type="dxa"/>
            <w:vAlign w:val="bottom"/>
          </w:tcPr>
          <w:p>
            <w:pPr>
              <w:jc w:val="center"/>
              <w:ind w:right="6"/>
              <w:spacing w:after="0"/>
              <w:rPr>
                <w:sz w:val="20"/>
                <w:szCs w:val="20"/>
                <w:color w:val="auto"/>
              </w:rPr>
            </w:pPr>
            <w:r>
              <w:rPr>
                <w:rFonts w:ascii="Arial" w:cs="Arial" w:eastAsia="Arial" w:hAnsi="Arial"/>
                <w:sz w:val="11"/>
                <w:szCs w:val="11"/>
                <w:color w:val="auto"/>
                <w:w w:val="93"/>
              </w:rPr>
              <w:t>8-K</w:t>
            </w:r>
          </w:p>
        </w:tc>
        <w:tc>
          <w:tcPr>
            <w:tcW w:w="1020" w:type="dxa"/>
            <w:vAlign w:val="bottom"/>
          </w:tcPr>
          <w:p>
            <w:pPr>
              <w:jc w:val="right"/>
              <w:ind w:right="26"/>
              <w:spacing w:after="0"/>
              <w:rPr>
                <w:sz w:val="20"/>
                <w:szCs w:val="20"/>
                <w:color w:val="auto"/>
              </w:rPr>
            </w:pPr>
            <w:r>
              <w:rPr>
                <w:rFonts w:ascii="Arial" w:cs="Arial" w:eastAsia="Arial" w:hAnsi="Arial"/>
                <w:sz w:val="11"/>
                <w:szCs w:val="11"/>
                <w:color w:val="auto"/>
              </w:rPr>
              <w:t>001-35890</w:t>
            </w:r>
          </w:p>
        </w:tc>
        <w:tc>
          <w:tcPr>
            <w:tcW w:w="560" w:type="dxa"/>
            <w:vAlign w:val="bottom"/>
          </w:tcPr>
          <w:p>
            <w:pPr>
              <w:jc w:val="center"/>
              <w:ind w:right="6"/>
              <w:spacing w:after="0"/>
              <w:rPr>
                <w:sz w:val="20"/>
                <w:szCs w:val="20"/>
                <w:color w:val="auto"/>
              </w:rPr>
            </w:pPr>
            <w:r>
              <w:rPr>
                <w:rFonts w:ascii="Arial" w:cs="Arial" w:eastAsia="Arial" w:hAnsi="Arial"/>
                <w:sz w:val="11"/>
                <w:szCs w:val="11"/>
                <w:color w:val="auto"/>
                <w:w w:val="83"/>
              </w:rPr>
              <w:t>10.3</w:t>
            </w:r>
          </w:p>
        </w:tc>
        <w:tc>
          <w:tcPr>
            <w:tcW w:w="1540" w:type="dxa"/>
            <w:vAlign w:val="bottom"/>
          </w:tcPr>
          <w:p>
            <w:pPr>
              <w:jc w:val="right"/>
              <w:ind w:right="706"/>
              <w:spacing w:after="0"/>
              <w:rPr>
                <w:sz w:val="20"/>
                <w:szCs w:val="20"/>
                <w:color w:val="auto"/>
              </w:rPr>
            </w:pPr>
            <w:r>
              <w:rPr>
                <w:rFonts w:ascii="Arial" w:cs="Arial" w:eastAsia="Arial" w:hAnsi="Arial"/>
                <w:sz w:val="11"/>
                <w:szCs w:val="11"/>
                <w:color w:val="auto"/>
              </w:rPr>
              <w:t>7/7/2021</w:t>
            </w:r>
          </w:p>
        </w:tc>
        <w:tc>
          <w:tcPr>
            <w:tcW w:w="0" w:type="dxa"/>
            <w:vAlign w:val="bottom"/>
          </w:tcPr>
          <w:p>
            <w:pPr>
              <w:spacing w:after="0"/>
              <w:rPr>
                <w:sz w:val="1"/>
                <w:szCs w:val="1"/>
                <w:color w:val="auto"/>
              </w:rPr>
            </w:pPr>
          </w:p>
        </w:tc>
      </w:tr>
      <w:tr>
        <w:trPr>
          <w:trHeight w:val="143"/>
        </w:trPr>
        <w:tc>
          <w:tcPr>
            <w:tcW w:w="1280" w:type="dxa"/>
            <w:vAlign w:val="bottom"/>
          </w:tcPr>
          <w:p>
            <w:pPr>
              <w:jc w:val="right"/>
              <w:spacing w:after="0"/>
              <w:rPr>
                <w:sz w:val="20"/>
                <w:szCs w:val="20"/>
                <w:color w:val="auto"/>
              </w:rPr>
            </w:pPr>
            <w:r>
              <w:rPr>
                <w:rFonts w:ascii="Arial" w:cs="Arial" w:eastAsia="Arial" w:hAnsi="Arial"/>
                <w:sz w:val="11"/>
                <w:szCs w:val="11"/>
                <w:color w:val="auto"/>
              </w:rPr>
              <w:t>10.4</w:t>
            </w:r>
          </w:p>
        </w:tc>
        <w:tc>
          <w:tcPr>
            <w:tcW w:w="5820" w:type="dxa"/>
            <w:vAlign w:val="bottom"/>
            <w:gridSpan w:val="16"/>
          </w:tcPr>
          <w:p>
            <w:pPr>
              <w:spacing w:after="0"/>
              <w:rPr>
                <w:rFonts w:ascii="Arial" w:cs="Arial" w:eastAsia="Arial" w:hAnsi="Arial"/>
                <w:sz w:val="11"/>
                <w:szCs w:val="11"/>
                <w:color w:val="0000FF"/>
              </w:rPr>
            </w:pPr>
            <w:hyperlink r:id="rId103">
              <w:r>
                <w:rPr>
                  <w:rFonts w:ascii="Arial" w:cs="Arial" w:eastAsia="Arial" w:hAnsi="Arial"/>
                  <w:sz w:val="11"/>
                  <w:szCs w:val="11"/>
                  <w:color w:val="0000FF"/>
                </w:rPr>
                <w:t>Employment Agreement, dated July 7, 2021, by and between the Registrant and Samuel Whiting, M.D., Ph.D.</w:t>
              </w:r>
            </w:hyperlink>
          </w:p>
        </w:tc>
        <w:tc>
          <w:tcPr>
            <w:tcW w:w="580" w:type="dxa"/>
            <w:vAlign w:val="bottom"/>
          </w:tcPr>
          <w:p>
            <w:pPr>
              <w:jc w:val="center"/>
              <w:ind w:right="6"/>
              <w:spacing w:after="0"/>
              <w:rPr>
                <w:sz w:val="20"/>
                <w:szCs w:val="20"/>
                <w:color w:val="auto"/>
              </w:rPr>
            </w:pPr>
            <w:r>
              <w:rPr>
                <w:rFonts w:ascii="Arial" w:cs="Arial" w:eastAsia="Arial" w:hAnsi="Arial"/>
                <w:sz w:val="11"/>
                <w:szCs w:val="11"/>
                <w:color w:val="auto"/>
                <w:w w:val="93"/>
              </w:rPr>
              <w:t>8-K</w:t>
            </w:r>
          </w:p>
        </w:tc>
        <w:tc>
          <w:tcPr>
            <w:tcW w:w="1020" w:type="dxa"/>
            <w:vAlign w:val="bottom"/>
          </w:tcPr>
          <w:p>
            <w:pPr>
              <w:jc w:val="right"/>
              <w:ind w:right="26"/>
              <w:spacing w:after="0"/>
              <w:rPr>
                <w:sz w:val="20"/>
                <w:szCs w:val="20"/>
                <w:color w:val="auto"/>
              </w:rPr>
            </w:pPr>
            <w:r>
              <w:rPr>
                <w:rFonts w:ascii="Arial" w:cs="Arial" w:eastAsia="Arial" w:hAnsi="Arial"/>
                <w:sz w:val="11"/>
                <w:szCs w:val="11"/>
                <w:color w:val="auto"/>
              </w:rPr>
              <w:t>001-35890</w:t>
            </w:r>
          </w:p>
        </w:tc>
        <w:tc>
          <w:tcPr>
            <w:tcW w:w="560" w:type="dxa"/>
            <w:vAlign w:val="bottom"/>
          </w:tcPr>
          <w:p>
            <w:pPr>
              <w:jc w:val="center"/>
              <w:ind w:right="6"/>
              <w:spacing w:after="0"/>
              <w:rPr>
                <w:sz w:val="20"/>
                <w:szCs w:val="20"/>
                <w:color w:val="auto"/>
              </w:rPr>
            </w:pPr>
            <w:r>
              <w:rPr>
                <w:rFonts w:ascii="Arial" w:cs="Arial" w:eastAsia="Arial" w:hAnsi="Arial"/>
                <w:sz w:val="11"/>
                <w:szCs w:val="11"/>
                <w:color w:val="auto"/>
                <w:w w:val="83"/>
              </w:rPr>
              <w:t>10.4</w:t>
            </w:r>
          </w:p>
        </w:tc>
        <w:tc>
          <w:tcPr>
            <w:tcW w:w="1540" w:type="dxa"/>
            <w:vAlign w:val="bottom"/>
          </w:tcPr>
          <w:p>
            <w:pPr>
              <w:jc w:val="right"/>
              <w:ind w:right="706"/>
              <w:spacing w:after="0"/>
              <w:rPr>
                <w:sz w:val="20"/>
                <w:szCs w:val="20"/>
                <w:color w:val="auto"/>
              </w:rPr>
            </w:pPr>
            <w:r>
              <w:rPr>
                <w:rFonts w:ascii="Arial" w:cs="Arial" w:eastAsia="Arial" w:hAnsi="Arial"/>
                <w:sz w:val="11"/>
                <w:szCs w:val="11"/>
                <w:color w:val="auto"/>
              </w:rPr>
              <w:t>7/7/2021</w:t>
            </w:r>
          </w:p>
        </w:tc>
        <w:tc>
          <w:tcPr>
            <w:tcW w:w="0" w:type="dxa"/>
            <w:vAlign w:val="bottom"/>
          </w:tcPr>
          <w:p>
            <w:pPr>
              <w:spacing w:after="0"/>
              <w:rPr>
                <w:sz w:val="1"/>
                <w:szCs w:val="1"/>
                <w:color w:val="auto"/>
              </w:rPr>
            </w:pPr>
          </w:p>
        </w:tc>
      </w:tr>
      <w:tr>
        <w:trPr>
          <w:trHeight w:val="165"/>
        </w:trPr>
        <w:tc>
          <w:tcPr>
            <w:tcW w:w="1280" w:type="dxa"/>
            <w:vAlign w:val="bottom"/>
          </w:tcPr>
          <w:p>
            <w:pPr>
              <w:jc w:val="right"/>
              <w:spacing w:after="0"/>
              <w:rPr>
                <w:sz w:val="20"/>
                <w:szCs w:val="20"/>
                <w:color w:val="auto"/>
              </w:rPr>
            </w:pPr>
            <w:r>
              <w:rPr>
                <w:rFonts w:ascii="Arial" w:cs="Arial" w:eastAsia="Arial" w:hAnsi="Arial"/>
                <w:sz w:val="11"/>
                <w:szCs w:val="11"/>
                <w:color w:val="auto"/>
              </w:rPr>
              <w:t>10.5</w:t>
            </w:r>
          </w:p>
        </w:tc>
        <w:tc>
          <w:tcPr>
            <w:tcW w:w="4800" w:type="dxa"/>
            <w:vAlign w:val="bottom"/>
            <w:tcBorders>
              <w:top w:val="single" w:sz="8" w:color="0000FF"/>
            </w:tcBorders>
            <w:gridSpan w:val="11"/>
          </w:tcPr>
          <w:p>
            <w:pPr>
              <w:spacing w:after="0"/>
              <w:rPr>
                <w:sz w:val="20"/>
                <w:szCs w:val="20"/>
                <w:color w:val="auto"/>
              </w:rPr>
            </w:pPr>
            <w:r>
              <w:rPr>
                <w:rFonts w:ascii="Arial" w:cs="Arial" w:eastAsia="Arial" w:hAnsi="Arial"/>
                <w:sz w:val="11"/>
                <w:szCs w:val="11"/>
                <w:color w:val="auto"/>
              </w:rPr>
              <w:t>Non-Employee Director Compensation Policy</w:t>
            </w:r>
          </w:p>
        </w:tc>
        <w:tc>
          <w:tcPr>
            <w:tcW w:w="1020" w:type="dxa"/>
            <w:vAlign w:val="bottom"/>
            <w:gridSpan w:val="5"/>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vMerge w:val="restart"/>
          </w:tcPr>
          <w:p>
            <w:pPr>
              <w:jc w:val="right"/>
              <w:spacing w:after="0"/>
              <w:rPr>
                <w:sz w:val="20"/>
                <w:szCs w:val="20"/>
                <w:color w:val="auto"/>
              </w:rPr>
            </w:pPr>
            <w:r>
              <w:rPr>
                <w:rFonts w:ascii="Arial" w:cs="Arial" w:eastAsia="Arial" w:hAnsi="Arial"/>
                <w:sz w:val="11"/>
                <w:szCs w:val="11"/>
                <w:color w:val="auto"/>
              </w:rPr>
              <w:t>31.1</w:t>
            </w:r>
          </w:p>
        </w:tc>
        <w:tc>
          <w:tcPr>
            <w:tcW w:w="5820" w:type="dxa"/>
            <w:vAlign w:val="bottom"/>
            <w:gridSpan w:val="16"/>
          </w:tcPr>
          <w:p>
            <w:pPr>
              <w:spacing w:after="0"/>
              <w:rPr>
                <w:rFonts w:ascii="Arial" w:cs="Arial" w:eastAsia="Arial" w:hAnsi="Arial"/>
                <w:sz w:val="11"/>
                <w:szCs w:val="11"/>
                <w:color w:val="0000FF"/>
                <w:w w:val="90"/>
              </w:rPr>
            </w:pPr>
            <w:hyperlink w:anchor="page78">
              <w:r>
                <w:rPr>
                  <w:rFonts w:ascii="Arial" w:cs="Arial" w:eastAsia="Arial" w:hAnsi="Arial"/>
                  <w:sz w:val="11"/>
                  <w:szCs w:val="11"/>
                  <w:color w:val="0000FF"/>
                  <w:w w:val="90"/>
                </w:rPr>
                <w:t>Certification of Principal Executive Officer pursuant to Exchange Act Rules 13a-14(a) and 15d-14(a), as adopted pursuant to Section</w:t>
              </w:r>
            </w:hyperlink>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vMerge w:val="restart"/>
          </w:tcPr>
          <w:p>
            <w:pPr>
              <w:jc w:val="right"/>
              <w:ind w:right="286"/>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03"/>
        </w:trPr>
        <w:tc>
          <w:tcPr>
            <w:tcW w:w="1280" w:type="dxa"/>
            <w:vAlign w:val="bottom"/>
            <w:vMerge w:val="continue"/>
          </w:tcPr>
          <w:p>
            <w:pPr>
              <w:spacing w:after="0"/>
              <w:rPr>
                <w:sz w:val="8"/>
                <w:szCs w:val="8"/>
                <w:color w:val="auto"/>
              </w:rPr>
            </w:pPr>
          </w:p>
        </w:tc>
        <w:tc>
          <w:tcPr>
            <w:tcW w:w="5800" w:type="dxa"/>
            <w:vAlign w:val="bottom"/>
            <w:tcBorders>
              <w:top w:val="single" w:sz="8" w:color="0000FF"/>
            </w:tcBorders>
            <w:gridSpan w:val="15"/>
          </w:tcPr>
          <w:p>
            <w:pPr>
              <w:spacing w:after="0" w:line="103" w:lineRule="exact"/>
              <w:rPr>
                <w:rFonts w:ascii="Arial" w:cs="Arial" w:eastAsia="Arial" w:hAnsi="Arial"/>
                <w:sz w:val="11"/>
                <w:szCs w:val="11"/>
                <w:color w:val="0000FF"/>
              </w:rPr>
            </w:pPr>
            <w:hyperlink w:anchor="page78">
              <w:r>
                <w:rPr>
                  <w:rFonts w:ascii="Arial" w:cs="Arial" w:eastAsia="Arial" w:hAnsi="Arial"/>
                  <w:sz w:val="11"/>
                  <w:szCs w:val="11"/>
                  <w:color w:val="0000FF"/>
                </w:rPr>
                <w:t>302 of the Sarbanes-Oxley Act of 2002</w:t>
              </w:r>
            </w:hyperlink>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280" w:type="dxa"/>
            <w:vAlign w:val="bottom"/>
            <w:vMerge w:val="restart"/>
          </w:tcPr>
          <w:p>
            <w:pPr>
              <w:jc w:val="right"/>
              <w:spacing w:after="0"/>
              <w:rPr>
                <w:sz w:val="20"/>
                <w:szCs w:val="20"/>
                <w:color w:val="auto"/>
              </w:rPr>
            </w:pPr>
            <w:r>
              <w:rPr>
                <w:rFonts w:ascii="Arial" w:cs="Arial" w:eastAsia="Arial" w:hAnsi="Arial"/>
                <w:sz w:val="11"/>
                <w:szCs w:val="11"/>
                <w:color w:val="auto"/>
              </w:rPr>
              <w:t>31.2</w:t>
            </w:r>
          </w:p>
        </w:tc>
        <w:tc>
          <w:tcPr>
            <w:tcW w:w="5820" w:type="dxa"/>
            <w:vAlign w:val="bottom"/>
            <w:gridSpan w:val="16"/>
          </w:tcPr>
          <w:p>
            <w:pPr>
              <w:spacing w:after="0"/>
              <w:rPr>
                <w:rFonts w:ascii="Arial" w:cs="Arial" w:eastAsia="Arial" w:hAnsi="Arial"/>
                <w:sz w:val="11"/>
                <w:szCs w:val="11"/>
                <w:color w:val="0000FF"/>
                <w:w w:val="90"/>
              </w:rPr>
            </w:pPr>
            <w:hyperlink w:anchor="page79">
              <w:r>
                <w:rPr>
                  <w:rFonts w:ascii="Arial" w:cs="Arial" w:eastAsia="Arial" w:hAnsi="Arial"/>
                  <w:sz w:val="11"/>
                  <w:szCs w:val="11"/>
                  <w:color w:val="0000FF"/>
                  <w:w w:val="90"/>
                </w:rPr>
                <w:t>Certification of Principal Financial Officer pursuant to Exchange Act Rules 13a-14(a) and 15d-14(a), as adopted pursuant to Section</w:t>
              </w:r>
            </w:hyperlink>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vMerge w:val="restart"/>
          </w:tcPr>
          <w:p>
            <w:pPr>
              <w:jc w:val="right"/>
              <w:ind w:right="286"/>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03"/>
        </w:trPr>
        <w:tc>
          <w:tcPr>
            <w:tcW w:w="1280" w:type="dxa"/>
            <w:vAlign w:val="bottom"/>
            <w:vMerge w:val="continue"/>
          </w:tcPr>
          <w:p>
            <w:pPr>
              <w:spacing w:after="0"/>
              <w:rPr>
                <w:sz w:val="8"/>
                <w:szCs w:val="8"/>
                <w:color w:val="auto"/>
              </w:rPr>
            </w:pPr>
          </w:p>
        </w:tc>
        <w:tc>
          <w:tcPr>
            <w:tcW w:w="5760" w:type="dxa"/>
            <w:vAlign w:val="bottom"/>
            <w:tcBorders>
              <w:top w:val="single" w:sz="8" w:color="0000FF"/>
            </w:tcBorders>
            <w:gridSpan w:val="14"/>
          </w:tcPr>
          <w:p>
            <w:pPr>
              <w:spacing w:after="0" w:line="103" w:lineRule="exact"/>
              <w:rPr>
                <w:rFonts w:ascii="Arial" w:cs="Arial" w:eastAsia="Arial" w:hAnsi="Arial"/>
                <w:sz w:val="11"/>
                <w:szCs w:val="11"/>
                <w:color w:val="0000FF"/>
              </w:rPr>
            </w:pPr>
            <w:hyperlink w:anchor="page79">
              <w:r>
                <w:rPr>
                  <w:rFonts w:ascii="Arial" w:cs="Arial" w:eastAsia="Arial" w:hAnsi="Arial"/>
                  <w:sz w:val="11"/>
                  <w:szCs w:val="11"/>
                  <w:color w:val="0000FF"/>
                </w:rPr>
                <w:t>302 of the Sarbanes-Oxley Act of 2002</w:t>
              </w:r>
            </w:hyperlink>
          </w:p>
        </w:tc>
        <w:tc>
          <w:tcPr>
            <w:tcW w:w="6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280" w:type="dxa"/>
            <w:vAlign w:val="bottom"/>
            <w:vMerge w:val="restart"/>
          </w:tcPr>
          <w:p>
            <w:pPr>
              <w:jc w:val="right"/>
              <w:spacing w:after="0"/>
              <w:rPr>
                <w:sz w:val="20"/>
                <w:szCs w:val="20"/>
                <w:color w:val="auto"/>
              </w:rPr>
            </w:pPr>
            <w:r>
              <w:rPr>
                <w:rFonts w:ascii="Arial" w:cs="Arial" w:eastAsia="Arial" w:hAnsi="Arial"/>
                <w:sz w:val="11"/>
                <w:szCs w:val="11"/>
                <w:color w:val="auto"/>
              </w:rPr>
              <w:t>32.1</w:t>
            </w:r>
          </w:p>
        </w:tc>
        <w:tc>
          <w:tcPr>
            <w:tcW w:w="5820" w:type="dxa"/>
            <w:vAlign w:val="bottom"/>
            <w:gridSpan w:val="16"/>
          </w:tcPr>
          <w:p>
            <w:pPr>
              <w:spacing w:after="0"/>
              <w:rPr>
                <w:rFonts w:ascii="Arial" w:cs="Arial" w:eastAsia="Arial" w:hAnsi="Arial"/>
                <w:sz w:val="11"/>
                <w:szCs w:val="11"/>
                <w:color w:val="0000FF"/>
                <w:w w:val="96"/>
              </w:rPr>
            </w:pPr>
            <w:hyperlink w:anchor="page80">
              <w:r>
                <w:rPr>
                  <w:rFonts w:ascii="Arial" w:cs="Arial" w:eastAsia="Arial" w:hAnsi="Arial"/>
                  <w:sz w:val="11"/>
                  <w:szCs w:val="11"/>
                  <w:color w:val="0000FF"/>
                  <w:w w:val="96"/>
                </w:rPr>
                <w:t>Certification of Principal Executive Officer and Financial Officer pursuant to 18 U.S.C. Section 1350, as adopted pursuant to</w:t>
              </w:r>
            </w:hyperlink>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vMerge w:val="restart"/>
          </w:tcPr>
          <w:p>
            <w:pPr>
              <w:jc w:val="right"/>
              <w:ind w:right="286"/>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03"/>
        </w:trPr>
        <w:tc>
          <w:tcPr>
            <w:tcW w:w="1280" w:type="dxa"/>
            <w:vAlign w:val="bottom"/>
            <w:vMerge w:val="continue"/>
          </w:tcPr>
          <w:p>
            <w:pPr>
              <w:spacing w:after="0"/>
              <w:rPr>
                <w:sz w:val="8"/>
                <w:szCs w:val="8"/>
                <w:color w:val="auto"/>
              </w:rPr>
            </w:pPr>
          </w:p>
        </w:tc>
        <w:tc>
          <w:tcPr>
            <w:tcW w:w="5440" w:type="dxa"/>
            <w:vAlign w:val="bottom"/>
            <w:tcBorders>
              <w:top w:val="single" w:sz="8" w:color="0000FF"/>
            </w:tcBorders>
            <w:gridSpan w:val="12"/>
          </w:tcPr>
          <w:p>
            <w:pPr>
              <w:spacing w:after="0" w:line="103" w:lineRule="exact"/>
              <w:rPr>
                <w:rFonts w:ascii="Arial" w:cs="Arial" w:eastAsia="Arial" w:hAnsi="Arial"/>
                <w:sz w:val="11"/>
                <w:szCs w:val="11"/>
                <w:color w:val="0000FF"/>
              </w:rPr>
            </w:pPr>
            <w:hyperlink w:anchor="page80">
              <w:r>
                <w:rPr>
                  <w:rFonts w:ascii="Arial" w:cs="Arial" w:eastAsia="Arial" w:hAnsi="Arial"/>
                  <w:sz w:val="11"/>
                  <w:szCs w:val="11"/>
                  <w:color w:val="0000FF"/>
                </w:rPr>
                <w:t>Section 906 of the Sarbanes-Oxley Act of 2002</w:t>
              </w:r>
            </w:hyperlink>
          </w:p>
        </w:tc>
        <w:tc>
          <w:tcPr>
            <w:tcW w:w="380" w:type="dxa"/>
            <w:vAlign w:val="bottom"/>
            <w:gridSpan w:val="4"/>
          </w:tcPr>
          <w:p>
            <w:pPr>
              <w:spacing w:after="0"/>
              <w:rPr>
                <w:sz w:val="8"/>
                <w:szCs w:val="8"/>
                <w:color w:val="auto"/>
              </w:rPr>
            </w:pPr>
          </w:p>
        </w:tc>
        <w:tc>
          <w:tcPr>
            <w:tcW w:w="5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3760" w:type="dxa"/>
            <w:vAlign w:val="bottom"/>
            <w:gridSpan w:val="1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100" w:type="dxa"/>
            <w:vAlign w:val="bottom"/>
            <w:gridSpan w:val="17"/>
          </w:tcPr>
          <w:p>
            <w:pPr>
              <w:ind w:left="840"/>
              <w:spacing w:after="0"/>
              <w:rPr>
                <w:sz w:val="20"/>
                <w:szCs w:val="20"/>
                <w:color w:val="auto"/>
              </w:rPr>
            </w:pPr>
            <w:r>
              <w:rPr>
                <w:rFonts w:ascii="Arial" w:cs="Arial" w:eastAsia="Arial" w:hAnsi="Arial"/>
                <w:sz w:val="11"/>
                <w:szCs w:val="11"/>
                <w:color w:val="auto"/>
              </w:rPr>
              <w:t>101.SCH XBRL Taxonomy Extension Schema Document.</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jc w:val="right"/>
              <w:ind w:right="286"/>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3"/>
        </w:trPr>
        <w:tc>
          <w:tcPr>
            <w:tcW w:w="7100" w:type="dxa"/>
            <w:vAlign w:val="bottom"/>
            <w:gridSpan w:val="17"/>
          </w:tcPr>
          <w:p>
            <w:pPr>
              <w:ind w:left="840"/>
              <w:spacing w:after="0"/>
              <w:rPr>
                <w:sz w:val="20"/>
                <w:szCs w:val="20"/>
                <w:color w:val="auto"/>
              </w:rPr>
            </w:pPr>
            <w:r>
              <w:rPr>
                <w:rFonts w:ascii="Arial" w:cs="Arial" w:eastAsia="Arial" w:hAnsi="Arial"/>
                <w:sz w:val="11"/>
                <w:szCs w:val="11"/>
                <w:color w:val="auto"/>
              </w:rPr>
              <w:t>101.CAL XBRL Taxonomy Extension Calculation Linkbase Document.</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jc w:val="right"/>
              <w:ind w:right="286"/>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3"/>
        </w:trPr>
        <w:tc>
          <w:tcPr>
            <w:tcW w:w="7100" w:type="dxa"/>
            <w:vAlign w:val="bottom"/>
            <w:gridSpan w:val="17"/>
          </w:tcPr>
          <w:p>
            <w:pPr>
              <w:ind w:left="860"/>
              <w:spacing w:after="0"/>
              <w:rPr>
                <w:sz w:val="20"/>
                <w:szCs w:val="20"/>
                <w:color w:val="auto"/>
              </w:rPr>
            </w:pPr>
            <w:r>
              <w:rPr>
                <w:rFonts w:ascii="Arial" w:cs="Arial" w:eastAsia="Arial" w:hAnsi="Arial"/>
                <w:sz w:val="11"/>
                <w:szCs w:val="11"/>
                <w:color w:val="auto"/>
              </w:rPr>
              <w:t>101.DEF XBRL Taxonomy Extension Definition Linkbase Document.</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jc w:val="right"/>
              <w:ind w:right="286"/>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3"/>
        </w:trPr>
        <w:tc>
          <w:tcPr>
            <w:tcW w:w="7100" w:type="dxa"/>
            <w:vAlign w:val="bottom"/>
            <w:gridSpan w:val="17"/>
          </w:tcPr>
          <w:p>
            <w:pPr>
              <w:ind w:left="840"/>
              <w:spacing w:after="0"/>
              <w:rPr>
                <w:sz w:val="20"/>
                <w:szCs w:val="20"/>
                <w:color w:val="auto"/>
              </w:rPr>
            </w:pPr>
            <w:r>
              <w:rPr>
                <w:rFonts w:ascii="Arial" w:cs="Arial" w:eastAsia="Arial" w:hAnsi="Arial"/>
                <w:sz w:val="11"/>
                <w:szCs w:val="11"/>
                <w:color w:val="auto"/>
              </w:rPr>
              <w:t>101.LAB XBRL Taxonomy Extension Label Linkbase Document.</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jc w:val="right"/>
              <w:ind w:right="286"/>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3"/>
        </w:trPr>
        <w:tc>
          <w:tcPr>
            <w:tcW w:w="7100" w:type="dxa"/>
            <w:vAlign w:val="bottom"/>
            <w:gridSpan w:val="17"/>
          </w:tcPr>
          <w:p>
            <w:pPr>
              <w:ind w:left="860"/>
              <w:spacing w:after="0"/>
              <w:rPr>
                <w:sz w:val="20"/>
                <w:szCs w:val="20"/>
                <w:color w:val="auto"/>
              </w:rPr>
            </w:pPr>
            <w:r>
              <w:rPr>
                <w:rFonts w:ascii="Arial" w:cs="Arial" w:eastAsia="Arial" w:hAnsi="Arial"/>
                <w:sz w:val="11"/>
                <w:szCs w:val="11"/>
                <w:color w:val="auto"/>
              </w:rPr>
              <w:t>101.PRE XBRL Taxonomy Extension Presentation Linkbase Document.</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jc w:val="right"/>
              <w:ind w:right="286"/>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r>
        <w:trPr>
          <w:trHeight w:val="163"/>
        </w:trPr>
        <w:tc>
          <w:tcPr>
            <w:tcW w:w="1280" w:type="dxa"/>
            <w:vAlign w:val="bottom"/>
          </w:tcPr>
          <w:p>
            <w:pPr>
              <w:jc w:val="right"/>
              <w:spacing w:after="0"/>
              <w:rPr>
                <w:sz w:val="20"/>
                <w:szCs w:val="20"/>
                <w:color w:val="auto"/>
              </w:rPr>
            </w:pPr>
            <w:r>
              <w:rPr>
                <w:rFonts w:ascii="Arial" w:cs="Arial" w:eastAsia="Arial" w:hAnsi="Arial"/>
                <w:sz w:val="11"/>
                <w:szCs w:val="11"/>
                <w:color w:val="auto"/>
              </w:rPr>
              <w:t>104</w:t>
            </w:r>
          </w:p>
        </w:tc>
        <w:tc>
          <w:tcPr>
            <w:tcW w:w="5820" w:type="dxa"/>
            <w:vAlign w:val="bottom"/>
            <w:gridSpan w:val="16"/>
          </w:tcPr>
          <w:p>
            <w:pPr>
              <w:spacing w:after="0"/>
              <w:rPr>
                <w:sz w:val="20"/>
                <w:szCs w:val="20"/>
                <w:color w:val="auto"/>
              </w:rPr>
            </w:pPr>
            <w:r>
              <w:rPr>
                <w:rFonts w:ascii="Arial" w:cs="Arial" w:eastAsia="Arial" w:hAnsi="Arial"/>
                <w:sz w:val="11"/>
                <w:szCs w:val="11"/>
                <w:color w:val="auto"/>
              </w:rPr>
              <w:t>Cover Page Interactive Data File (formatted as inline XBRL and contained in Exhibits 101)</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jc w:val="right"/>
              <w:ind w:right="286"/>
              <w:spacing w:after="0"/>
              <w:rPr>
                <w:sz w:val="20"/>
                <w:szCs w:val="20"/>
                <w:color w:val="auto"/>
              </w:rPr>
            </w:pPr>
            <w:r>
              <w:rPr>
                <w:rFonts w:ascii="Arial" w:cs="Arial" w:eastAsia="Arial" w:hAnsi="Arial"/>
                <w:sz w:val="11"/>
                <w:szCs w:val="11"/>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240"/>
        <w:spacing w:after="0" w:line="252" w:lineRule="auto"/>
        <w:rPr>
          <w:sz w:val="20"/>
          <w:szCs w:val="20"/>
          <w:color w:val="auto"/>
        </w:rPr>
      </w:pPr>
      <w:r>
        <w:rPr>
          <w:rFonts w:ascii="Arial" w:cs="Arial" w:eastAsia="Arial" w:hAnsi="Arial"/>
          <w:sz w:val="14"/>
          <w:szCs w:val="14"/>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719137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040"/>
          </w:cols>
          <w:pgMar w:left="300" w:top="323" w:right="55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SIGNATURES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3920"/>
        <w:spacing w:after="0"/>
        <w:rPr>
          <w:sz w:val="20"/>
          <w:szCs w:val="20"/>
          <w:color w:val="auto"/>
        </w:rPr>
      </w:pPr>
      <w:r>
        <w:rPr>
          <w:rFonts w:ascii="Arial" w:cs="Arial" w:eastAsia="Arial" w:hAnsi="Arial"/>
          <w:sz w:val="14"/>
          <w:szCs w:val="14"/>
          <w:color w:val="auto"/>
        </w:rPr>
        <w:t>TEMPEST THERAPEUTICS, INC.</w:t>
      </w:r>
    </w:p>
    <w:p>
      <w:pPr>
        <w:spacing w:after="0" w:line="180" w:lineRule="exact"/>
        <w:rPr>
          <w:sz w:val="20"/>
          <w:szCs w:val="20"/>
          <w:color w:val="auto"/>
        </w:rPr>
      </w:pPr>
    </w:p>
    <w:p>
      <w:pPr>
        <w:ind w:left="39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Stephen Brady</w:t>
      </w:r>
    </w:p>
    <w:p>
      <w:pPr>
        <w:ind w:left="3920"/>
        <w:spacing w:after="0" w:line="213" w:lineRule="auto"/>
        <w:rPr>
          <w:sz w:val="20"/>
          <w:szCs w:val="20"/>
          <w:color w:val="auto"/>
        </w:rPr>
      </w:pPr>
      <w:r>
        <w:rPr>
          <w:rFonts w:ascii="Arial" w:cs="Arial" w:eastAsia="Arial" w:hAnsi="Arial"/>
          <w:sz w:val="14"/>
          <w:szCs w:val="14"/>
          <w:color w:val="auto"/>
        </w:rPr>
        <w:t>Stephen Brady</w:t>
      </w:r>
    </w:p>
    <w:p>
      <w:pPr>
        <w:ind w:left="3920"/>
        <w:spacing w:after="0"/>
        <w:rPr>
          <w:sz w:val="20"/>
          <w:szCs w:val="20"/>
          <w:color w:val="auto"/>
        </w:rPr>
      </w:pPr>
      <w:r>
        <w:rPr>
          <w:rFonts w:ascii="Arial" w:cs="Arial" w:eastAsia="Arial" w:hAnsi="Arial"/>
          <w:sz w:val="14"/>
          <w:szCs w:val="14"/>
          <w:color w:val="auto"/>
        </w:rPr>
        <w:t>Chief Executive Officer (Principal Executive Officer)</w:t>
      </w:r>
    </w:p>
    <w:p>
      <w:pPr>
        <w:spacing w:after="0" w:line="168" w:lineRule="exact"/>
        <w:rPr>
          <w:sz w:val="20"/>
          <w:szCs w:val="20"/>
          <w:color w:val="auto"/>
        </w:rPr>
      </w:pPr>
    </w:p>
    <w:p>
      <w:pPr>
        <w:ind w:left="39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Nicholas Maestas</w:t>
      </w:r>
    </w:p>
    <w:p>
      <w:pPr>
        <w:ind w:left="3920"/>
        <w:spacing w:after="0" w:line="182" w:lineRule="auto"/>
        <w:rPr>
          <w:sz w:val="20"/>
          <w:szCs w:val="20"/>
          <w:color w:val="auto"/>
        </w:rPr>
      </w:pPr>
      <w:r>
        <w:rPr>
          <w:rFonts w:ascii="Arial" w:cs="Arial" w:eastAsia="Arial" w:hAnsi="Arial"/>
          <w:sz w:val="14"/>
          <w:szCs w:val="14"/>
          <w:color w:val="auto"/>
        </w:rPr>
        <w:t>Nicholas Maestas</w:t>
      </w:r>
    </w:p>
    <w:p>
      <w:pPr>
        <w:ind w:left="3920"/>
        <w:spacing w:after="0" w:line="183" w:lineRule="auto"/>
        <w:rPr>
          <w:sz w:val="20"/>
          <w:szCs w:val="20"/>
          <w:color w:val="auto"/>
        </w:rPr>
      </w:pPr>
      <w:r>
        <w:rPr>
          <w:rFonts w:ascii="Arial" w:cs="Arial" w:eastAsia="Arial" w:hAnsi="Arial"/>
          <w:sz w:val="14"/>
          <w:szCs w:val="14"/>
          <w:color w:val="auto"/>
        </w:rPr>
        <w:t>Vice-President, Strategy and Finance (Principal</w:t>
      </w:r>
    </w:p>
    <w:p>
      <w:pPr>
        <w:ind w:left="3920"/>
        <w:spacing w:after="0"/>
        <w:rPr>
          <w:sz w:val="20"/>
          <w:szCs w:val="20"/>
          <w:color w:val="auto"/>
        </w:rPr>
      </w:pPr>
      <w:r>
        <w:rPr>
          <w:rFonts w:ascii="Arial" w:cs="Arial" w:eastAsia="Arial" w:hAnsi="Arial"/>
          <w:sz w:val="14"/>
          <w:szCs w:val="14"/>
          <w:color w:val="auto"/>
        </w:rPr>
        <w:t>Financial Officer)</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4"/>
          <w:szCs w:val="14"/>
          <w:color w:val="auto"/>
        </w:rPr>
        <w:t>Date: November 10, 2021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0180"/>
          </w:cols>
          <w:pgMar w:left="300" w:top="323" w:right="1419" w:bottom="1440" w:gutter="0" w:footer="0" w:header="0"/>
        </w:sectPr>
      </w:pPr>
    </w:p>
    <w:bookmarkStart w:id="77" w:name="page78"/>
    <w:bookmarkEnd w:id="77"/>
    <w:p>
      <w:pPr>
        <w:jc w:val="right"/>
        <w:spacing w:after="0"/>
        <w:rPr>
          <w:sz w:val="20"/>
          <w:szCs w:val="20"/>
          <w:color w:val="auto"/>
        </w:rPr>
      </w:pPr>
      <w:r>
        <w:rPr>
          <w:rFonts w:ascii="Arial" w:cs="Arial" w:eastAsia="Arial" w:hAnsi="Arial"/>
          <w:sz w:val="14"/>
          <w:szCs w:val="14"/>
          <w:b w:val="1"/>
          <w:bCs w:val="1"/>
          <w:color w:val="auto"/>
        </w:rPr>
        <w:t>Exhibit 31.1</w:t>
      </w: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u w:val="single" w:color="auto"/>
          <w:color w:val="auto"/>
        </w:rPr>
        <w:t>CERTIFICATIONS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I, Stephen Brady, certify that:</w:t>
      </w:r>
    </w:p>
    <w:p>
      <w:pPr>
        <w:spacing w:after="0" w:line="186" w:lineRule="exact"/>
        <w:rPr>
          <w:sz w:val="20"/>
          <w:szCs w:val="20"/>
          <w:color w:val="auto"/>
        </w:rPr>
      </w:pPr>
    </w:p>
    <w:p>
      <w:pPr>
        <w:ind w:left="240" w:hanging="238"/>
        <w:spacing w:after="0"/>
        <w:tabs>
          <w:tab w:leader="none" w:pos="2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 have reviewed this Form 10-Q of Tempest Therapeutics, Inc.;</w:t>
      </w:r>
    </w:p>
    <w:p>
      <w:pPr>
        <w:spacing w:after="0" w:line="186" w:lineRule="exact"/>
        <w:rPr>
          <w:rFonts w:ascii="Arial" w:cs="Arial" w:eastAsia="Arial" w:hAnsi="Arial"/>
          <w:sz w:val="14"/>
          <w:szCs w:val="14"/>
          <w:color w:val="auto"/>
        </w:rPr>
      </w:pPr>
    </w:p>
    <w:p>
      <w:pPr>
        <w:ind w:left="240" w:hanging="238"/>
        <w:spacing w:after="0" w:line="261" w:lineRule="auto"/>
        <w:tabs>
          <w:tab w:leader="none" w:pos="2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4"/>
          <w:szCs w:val="14"/>
          <w:color w:val="auto"/>
        </w:rPr>
      </w:pPr>
    </w:p>
    <w:p>
      <w:pPr>
        <w:ind w:left="240" w:hanging="238"/>
        <w:spacing w:after="0" w:line="261" w:lineRule="auto"/>
        <w:tabs>
          <w:tab w:leader="none" w:pos="2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4"/>
          <w:szCs w:val="14"/>
          <w:color w:val="auto"/>
        </w:rPr>
      </w:pPr>
    </w:p>
    <w:p>
      <w:pPr>
        <w:ind w:left="240" w:hanging="238"/>
        <w:spacing w:after="0" w:line="261" w:lineRule="auto"/>
        <w:tabs>
          <w:tab w:leader="none" w:pos="2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60" w:lineRule="exact"/>
        <w:rPr>
          <w:rFonts w:ascii="Arial" w:cs="Arial" w:eastAsia="Arial" w:hAnsi="Arial"/>
          <w:sz w:val="14"/>
          <w:szCs w:val="14"/>
          <w:color w:val="auto"/>
        </w:rPr>
      </w:pPr>
    </w:p>
    <w:p>
      <w:pPr>
        <w:ind w:left="560" w:hanging="313"/>
        <w:spacing w:after="0" w:line="345" w:lineRule="auto"/>
        <w:tabs>
          <w:tab w:leader="none" w:pos="558" w:val="left"/>
        </w:tabs>
        <w:numPr>
          <w:ilvl w:val="1"/>
          <w:numId w:val="4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2"/>
          <w:szCs w:val="12"/>
          <w:color w:val="auto"/>
        </w:rPr>
      </w:pPr>
    </w:p>
    <w:p>
      <w:pPr>
        <w:ind w:left="560" w:hanging="313"/>
        <w:spacing w:after="0" w:line="261" w:lineRule="auto"/>
        <w:tabs>
          <w:tab w:leader="none" w:pos="555" w:val="left"/>
        </w:tabs>
        <w:numPr>
          <w:ilvl w:val="1"/>
          <w:numId w:val="4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4"/>
          <w:szCs w:val="14"/>
          <w:color w:val="auto"/>
        </w:rPr>
      </w:pPr>
    </w:p>
    <w:p>
      <w:pPr>
        <w:ind w:left="560" w:hanging="313"/>
        <w:spacing w:after="0" w:line="345" w:lineRule="auto"/>
        <w:tabs>
          <w:tab w:leader="none" w:pos="558" w:val="left"/>
        </w:tabs>
        <w:numPr>
          <w:ilvl w:val="1"/>
          <w:numId w:val="4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2"/>
          <w:szCs w:val="12"/>
          <w:color w:val="auto"/>
        </w:rPr>
      </w:pPr>
    </w:p>
    <w:p>
      <w:pPr>
        <w:ind w:left="240" w:hanging="238"/>
        <w:spacing w:after="0" w:line="261" w:lineRule="auto"/>
        <w:tabs>
          <w:tab w:leader="none" w:pos="2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4"/>
          <w:szCs w:val="14"/>
          <w:color w:val="auto"/>
        </w:rPr>
      </w:pPr>
    </w:p>
    <w:p>
      <w:pPr>
        <w:ind w:left="560" w:hanging="313"/>
        <w:spacing w:after="0" w:line="261" w:lineRule="auto"/>
        <w:tabs>
          <w:tab w:leader="none" w:pos="558" w:val="left"/>
        </w:tabs>
        <w:numPr>
          <w:ilvl w:val="1"/>
          <w:numId w:val="4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4"/>
          <w:szCs w:val="14"/>
          <w:color w:val="auto"/>
        </w:rPr>
      </w:pPr>
    </w:p>
    <w:p>
      <w:pPr>
        <w:ind w:left="540" w:hanging="293"/>
        <w:spacing w:after="0"/>
        <w:tabs>
          <w:tab w:leader="none" w:pos="540" w:val="left"/>
        </w:tabs>
        <w:numPr>
          <w:ilvl w:val="1"/>
          <w:numId w:val="4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10, 2021</w:t>
      </w:r>
    </w:p>
    <w:p>
      <w:pPr>
        <w:spacing w:after="0" w:line="180" w:lineRule="exact"/>
        <w:rPr>
          <w:sz w:val="20"/>
          <w:szCs w:val="20"/>
          <w:color w:val="auto"/>
        </w:rPr>
      </w:pPr>
    </w:p>
    <w:p>
      <w:pPr>
        <w:ind w:left="39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Stephen Brady</w:t>
      </w:r>
    </w:p>
    <w:p>
      <w:pPr>
        <w:ind w:left="4160"/>
        <w:spacing w:after="0" w:line="213" w:lineRule="auto"/>
        <w:rPr>
          <w:sz w:val="20"/>
          <w:szCs w:val="20"/>
          <w:color w:val="auto"/>
        </w:rPr>
      </w:pPr>
      <w:r>
        <w:rPr>
          <w:rFonts w:ascii="Arial" w:cs="Arial" w:eastAsia="Arial" w:hAnsi="Arial"/>
          <w:sz w:val="14"/>
          <w:szCs w:val="14"/>
          <w:color w:val="auto"/>
        </w:rPr>
        <w:t>Stephen Brady</w:t>
      </w:r>
    </w:p>
    <w:p>
      <w:pPr>
        <w:ind w:left="416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1040"/>
          </w:cols>
          <w:pgMar w:left="300" w:top="1117" w:right="559" w:bottom="1440" w:gutter="0" w:footer="0" w:header="0"/>
        </w:sectPr>
      </w:pPr>
    </w:p>
    <w:bookmarkStart w:id="78" w:name="page79"/>
    <w:bookmarkEnd w:id="78"/>
    <w:p>
      <w:pPr>
        <w:jc w:val="right"/>
        <w:spacing w:after="0"/>
        <w:rPr>
          <w:sz w:val="20"/>
          <w:szCs w:val="20"/>
          <w:color w:val="auto"/>
        </w:rPr>
      </w:pPr>
      <w:r>
        <w:rPr>
          <w:rFonts w:ascii="Arial" w:cs="Arial" w:eastAsia="Arial" w:hAnsi="Arial"/>
          <w:sz w:val="14"/>
          <w:szCs w:val="14"/>
          <w:b w:val="1"/>
          <w:bCs w:val="1"/>
          <w:color w:val="auto"/>
        </w:rPr>
        <w:t>Exhibit 31.2</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u w:val="single" w:color="auto"/>
          <w:color w:val="auto"/>
        </w:rPr>
        <w:t>CERTIFICATIONS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I, Nicholas Maestas, certify that:</w:t>
      </w:r>
    </w:p>
    <w:p>
      <w:pPr>
        <w:spacing w:after="0" w:line="186" w:lineRule="exact"/>
        <w:rPr>
          <w:sz w:val="20"/>
          <w:szCs w:val="20"/>
          <w:color w:val="auto"/>
        </w:rPr>
      </w:pPr>
    </w:p>
    <w:p>
      <w:pPr>
        <w:ind w:left="240" w:hanging="238"/>
        <w:spacing w:after="0"/>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 have reviewed this Form 10-Q of Tempest Therapeutics, Inc.;</w:t>
      </w:r>
    </w:p>
    <w:p>
      <w:pPr>
        <w:spacing w:after="0" w:line="186" w:lineRule="exact"/>
        <w:rPr>
          <w:rFonts w:ascii="Arial" w:cs="Arial" w:eastAsia="Arial" w:hAnsi="Arial"/>
          <w:sz w:val="14"/>
          <w:szCs w:val="14"/>
          <w:color w:val="auto"/>
        </w:rPr>
      </w:pPr>
    </w:p>
    <w:p>
      <w:pPr>
        <w:ind w:left="240" w:hanging="238"/>
        <w:spacing w:after="0" w:line="261" w:lineRule="auto"/>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4"/>
          <w:szCs w:val="14"/>
          <w:color w:val="auto"/>
        </w:rPr>
      </w:pPr>
    </w:p>
    <w:p>
      <w:pPr>
        <w:ind w:left="240" w:hanging="238"/>
        <w:spacing w:after="0" w:line="261" w:lineRule="auto"/>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4"/>
          <w:szCs w:val="14"/>
          <w:color w:val="auto"/>
        </w:rPr>
      </w:pPr>
    </w:p>
    <w:p>
      <w:pPr>
        <w:ind w:left="240" w:hanging="238"/>
        <w:spacing w:after="0" w:line="261" w:lineRule="auto"/>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60" w:lineRule="exact"/>
        <w:rPr>
          <w:sz w:val="20"/>
          <w:szCs w:val="20"/>
          <w:color w:val="auto"/>
        </w:rPr>
      </w:pPr>
    </w:p>
    <w:p>
      <w:pPr>
        <w:ind w:left="500" w:hanging="244"/>
        <w:spacing w:after="0" w:line="261" w:lineRule="auto"/>
        <w:rPr>
          <w:sz w:val="20"/>
          <w:szCs w:val="20"/>
          <w:color w:val="auto"/>
        </w:rPr>
      </w:pPr>
      <w:r>
        <w:rPr>
          <w:rFonts w:ascii="Arial" w:cs="Arial" w:eastAsia="Arial" w:hAnsi="Arial"/>
          <w:sz w:val="14"/>
          <w:szCs w:val="14"/>
          <w:color w:val="auto"/>
        </w:rPr>
        <w:t>(a) Designed such disclosure controls and procedures, or caused such disclosure controls and procedures</w:t>
      </w:r>
      <w:r>
        <w:rPr>
          <w:sz w:val="20"/>
          <w:szCs w:val="20"/>
          <w:color w:val="auto"/>
        </w:rPr>
        <w:t xml:space="preserve"> </w:t>
      </w:r>
      <w:r>
        <w:rPr>
          <w:rFonts w:ascii="Arial" w:cs="Arial" w:eastAsia="Arial" w:hAnsi="Arial"/>
          <w:sz w:val="14"/>
          <w:szCs w:val="14"/>
          <w:color w:val="auto"/>
        </w:rPr>
        <w:t>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sz w:val="20"/>
          <w:szCs w:val="20"/>
          <w:color w:val="auto"/>
        </w:rPr>
      </w:pPr>
    </w:p>
    <w:p>
      <w:pPr>
        <w:ind w:left="500" w:hanging="253"/>
        <w:spacing w:after="0" w:line="261" w:lineRule="auto"/>
        <w:tabs>
          <w:tab w:leader="none" w:pos="495" w:val="left"/>
        </w:tabs>
        <w:numPr>
          <w:ilvl w:val="1"/>
          <w:numId w:val="4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4"/>
          <w:szCs w:val="14"/>
          <w:color w:val="auto"/>
        </w:rPr>
      </w:pPr>
    </w:p>
    <w:p>
      <w:pPr>
        <w:ind w:left="500" w:hanging="253"/>
        <w:spacing w:after="0" w:line="345" w:lineRule="auto"/>
        <w:tabs>
          <w:tab w:leader="none" w:pos="498" w:val="left"/>
        </w:tabs>
        <w:numPr>
          <w:ilvl w:val="1"/>
          <w:numId w:val="4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2"/>
          <w:szCs w:val="12"/>
          <w:color w:val="auto"/>
        </w:rPr>
      </w:pPr>
    </w:p>
    <w:p>
      <w:pPr>
        <w:ind w:left="240" w:hanging="238"/>
        <w:spacing w:after="0" w:line="261" w:lineRule="auto"/>
        <w:tabs>
          <w:tab w:leader="none" w:pos="2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4"/>
          <w:szCs w:val="14"/>
          <w:color w:val="auto"/>
        </w:rPr>
      </w:pPr>
    </w:p>
    <w:p>
      <w:pPr>
        <w:ind w:left="500" w:hanging="253"/>
        <w:spacing w:after="0" w:line="261" w:lineRule="auto"/>
        <w:tabs>
          <w:tab w:leader="none" w:pos="498" w:val="left"/>
        </w:tabs>
        <w:numPr>
          <w:ilvl w:val="1"/>
          <w:numId w:val="4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4"/>
          <w:szCs w:val="14"/>
          <w:color w:val="auto"/>
        </w:rPr>
      </w:pPr>
    </w:p>
    <w:p>
      <w:pPr>
        <w:ind w:left="480" w:hanging="233"/>
        <w:spacing w:after="0"/>
        <w:tabs>
          <w:tab w:leader="none" w:pos="480" w:val="left"/>
        </w:tabs>
        <w:numPr>
          <w:ilvl w:val="1"/>
          <w:numId w:val="4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10, 2021</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Nicholas Maestas</w:t>
      </w:r>
    </w:p>
    <w:p>
      <w:pPr>
        <w:spacing w:after="0" w:line="2"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Nicholas Maestas</w:t>
      </w:r>
    </w:p>
    <w:p>
      <w:pPr>
        <w:spacing w:after="0" w:line="2"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Vice-President, Strategy and Finance</w:t>
      </w:r>
    </w:p>
    <w:p>
      <w:pPr>
        <w:sectPr>
          <w:pgSz w:w="11900" w:h="16838" w:orient="portrait"/>
          <w:cols w:equalWidth="0" w:num="1">
            <w:col w:w="11040"/>
          </w:cols>
          <w:pgMar w:left="300" w:top="1107" w:right="559" w:bottom="1440" w:gutter="0" w:footer="0" w:header="0"/>
        </w:sectPr>
      </w:pPr>
    </w:p>
    <w:bookmarkStart w:id="79" w:name="page80"/>
    <w:bookmarkEnd w:id="79"/>
    <w:p>
      <w:pPr>
        <w:jc w:val="right"/>
        <w:spacing w:after="0"/>
        <w:rPr>
          <w:sz w:val="20"/>
          <w:szCs w:val="20"/>
          <w:color w:val="auto"/>
        </w:rPr>
      </w:pPr>
      <w:r>
        <w:rPr>
          <w:rFonts w:ascii="Arial" w:cs="Arial" w:eastAsia="Arial" w:hAnsi="Arial"/>
          <w:sz w:val="14"/>
          <w:szCs w:val="14"/>
          <w:b w:val="1"/>
          <w:bCs w:val="1"/>
          <w:color w:val="auto"/>
        </w:rPr>
        <w:t>Exhibit 32.1</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CERTIFICATION</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Pursuant to the requirement set forth in Rule 13a-14(b) of the Securities Exchange Act of 1934, as amended, (the “Exchange Act”) and Section 1350 of Chapter 63 of Title 18 of the United States Code (18 U.S.C. §1350), Stephen Brady, Chief Executive Officer of Tempest Therapeutics, Inc. (the “Company”), and Nicholas Maestas, Vice President, Strategy and Finance, of the Company, each hereby certifies that, to the best of his or her knowledge:</w:t>
      </w:r>
    </w:p>
    <w:p>
      <w:pPr>
        <w:spacing w:after="0" w:line="167" w:lineRule="exact"/>
        <w:rPr>
          <w:sz w:val="20"/>
          <w:szCs w:val="20"/>
          <w:color w:val="auto"/>
        </w:rPr>
      </w:pPr>
    </w:p>
    <w:p>
      <w:pPr>
        <w:ind w:left="240" w:hanging="238"/>
        <w:spacing w:after="0" w:line="261" w:lineRule="auto"/>
        <w:tabs>
          <w:tab w:leader="none" w:pos="2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Company’s Quarterly Report on Form 10-Q for the period ended September 30, 2021, to which this Certification is attached as Exhibit 32.1 (the “Periodic Report”), fully complies with the requirements of Section 13(a) or Section 15(d) of the Exchange Act; and</w:t>
      </w:r>
    </w:p>
    <w:p>
      <w:pPr>
        <w:spacing w:after="0" w:line="160" w:lineRule="exact"/>
        <w:rPr>
          <w:rFonts w:ascii="Arial" w:cs="Arial" w:eastAsia="Arial" w:hAnsi="Arial"/>
          <w:sz w:val="14"/>
          <w:szCs w:val="14"/>
          <w:color w:val="auto"/>
        </w:rPr>
      </w:pPr>
    </w:p>
    <w:p>
      <w:pPr>
        <w:ind w:left="240" w:hanging="238"/>
        <w:spacing w:after="0"/>
        <w:tabs>
          <w:tab w:leader="none" w:pos="2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information contained in the Periodic Report fairly presents, in all material respects, the financial condition and results of operations of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gridSpan w:val="3"/>
          </w:tcPr>
          <w:p>
            <w:pPr>
              <w:spacing w:after="0"/>
              <w:rPr>
                <w:sz w:val="20"/>
                <w:szCs w:val="20"/>
                <w:color w:val="auto"/>
              </w:rPr>
            </w:pPr>
            <w:r>
              <w:rPr>
                <w:rFonts w:ascii="Arial" w:cs="Arial" w:eastAsia="Arial" w:hAnsi="Arial"/>
                <w:sz w:val="14"/>
                <w:szCs w:val="14"/>
                <w:color w:val="auto"/>
              </w:rPr>
              <w:t>Dated: November 10, 2021</w:t>
            </w: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47"/>
        </w:trPr>
        <w:tc>
          <w:tcPr>
            <w:tcW w:w="6680" w:type="dxa"/>
            <w:vAlign w:val="bottom"/>
            <w:gridSpan w:val="3"/>
          </w:tcPr>
          <w:p>
            <w:pPr>
              <w:spacing w:after="0"/>
              <w:rPr>
                <w:sz w:val="20"/>
                <w:szCs w:val="20"/>
                <w:color w:val="auto"/>
              </w:rPr>
            </w:pPr>
            <w:r>
              <w:rPr>
                <w:rFonts w:ascii="Arial" w:cs="Arial" w:eastAsia="Arial" w:hAnsi="Arial"/>
                <w:sz w:val="14"/>
                <w:szCs w:val="14"/>
                <w:b w:val="1"/>
                <w:bCs w:val="1"/>
                <w:color w:val="auto"/>
                <w:w w:val="97"/>
              </w:rPr>
              <w:t>IN WITNESS WHEREOF</w:t>
            </w:r>
            <w:r>
              <w:rPr>
                <w:rFonts w:ascii="Arial" w:cs="Arial" w:eastAsia="Arial" w:hAnsi="Arial"/>
                <w:sz w:val="14"/>
                <w:szCs w:val="14"/>
                <w:color w:val="auto"/>
                <w:w w:val="97"/>
              </w:rPr>
              <w:t>, the undersigned have set their hands hereto as of the 10th day of November, 2021.</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8"/>
        </w:trPr>
        <w:tc>
          <w:tcPr>
            <w:tcW w:w="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4"/>
                <w:szCs w:val="14"/>
                <w:color w:val="auto"/>
              </w:rPr>
              <w:t>/s/ Stephen Brady</w:t>
            </w:r>
          </w:p>
        </w:tc>
        <w:tc>
          <w:tcPr>
            <w:tcW w:w="2580" w:type="dxa"/>
            <w:vAlign w:val="bottom"/>
            <w:gridSpan w:val="3"/>
          </w:tcPr>
          <w:p>
            <w:pPr>
              <w:ind w:left="560"/>
              <w:spacing w:after="0"/>
              <w:rPr>
                <w:sz w:val="20"/>
                <w:szCs w:val="20"/>
                <w:color w:val="auto"/>
              </w:rPr>
            </w:pPr>
            <w:r>
              <w:rPr>
                <w:rFonts w:ascii="Arial" w:cs="Arial" w:eastAsia="Arial" w:hAnsi="Arial"/>
                <w:sz w:val="14"/>
                <w:szCs w:val="14"/>
                <w:color w:val="auto"/>
              </w:rPr>
              <w:t>/s/ Nicholas Maestas</w:t>
            </w:r>
          </w:p>
        </w:tc>
      </w:tr>
      <w:tr>
        <w:trPr>
          <w:trHeight w:val="183"/>
        </w:trPr>
        <w:tc>
          <w:tcPr>
            <w:tcW w:w="20" w:type="dxa"/>
            <w:vAlign w:val="bottom"/>
          </w:tcPr>
          <w:p>
            <w:pPr>
              <w:spacing w:after="0"/>
              <w:rPr>
                <w:sz w:val="15"/>
                <w:szCs w:val="15"/>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Stephen Brady</w:t>
            </w:r>
          </w:p>
        </w:tc>
        <w:tc>
          <w:tcPr>
            <w:tcW w:w="5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Nicholas Maestas</w:t>
            </w:r>
          </w:p>
        </w:tc>
        <w:tc>
          <w:tcPr>
            <w:tcW w:w="88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6660" w:type="dxa"/>
            <w:vAlign w:val="bottom"/>
            <w:gridSpan w:val="2"/>
          </w:tcPr>
          <w:p>
            <w:pPr>
              <w:spacing w:after="0"/>
              <w:rPr>
                <w:sz w:val="20"/>
                <w:szCs w:val="20"/>
                <w:color w:val="auto"/>
              </w:rPr>
            </w:pPr>
            <w:r>
              <w:rPr>
                <w:rFonts w:ascii="Arial" w:cs="Arial" w:eastAsia="Arial" w:hAnsi="Arial"/>
                <w:sz w:val="14"/>
                <w:szCs w:val="14"/>
                <w:color w:val="auto"/>
              </w:rPr>
              <w:t>Chief Executive Officer</w:t>
            </w:r>
          </w:p>
        </w:tc>
        <w:tc>
          <w:tcPr>
            <w:tcW w:w="2580" w:type="dxa"/>
            <w:vAlign w:val="bottom"/>
            <w:gridSpan w:val="3"/>
          </w:tcPr>
          <w:p>
            <w:pPr>
              <w:ind w:left="560"/>
              <w:spacing w:after="0"/>
              <w:rPr>
                <w:sz w:val="20"/>
                <w:szCs w:val="20"/>
                <w:color w:val="auto"/>
              </w:rPr>
            </w:pPr>
            <w:r>
              <w:rPr>
                <w:rFonts w:ascii="Arial" w:cs="Arial" w:eastAsia="Arial" w:hAnsi="Arial"/>
                <w:sz w:val="14"/>
                <w:szCs w:val="14"/>
                <w:color w:val="auto"/>
                <w:w w:val="86"/>
              </w:rPr>
              <w:t>Vice-President, Strategy and Finance</w:t>
            </w:r>
          </w:p>
        </w:tc>
      </w:tr>
    </w:tbl>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“This certification accompanies the Form 10-Q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040"/>
      </w:cols>
      <w:pgMar w:left="300" w:top="110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2"/>
    </w:lvl>
  </w:abstractNum>
  <w:abstractNum w:abstractNumId="4">
    <w:nsid w:val="8EDBDAB"/>
    <w:multiLevelType w:val="hybridMultilevel"/>
    <w:lvl w:ilvl="0">
      <w:lvlJc w:val="left"/>
      <w:lvlText w:val="%1."/>
      <w:numFmt w:val="decimal"/>
      <w:start w:val="5"/>
    </w:lvl>
  </w:abstractNum>
  <w:abstractNum w:abstractNumId="5">
    <w:nsid w:val="79838CB2"/>
    <w:multiLevelType w:val="hybridMultilevel"/>
    <w:lvl w:ilvl="0">
      <w:lvlJc w:val="left"/>
      <w:lvlText w:val="%1."/>
      <w:numFmt w:val="decimal"/>
      <w:start w:val="7"/>
    </w:lvl>
  </w:abstractNum>
  <w:abstractNum w:abstractNumId="6">
    <w:nsid w:val="4353D0CD"/>
    <w:multiLevelType w:val="hybridMultilevel"/>
    <w:lvl w:ilvl="0">
      <w:lvlJc w:val="left"/>
      <w:lvlText w:val="%1."/>
      <w:numFmt w:val="decimal"/>
      <w:start w:val="9"/>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lowerRoman"/>
      <w:start w:val="1"/>
    </w:lvl>
  </w:abstractNum>
  <w:abstractNum w:abstractNumId="9">
    <w:nsid w:val="54E49EB4"/>
    <w:multiLevelType w:val="hybridMultilevel"/>
    <w:lvl w:ilvl="0">
      <w:lvlJc w:val="left"/>
      <w:lvlText w:val="(%1)"/>
      <w:numFmt w:val="lowerRoman"/>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1"/>
    </w:lvl>
    <w:lvl w:ilvl="1">
      <w:lvlJc w:val="left"/>
      <w:lvlText w:val="(%2)"/>
      <w:numFmt w:val="lowerLetter"/>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lvl w:ilvl="1">
      <w:lvlJc w:val="left"/>
      <w:lvlText w:val="(%2)"/>
      <w:numFmt w:val="lowerLetter"/>
      <w:start w:val="2"/>
    </w:lvl>
  </w:abstractNum>
  <w:abstractNum w:abstractNumId="42">
    <w:nsid w:val="1D4ED43B"/>
    <w:multiLevelType w:val="hybridMultilevel"/>
    <w:lvl w:ilvl="0">
      <w:lvlJc w:val="left"/>
      <w:lvlText w:val="%1."/>
      <w:numFmt w:val="decimal"/>
      <w:start w:val="5"/>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4" Type="http://schemas.openxmlformats.org/officeDocument/2006/relationships/image" Target="media/image90.png"/><Relationship Id="rId97" Type="http://schemas.openxmlformats.org/officeDocument/2006/relationships/hyperlink" Target="https://www.sec.gov/Archives/edgar/data/1544227/000119312521223143/d170353d8k.htm" TargetMode="External"/><Relationship Id="rId98" Type="http://schemas.openxmlformats.org/officeDocument/2006/relationships/hyperlink" Target="https://www.sec.gov/Archives/edgar/data/1544227/000155837019005038/mlnd-20190331ex31b53fa83.htm" TargetMode="External"/><Relationship Id="rId99" Type="http://schemas.openxmlformats.org/officeDocument/2006/relationships/hyperlink" Target="https://www.sec.gov/Archives/edgar/data/1544227/000119312521201157/d196630dex31.htm" TargetMode="External"/><Relationship Id="rId100" Type="http://schemas.openxmlformats.org/officeDocument/2006/relationships/hyperlink" Target="https://www.sec.gov/Archives/edgar/data/1544227/000119312521201157/d196630dex32.htm" TargetMode="External"/><Relationship Id="rId101" Type="http://schemas.openxmlformats.org/officeDocument/2006/relationships/hyperlink" Target="https://www.sec.gov/Archives/edgar/data/1544227/000110465918050995/a18-18482_1ex3d1.htm" TargetMode="External"/><Relationship Id="rId102" Type="http://schemas.openxmlformats.org/officeDocument/2006/relationships/hyperlink" Target="https://www.sec.gov/Archives/edgar/data/0001544227/000119312521217581/d180826ds3.htm" TargetMode="External"/><Relationship Id="rId103" Type="http://schemas.openxmlformats.org/officeDocument/2006/relationships/hyperlink" Target="https://www.sec.gov/Archives/edgar/data/0001544227/000119312521209988/d6928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2021-11-10T15:31:23Z</dcterms:created>
  <dcterms:modified xsi:type="dcterms:W3CDTF">2021-11-10T15:31:23Z</dcterms:modified>
</cp:coreProperties>
</file>