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-232410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92710</wp:posOffset>
            </wp:positionV>
            <wp:extent cx="1045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47" w:lineRule="exact"/>
        <w:rPr>
          <w:sz w:val="24"/>
          <w:szCs w:val="24"/>
          <w:color w:val="auto"/>
        </w:rPr>
      </w:pPr>
    </w:p>
    <w:p>
      <w:pPr>
        <w:ind w:left="700" w:right="380" w:hanging="469"/>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700" w:right="360" w:hanging="469"/>
        <w:spacing w:after="0" w:line="256" w:lineRule="auto"/>
        <w:tabs>
          <w:tab w:leader="none" w:pos="7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4"/>
          <w:szCs w:val="24"/>
          <w:color w:val="auto"/>
        </w:rPr>
      </w:pPr>
    </w:p>
    <w:p>
      <w:pPr>
        <w:ind w:left="3800"/>
        <w:spacing w:after="0"/>
        <w:tabs>
          <w:tab w:leader="none" w:pos="6560" w:val="left"/>
          <w:tab w:leader="none" w:pos="7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3743325</wp:posOffset>
            </wp:positionH>
            <wp:positionV relativeFrom="paragraph">
              <wp:posOffset>-4445</wp:posOffset>
            </wp:positionV>
            <wp:extent cx="960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001-35890</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-294640</wp:posOffset>
            </wp:positionV>
            <wp:extent cx="1045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69215</wp:posOffset>
            </wp:positionV>
            <wp:extent cx="1045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7" w:lineRule="exact"/>
        <w:rPr>
          <w:sz w:val="24"/>
          <w:szCs w:val="24"/>
          <w:color w:val="auto"/>
        </w:rPr>
      </w:pPr>
    </w:p>
    <w:tbl>
      <w:tblPr>
        <w:tblLayout w:type="fixed"/>
        <w:tblInd w:w="2900" w:type="dxa"/>
        <w:tblCellMar>
          <w:top w:w="0" w:type="dxa"/>
          <w:left w:w="0" w:type="dxa"/>
          <w:bottom w:w="0" w:type="dxa"/>
          <w:right w:w="0" w:type="dxa"/>
        </w:tblCellMar>
      </w:tblPr>
      <w:tr>
        <w:trPr>
          <w:trHeight w:val="210"/>
        </w:trPr>
        <w:tc>
          <w:tcPr>
            <w:tcW w:w="3080" w:type="dxa"/>
            <w:vAlign w:val="bottom"/>
          </w:tcPr>
          <w:p>
            <w:pPr>
              <w:jc w:val="center"/>
              <w:ind w:right="359"/>
              <w:spacing w:after="0"/>
              <w:rPr>
                <w:sz w:val="20"/>
                <w:szCs w:val="20"/>
                <w:color w:val="auto"/>
              </w:rPr>
            </w:pPr>
            <w:r>
              <w:rPr>
                <w:rFonts w:ascii="Arial" w:cs="Arial" w:eastAsia="Arial" w:hAnsi="Arial"/>
                <w:sz w:val="16"/>
                <w:szCs w:val="16"/>
                <w:b w:val="1"/>
                <w:bCs w:val="1"/>
                <w:color w:val="auto"/>
                <w:w w:val="91"/>
              </w:rPr>
              <w:t>Delaware</w:t>
            </w: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45-1472564</w:t>
            </w:r>
          </w:p>
        </w:tc>
      </w:tr>
      <w:tr>
        <w:trPr>
          <w:trHeight w:val="311"/>
        </w:trPr>
        <w:tc>
          <w:tcPr>
            <w:tcW w:w="3080" w:type="dxa"/>
            <w:vAlign w:val="bottom"/>
          </w:tcPr>
          <w:p>
            <w:pPr>
              <w:jc w:val="center"/>
              <w:ind w:right="359"/>
              <w:spacing w:after="0"/>
              <w:rPr>
                <w:sz w:val="20"/>
                <w:szCs w:val="20"/>
                <w:color w:val="auto"/>
              </w:rPr>
            </w:pPr>
            <w:r>
              <w:rPr>
                <w:rFonts w:ascii="Arial" w:cs="Arial" w:eastAsia="Arial" w:hAnsi="Arial"/>
                <w:sz w:val="16"/>
                <w:szCs w:val="16"/>
                <w:color w:val="auto"/>
                <w:w w:val="92"/>
              </w:rPr>
              <w:t>(State or Other Jurisdiction of</w:t>
            </w:r>
          </w:p>
        </w:tc>
        <w:tc>
          <w:tcPr>
            <w:tcW w:w="1660" w:type="dxa"/>
            <w:vAlign w:val="bottom"/>
          </w:tcPr>
          <w:p>
            <w:pPr>
              <w:jc w:val="center"/>
              <w:ind w:left="359"/>
              <w:spacing w:after="0"/>
              <w:rPr>
                <w:sz w:val="20"/>
                <w:szCs w:val="20"/>
                <w:color w:val="auto"/>
              </w:rPr>
            </w:pPr>
            <w:r>
              <w:rPr>
                <w:rFonts w:ascii="Arial" w:cs="Arial" w:eastAsia="Arial" w:hAnsi="Arial"/>
                <w:sz w:val="16"/>
                <w:szCs w:val="16"/>
                <w:color w:val="auto"/>
                <w:w w:val="93"/>
              </w:rPr>
              <w:t>(I.R.S. Employer</w:t>
            </w:r>
          </w:p>
        </w:tc>
      </w:tr>
      <w:tr>
        <w:trPr>
          <w:trHeight w:val="310"/>
        </w:trPr>
        <w:tc>
          <w:tcPr>
            <w:tcW w:w="3080" w:type="dxa"/>
            <w:vAlign w:val="bottom"/>
          </w:tcPr>
          <w:p>
            <w:pPr>
              <w:jc w:val="center"/>
              <w:ind w:right="359"/>
              <w:spacing w:after="0"/>
              <w:rPr>
                <w:sz w:val="20"/>
                <w:szCs w:val="20"/>
                <w:color w:val="auto"/>
              </w:rPr>
            </w:pPr>
            <w:r>
              <w:rPr>
                <w:rFonts w:ascii="Arial" w:cs="Arial" w:eastAsia="Arial" w:hAnsi="Arial"/>
                <w:sz w:val="16"/>
                <w:szCs w:val="16"/>
                <w:color w:val="auto"/>
                <w:w w:val="94"/>
              </w:rPr>
              <w:t>Incorporation or Organization)</w:t>
            </w:r>
          </w:p>
        </w:tc>
        <w:tc>
          <w:tcPr>
            <w:tcW w:w="1660" w:type="dxa"/>
            <w:vAlign w:val="bottom"/>
          </w:tcPr>
          <w:p>
            <w:pPr>
              <w:jc w:val="center"/>
              <w:ind w:left="359"/>
              <w:spacing w:after="0"/>
              <w:rPr>
                <w:sz w:val="20"/>
                <w:szCs w:val="20"/>
                <w:color w:val="auto"/>
              </w:rPr>
            </w:pPr>
            <w:r>
              <w:rPr>
                <w:rFonts w:ascii="Arial" w:cs="Arial" w:eastAsia="Arial" w:hAnsi="Arial"/>
                <w:sz w:val="16"/>
                <w:szCs w:val="16"/>
                <w:color w:val="auto"/>
                <w:w w:val="97"/>
              </w:rPr>
              <w:t>Identification No.)</w:t>
            </w:r>
          </w:p>
        </w:tc>
      </w:tr>
      <w:tr>
        <w:trPr>
          <w:trHeight w:val="310"/>
        </w:trPr>
        <w:tc>
          <w:tcPr>
            <w:tcW w:w="30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2000 Sierra Point Parkway, Suite 400</w:t>
            </w:r>
          </w:p>
        </w:tc>
        <w:tc>
          <w:tcPr>
            <w:tcW w:w="1660" w:type="dxa"/>
            <w:vAlign w:val="bottom"/>
          </w:tcPr>
          <w:p>
            <w:pPr>
              <w:spacing w:after="0"/>
              <w:rPr>
                <w:sz w:val="24"/>
                <w:szCs w:val="24"/>
                <w:color w:val="auto"/>
              </w:rPr>
            </w:pPr>
          </w:p>
        </w:tc>
      </w:tr>
      <w:tr>
        <w:trPr>
          <w:trHeight w:val="310"/>
        </w:trPr>
        <w:tc>
          <w:tcPr>
            <w:tcW w:w="308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Brisbane, California</w:t>
            </w:r>
          </w:p>
        </w:tc>
        <w:tc>
          <w:tcPr>
            <w:tcW w:w="1660" w:type="dxa"/>
            <w:vAlign w:val="bottom"/>
          </w:tcPr>
          <w:p>
            <w:pPr>
              <w:jc w:val="right"/>
              <w:ind w:right="319"/>
              <w:spacing w:after="0"/>
              <w:rPr>
                <w:sz w:val="20"/>
                <w:szCs w:val="20"/>
                <w:color w:val="auto"/>
              </w:rPr>
            </w:pPr>
            <w:r>
              <w:rPr>
                <w:rFonts w:ascii="Arial" w:cs="Arial" w:eastAsia="Arial" w:hAnsi="Arial"/>
                <w:sz w:val="16"/>
                <w:szCs w:val="16"/>
                <w:b w:val="1"/>
                <w:bCs w:val="1"/>
                <w:color w:val="auto"/>
              </w:rPr>
              <w:t>94005</w:t>
            </w:r>
          </w:p>
        </w:tc>
      </w:tr>
      <w:tr>
        <w:trPr>
          <w:trHeight w:val="310"/>
        </w:trPr>
        <w:tc>
          <w:tcPr>
            <w:tcW w:w="3080" w:type="dxa"/>
            <w:vAlign w:val="bottom"/>
          </w:tcPr>
          <w:p>
            <w:pPr>
              <w:jc w:val="center"/>
              <w:ind w:right="359"/>
              <w:spacing w:after="0"/>
              <w:rPr>
                <w:sz w:val="20"/>
                <w:szCs w:val="20"/>
                <w:color w:val="auto"/>
              </w:rPr>
            </w:pPr>
            <w:r>
              <w:rPr>
                <w:rFonts w:ascii="Arial" w:cs="Arial" w:eastAsia="Arial" w:hAnsi="Arial"/>
                <w:sz w:val="16"/>
                <w:szCs w:val="16"/>
                <w:color w:val="auto"/>
                <w:w w:val="93"/>
              </w:rPr>
              <w:t>(Address of Principal Executive Offices)</w:t>
            </w:r>
          </w:p>
        </w:tc>
        <w:tc>
          <w:tcPr>
            <w:tcW w:w="1660" w:type="dxa"/>
            <w:vAlign w:val="bottom"/>
          </w:tcPr>
          <w:p>
            <w:pPr>
              <w:jc w:val="center"/>
              <w:ind w:left="359"/>
              <w:spacing w:after="0"/>
              <w:rPr>
                <w:sz w:val="20"/>
                <w:szCs w:val="20"/>
                <w:color w:val="auto"/>
              </w:rPr>
            </w:pPr>
            <w:r>
              <w:rPr>
                <w:rFonts w:ascii="Arial" w:cs="Arial" w:eastAsia="Arial" w:hAnsi="Arial"/>
                <w:sz w:val="16"/>
                <w:szCs w:val="16"/>
                <w:color w:val="auto"/>
                <w:w w:val="92"/>
              </w:rPr>
              <w:t>(Zip Code)</w:t>
            </w: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122" w:lineRule="exact"/>
        <w:rPr>
          <w:sz w:val="24"/>
          <w:szCs w:val="24"/>
          <w:color w:val="auto"/>
        </w:rPr>
      </w:pPr>
    </w:p>
    <w:p>
      <w:pPr>
        <w:ind w:left="326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71120</wp:posOffset>
            </wp:positionV>
            <wp:extent cx="1045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3" w:lineRule="exact"/>
        <w:rPr>
          <w:sz w:val="24"/>
          <w:szCs w:val="24"/>
          <w:color w:val="auto"/>
        </w:rPr>
      </w:pPr>
    </w:p>
    <w:tbl>
      <w:tblPr>
        <w:tblLayout w:type="fixed"/>
        <w:tblInd w:w="120" w:type="dxa"/>
        <w:tblCellMar>
          <w:top w:w="0" w:type="dxa"/>
          <w:left w:w="0" w:type="dxa"/>
          <w:bottom w:w="0" w:type="dxa"/>
          <w:right w:w="0" w:type="dxa"/>
        </w:tblCellMar>
      </w:tblPr>
      <w:tr>
        <w:trPr>
          <w:trHeight w:val="178"/>
        </w:trPr>
        <w:tc>
          <w:tcPr>
            <w:tcW w:w="3580" w:type="dxa"/>
            <w:vAlign w:val="bottom"/>
          </w:tcPr>
          <w:p>
            <w:pPr>
              <w:ind w:left="1440"/>
              <w:spacing w:after="0"/>
              <w:rPr>
                <w:sz w:val="20"/>
                <w:szCs w:val="20"/>
                <w:color w:val="auto"/>
              </w:rPr>
            </w:pPr>
            <w:r>
              <w:rPr>
                <w:rFonts w:ascii="Arial" w:cs="Arial" w:eastAsia="Arial" w:hAnsi="Arial"/>
                <w:sz w:val="13"/>
                <w:szCs w:val="13"/>
                <w:b w:val="1"/>
                <w:bCs w:val="1"/>
                <w:color w:val="auto"/>
              </w:rPr>
              <w:t>Title of each class</w:t>
            </w:r>
          </w:p>
        </w:tc>
        <w:tc>
          <w:tcPr>
            <w:tcW w:w="200" w:type="dxa"/>
            <w:vAlign w:val="bottom"/>
          </w:tcPr>
          <w:p>
            <w:pPr>
              <w:spacing w:after="0"/>
              <w:rPr>
                <w:sz w:val="15"/>
                <w:szCs w:val="15"/>
                <w:color w:val="auto"/>
              </w:rPr>
            </w:pPr>
          </w:p>
        </w:tc>
        <w:tc>
          <w:tcPr>
            <w:tcW w:w="3580" w:type="dxa"/>
            <w:vAlign w:val="bottom"/>
            <w:gridSpan w:val="2"/>
          </w:tcPr>
          <w:p>
            <w:pPr>
              <w:ind w:left="1300"/>
              <w:spacing w:after="0"/>
              <w:rPr>
                <w:sz w:val="20"/>
                <w:szCs w:val="20"/>
                <w:color w:val="auto"/>
              </w:rPr>
            </w:pPr>
            <w:r>
              <w:rPr>
                <w:rFonts w:ascii="Arial" w:cs="Arial" w:eastAsia="Arial" w:hAnsi="Arial"/>
                <w:sz w:val="13"/>
                <w:szCs w:val="13"/>
                <w:b w:val="1"/>
                <w:bCs w:val="1"/>
                <w:color w:val="auto"/>
              </w:rPr>
              <w:t>Trading Symbol(s)</w:t>
            </w:r>
          </w:p>
        </w:tc>
        <w:tc>
          <w:tcPr>
            <w:tcW w:w="2640" w:type="dxa"/>
            <w:vAlign w:val="bottom"/>
          </w:tcPr>
          <w:p>
            <w:pPr>
              <w:jc w:val="center"/>
              <w:spacing w:after="0"/>
              <w:rPr>
                <w:sz w:val="20"/>
                <w:szCs w:val="20"/>
                <w:color w:val="auto"/>
              </w:rPr>
            </w:pPr>
            <w:r>
              <w:rPr>
                <w:rFonts w:ascii="Arial" w:cs="Arial" w:eastAsia="Arial" w:hAnsi="Arial"/>
                <w:sz w:val="13"/>
                <w:szCs w:val="13"/>
                <w:b w:val="1"/>
                <w:bCs w:val="1"/>
                <w:color w:val="auto"/>
                <w:w w:val="84"/>
              </w:rPr>
              <w:t>Name of each exchange on which registered</w:t>
            </w:r>
          </w:p>
        </w:tc>
      </w:tr>
      <w:tr>
        <w:trPr>
          <w:trHeight w:val="37"/>
        </w:trPr>
        <w:tc>
          <w:tcPr>
            <w:tcW w:w="3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200" w:type="dxa"/>
            <w:vAlign w:val="bottom"/>
          </w:tcPr>
          <w:p>
            <w:pPr>
              <w:spacing w:after="0"/>
              <w:rPr>
                <w:sz w:val="18"/>
                <w:szCs w:val="18"/>
                <w:color w:val="auto"/>
              </w:rPr>
            </w:pPr>
          </w:p>
        </w:tc>
        <w:tc>
          <w:tcPr>
            <w:tcW w:w="35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TPST</w:t>
            </w:r>
          </w:p>
        </w:tc>
        <w:tc>
          <w:tcPr>
            <w:tcW w:w="264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230"/>
        </w:trPr>
        <w:tc>
          <w:tcPr>
            <w:tcW w:w="3580" w:type="dxa"/>
            <w:vAlign w:val="bottom"/>
          </w:tcPr>
          <w:p>
            <w:pPr>
              <w:jc w:val="center"/>
              <w:spacing w:after="0"/>
              <w:rPr>
                <w:sz w:val="20"/>
                <w:szCs w:val="20"/>
                <w:color w:val="auto"/>
              </w:rPr>
            </w:pPr>
            <w:r>
              <w:rPr>
                <w:rFonts w:ascii="Arial" w:cs="Arial" w:eastAsia="Arial" w:hAnsi="Arial"/>
                <w:sz w:val="14"/>
                <w:szCs w:val="14"/>
                <w:color w:val="auto"/>
                <w:w w:val="92"/>
              </w:rPr>
              <w:t>Series A Junior Participating Preferred Purchase Rights</w:t>
            </w:r>
          </w:p>
        </w:tc>
        <w:tc>
          <w:tcPr>
            <w:tcW w:w="200" w:type="dxa"/>
            <w:vAlign w:val="bottom"/>
          </w:tcPr>
          <w:p>
            <w:pPr>
              <w:spacing w:after="0"/>
              <w:rPr>
                <w:sz w:val="19"/>
                <w:szCs w:val="19"/>
                <w:color w:val="auto"/>
              </w:rPr>
            </w:pPr>
          </w:p>
        </w:tc>
        <w:tc>
          <w:tcPr>
            <w:tcW w:w="3580" w:type="dxa"/>
            <w:vAlign w:val="bottom"/>
            <w:gridSpan w:val="2"/>
          </w:tcPr>
          <w:p>
            <w:pPr>
              <w:jc w:val="center"/>
              <w:ind w:right="200"/>
              <w:spacing w:after="0"/>
              <w:rPr>
                <w:sz w:val="20"/>
                <w:szCs w:val="20"/>
                <w:color w:val="auto"/>
              </w:rPr>
            </w:pPr>
            <w:r>
              <w:rPr>
                <w:rFonts w:ascii="Arial" w:cs="Arial" w:eastAsia="Arial" w:hAnsi="Arial"/>
                <w:sz w:val="14"/>
                <w:szCs w:val="14"/>
                <w:color w:val="auto"/>
              </w:rPr>
              <w:t>N/A</w:t>
            </w:r>
          </w:p>
        </w:tc>
        <w:tc>
          <w:tcPr>
            <w:tcW w:w="264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88" w:lineRule="exact"/>
        <w:rPr>
          <w:sz w:val="24"/>
          <w:szCs w:val="24"/>
          <w:color w:val="auto"/>
        </w:rPr>
      </w:pPr>
    </w:p>
    <w:p>
      <w:pPr>
        <w:ind w:right="2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80" w:type="dxa"/>
        <w:tblCellMar>
          <w:top w:w="0" w:type="dxa"/>
          <w:left w:w="0" w:type="dxa"/>
          <w:bottom w:w="0" w:type="dxa"/>
          <w:right w:w="0" w:type="dxa"/>
        </w:tblCellMar>
      </w:tblPr>
      <w:tr>
        <w:trPr>
          <w:trHeight w:val="242"/>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Arial" w:cs="Arial" w:eastAsia="Arial" w:hAnsi="Arial"/>
                <w:sz w:val="14"/>
                <w:szCs w:val="14"/>
                <w:color w:val="auto"/>
              </w:rPr>
              <w:t>Accelerated filer</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2"/>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Arial" w:cs="Arial" w:eastAsia="Arial" w:hAnsi="Arial"/>
                <w:sz w:val="14"/>
                <w:szCs w:val="14"/>
                <w:color w:val="auto"/>
              </w:rPr>
              <w:t>Smaller reporting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9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91" w:lineRule="exact"/>
        <w:rPr>
          <w:sz w:val="24"/>
          <w:szCs w:val="24"/>
          <w:color w:val="auto"/>
        </w:rPr>
      </w:pPr>
    </w:p>
    <w:p>
      <w:pPr>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$0.001 par value per share, outstanding as of November 7, 2023 was 19,247,495.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0" w:type="dxa"/>
            <w:vAlign w:val="bottom"/>
            <w:gridSpan w:val="11"/>
          </w:tcPr>
          <w:p>
            <w:pPr>
              <w:jc w:val="center"/>
              <w:ind w:right="3880"/>
              <w:spacing w:after="0"/>
              <w:rPr>
                <w:sz w:val="20"/>
                <w:szCs w:val="20"/>
                <w:color w:val="auto"/>
              </w:rPr>
            </w:pPr>
            <w:r>
              <w:rPr>
                <w:rFonts w:ascii="Arial" w:cs="Arial" w:eastAsia="Arial" w:hAnsi="Arial"/>
                <w:sz w:val="16"/>
                <w:szCs w:val="16"/>
                <w:b w:val="1"/>
                <w:bCs w:val="1"/>
                <w:color w:val="auto"/>
              </w:rPr>
              <w:t>INDEX TO FORM 10-Q</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24"/>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r>
      <w:tr>
        <w:trPr>
          <w:trHeight w:val="277"/>
        </w:trPr>
        <w:tc>
          <w:tcPr>
            <w:tcW w:w="10660" w:type="dxa"/>
            <w:vAlign w:val="bottom"/>
            <w:gridSpan w:val="24"/>
          </w:tcPr>
          <w:p>
            <w:pPr>
              <w:ind w:left="80"/>
              <w:spacing w:after="0"/>
              <w:rPr>
                <w:sz w:val="20"/>
                <w:szCs w:val="20"/>
                <w:color w:val="auto"/>
              </w:rPr>
            </w:pPr>
            <w:r>
              <w:rPr>
                <w:rFonts w:ascii="Arial" w:cs="Arial" w:eastAsia="Arial" w:hAnsi="Arial"/>
                <w:sz w:val="18"/>
                <w:szCs w:val="18"/>
                <w:color w:val="0000FF"/>
              </w:rPr>
              <w:t>Special Note Regarding Forward-Looking Statements</w:t>
            </w: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00FF"/>
                <w:w w:val="89"/>
              </w:rPr>
              <w:t>3</w:t>
            </w:r>
          </w:p>
        </w:tc>
        <w:tc>
          <w:tcPr>
            <w:tcW w:w="24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PART I — FINANCIAL INFORMATION</w:t>
            </w:r>
          </w:p>
        </w:tc>
        <w:tc>
          <w:tcPr>
            <w:tcW w:w="3280" w:type="dxa"/>
            <w:vAlign w:val="bottom"/>
            <w:gridSpan w:val="7"/>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5</w:t>
            </w:r>
          </w:p>
        </w:tc>
        <w:tc>
          <w:tcPr>
            <w:tcW w:w="240" w:type="dxa"/>
            <w:vAlign w:val="bottom"/>
          </w:tcPr>
          <w:p>
            <w:pPr>
              <w:spacing w:after="0"/>
              <w:rPr>
                <w:sz w:val="24"/>
                <w:szCs w:val="24"/>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1.</w:t>
            </w:r>
          </w:p>
        </w:tc>
        <w:tc>
          <w:tcPr>
            <w:tcW w:w="932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5</w:t>
            </w:r>
          </w:p>
        </w:tc>
        <w:tc>
          <w:tcPr>
            <w:tcW w:w="2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5</w:t>
            </w:r>
          </w:p>
        </w:tc>
        <w:tc>
          <w:tcPr>
            <w:tcW w:w="2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FF"/>
                <w:w w:val="96"/>
              </w:rPr>
              <w:t>Condensed Consolidated Statements of Operations for the Three and Nine Months Ended September 30, 2023 and 2022</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6</w:t>
            </w:r>
          </w:p>
        </w:tc>
        <w:tc>
          <w:tcPr>
            <w:tcW w:w="2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FF"/>
                <w:w w:val="93"/>
              </w:rPr>
              <w:t>Condensed Consolidated Statements of Stockholders’ Equity for the Three and Nine Months Ended September 30, 2023 and</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0000FF"/>
                <w:w w:val="79"/>
              </w:rPr>
              <w:t>2022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7</w:t>
            </w:r>
          </w:p>
        </w:tc>
        <w:tc>
          <w:tcPr>
            <w:tcW w:w="2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2023 and 2022</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8</w:t>
            </w:r>
          </w:p>
        </w:tc>
        <w:tc>
          <w:tcPr>
            <w:tcW w:w="2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9</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2.</w:t>
            </w:r>
          </w:p>
        </w:tc>
        <w:tc>
          <w:tcPr>
            <w:tcW w:w="932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19</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3.</w:t>
            </w:r>
          </w:p>
        </w:tc>
        <w:tc>
          <w:tcPr>
            <w:tcW w:w="932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27</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4.</w:t>
            </w:r>
          </w:p>
        </w:tc>
        <w:tc>
          <w:tcPr>
            <w:tcW w:w="932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28</w:t>
            </w:r>
          </w:p>
        </w:tc>
        <w:tc>
          <w:tcPr>
            <w:tcW w:w="240" w:type="dxa"/>
            <w:vAlign w:val="bottom"/>
          </w:tcPr>
          <w:p>
            <w:pPr>
              <w:spacing w:after="0"/>
              <w:rPr>
                <w:sz w:val="24"/>
                <w:szCs w:val="24"/>
                <w:color w:val="auto"/>
              </w:rPr>
            </w:pPr>
          </w:p>
        </w:tc>
      </w:tr>
      <w:tr>
        <w:trPr>
          <w:trHeight w:val="574"/>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6"/>
              </w:rPr>
              <w:t>PART II — OTHER INFORMATION</w:t>
            </w:r>
          </w:p>
        </w:tc>
        <w:tc>
          <w:tcPr>
            <w:tcW w:w="3440" w:type="dxa"/>
            <w:vAlign w:val="bottom"/>
            <w:gridSpan w:val="8"/>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29</w:t>
            </w:r>
          </w:p>
        </w:tc>
        <w:tc>
          <w:tcPr>
            <w:tcW w:w="240" w:type="dxa"/>
            <w:vAlign w:val="bottom"/>
          </w:tcPr>
          <w:p>
            <w:pPr>
              <w:spacing w:after="0"/>
              <w:rPr>
                <w:sz w:val="24"/>
                <w:szCs w:val="24"/>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1.</w:t>
            </w:r>
          </w:p>
        </w:tc>
        <w:tc>
          <w:tcPr>
            <w:tcW w:w="932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29</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1A.</w:t>
            </w:r>
          </w:p>
        </w:tc>
        <w:tc>
          <w:tcPr>
            <w:tcW w:w="93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29</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2.</w:t>
            </w:r>
          </w:p>
        </w:tc>
        <w:tc>
          <w:tcPr>
            <w:tcW w:w="932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80</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11"/>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3.</w:t>
            </w:r>
          </w:p>
        </w:tc>
        <w:tc>
          <w:tcPr>
            <w:tcW w:w="932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80</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4.</w:t>
            </w:r>
          </w:p>
        </w:tc>
        <w:tc>
          <w:tcPr>
            <w:tcW w:w="932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80</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6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5.</w:t>
            </w:r>
          </w:p>
        </w:tc>
        <w:tc>
          <w:tcPr>
            <w:tcW w:w="932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80</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auto"/>
              </w:rPr>
              <w:t>Item 6.</w:t>
            </w:r>
          </w:p>
        </w:tc>
        <w:tc>
          <w:tcPr>
            <w:tcW w:w="932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340" w:type="dxa"/>
            <w:vAlign w:val="bottom"/>
          </w:tcPr>
          <w:p>
            <w:pPr>
              <w:jc w:val="center"/>
              <w:spacing w:after="0"/>
              <w:rPr>
                <w:sz w:val="20"/>
                <w:szCs w:val="20"/>
                <w:color w:val="auto"/>
              </w:rPr>
            </w:pPr>
            <w:r>
              <w:rPr>
                <w:rFonts w:ascii="Arial" w:cs="Arial" w:eastAsia="Arial" w:hAnsi="Arial"/>
                <w:sz w:val="16"/>
                <w:szCs w:val="16"/>
                <w:color w:val="0000FF"/>
                <w:w w:val="89"/>
              </w:rPr>
              <w:t>81</w:t>
            </w:r>
          </w:p>
        </w:tc>
        <w:tc>
          <w:tcPr>
            <w:tcW w:w="240" w:type="dxa"/>
            <w:vAlign w:val="bottom"/>
          </w:tcPr>
          <w:p>
            <w:pPr>
              <w:spacing w:after="0"/>
              <w:rPr>
                <w:sz w:val="24"/>
                <w:szCs w:val="24"/>
                <w:color w:val="auto"/>
              </w:rPr>
            </w:pPr>
          </w:p>
        </w:tc>
      </w:tr>
      <w:tr>
        <w:trPr>
          <w:trHeight w:val="277"/>
        </w:trPr>
        <w:tc>
          <w:tcPr>
            <w:tcW w:w="1340" w:type="dxa"/>
            <w:vAlign w:val="bottom"/>
            <w:gridSpan w:val="3"/>
          </w:tcPr>
          <w:p>
            <w:pPr>
              <w:ind w:left="80"/>
              <w:spacing w:after="0"/>
              <w:rPr>
                <w:sz w:val="20"/>
                <w:szCs w:val="20"/>
                <w:color w:val="auto"/>
              </w:rPr>
            </w:pPr>
            <w:r>
              <w:rPr>
                <w:rFonts w:ascii="Arial" w:cs="Arial" w:eastAsia="Arial" w:hAnsi="Arial"/>
                <w:sz w:val="18"/>
                <w:szCs w:val="18"/>
                <w:color w:val="0000FF"/>
              </w:rPr>
              <w:t>Signatures</w:t>
            </w: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82"/>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12"/>
          </w:tcPr>
          <w:p>
            <w:pPr>
              <w:jc w:val="right"/>
              <w:ind w:right="2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contained in this Quarterly Report on Form 10-Q include, but are not limited to, statements about:</w:t>
      </w:r>
    </w:p>
    <w:p>
      <w:pPr>
        <w:spacing w:after="0" w:line="198"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future growth and our ability to manage such growth;</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TPST-1495 and TPST-1120 and our future product candidates;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regulatory approval, efficacy and commercialization of competing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sales and marketing capabilities or enter into agreements with third parties to market and sell our product candidates;</w:t>
      </w:r>
    </w:p>
    <w:p>
      <w:pPr>
        <w:spacing w:after="0" w:line="20" w:lineRule="exact"/>
        <w:rPr>
          <w:rFonts w:ascii="Arial" w:cs="Arial" w:eastAsia="Arial" w:hAnsi="Arial"/>
          <w:sz w:val="17"/>
          <w:szCs w:val="17"/>
          <w:color w:val="auto"/>
        </w:rPr>
      </w:pPr>
    </w:p>
    <w:p>
      <w:pPr>
        <w:ind w:left="280" w:hanging="272"/>
        <w:spacing w:after="0" w:line="250"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regulatory approval for our product candidates or future product candidates in the United States and in any foreign countries in which we make seek to do business;</w:t>
      </w: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our board of directors, senior management, or operational personnel;</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period during which we will qualify as a smaller reporting company under the federal securities laws;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maintain our corporate infrastructure, including our ability to design and maintain an effective system of internal controls;</w:t>
      </w:r>
    </w:p>
    <w:p>
      <w:pPr>
        <w:spacing w:after="0" w:line="32" w:lineRule="exact"/>
        <w:rPr>
          <w:rFonts w:ascii="Arial" w:cs="Arial" w:eastAsia="Arial" w:hAnsi="Arial"/>
          <w:sz w:val="16"/>
          <w:szCs w:val="16"/>
          <w:color w:val="auto"/>
        </w:rPr>
      </w:pPr>
    </w:p>
    <w:p>
      <w:pPr>
        <w:ind w:left="280" w:hanging="272"/>
        <w:spacing w:after="0" w:line="260"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our obligations under our term loan with Oxford Finance LLC, or to obtain a waiver from Oxford for any failure to comply with the covenants contained in such term loan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left="280" w:hanging="272"/>
        <w:spacing w:after="0" w:line="258"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and abroad, including as a result of bank failures, public health crises or geopolitical tensions; and</w:t>
      </w:r>
    </w:p>
    <w:p>
      <w:pPr>
        <w:spacing w:after="0" w:line="1" w:lineRule="exact"/>
        <w:rPr>
          <w:rFonts w:ascii="Arial" w:cs="Arial" w:eastAsia="Arial" w:hAnsi="Arial"/>
          <w:sz w:val="18"/>
          <w:szCs w:val="18"/>
          <w:color w:val="auto"/>
        </w:rPr>
      </w:pPr>
    </w:p>
    <w:p>
      <w:pPr>
        <w:ind w:left="280" w:hanging="272"/>
        <w:spacing w:after="0" w:line="290" w:lineRule="auto"/>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suggests otherwise, references in this Quarterly Report on Form 10-Q to “Tempest,” “the Company,” “we,” “us,” and “our” refer to Tempest Therapeutics, Inc. and, where appropriate, its subsidiaries.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TEMPEST THERAPEUTICS, INC.</w:t>
      </w:r>
    </w:p>
    <w:p>
      <w:pPr>
        <w:spacing w:after="0" w:line="1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w w:val="89"/>
              </w:rPr>
              <w:t>September 30, 2023</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7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December 31, 2022</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Insurance recovery of legal settlement</w:t>
            </w:r>
          </w:p>
        </w:tc>
        <w:tc>
          <w:tcPr>
            <w:tcW w:w="100" w:type="dxa"/>
            <w:vAlign w:val="bottom"/>
          </w:tcPr>
          <w:p>
            <w:pPr>
              <w:spacing w:after="0"/>
              <w:rPr>
                <w:sz w:val="20"/>
                <w:szCs w:val="20"/>
                <w:color w:val="auto"/>
              </w:rPr>
            </w:pPr>
          </w:p>
        </w:tc>
        <w:tc>
          <w:tcPr>
            <w:tcW w:w="1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12,291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32,950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 net</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10,382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23,987</w:t>
            </w:r>
          </w:p>
        </w:tc>
        <w:tc>
          <w:tcPr>
            <w:tcW w:w="3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Accrued legal settlement</w:t>
            </w:r>
          </w:p>
        </w:tc>
        <w:tc>
          <w:tcPr>
            <w:tcW w:w="100" w:type="dxa"/>
            <w:vAlign w:val="bottom"/>
          </w:tcPr>
          <w:p>
            <w:pPr>
              <w:spacing w:after="0"/>
              <w:rPr>
                <w:sz w:val="20"/>
                <w:szCs w:val="20"/>
                <w:color w:val="auto"/>
              </w:rPr>
            </w:pPr>
          </w:p>
        </w:tc>
        <w:tc>
          <w:tcPr>
            <w:tcW w:w="1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Current loan payable (net of discount and issuance costs of $65 and nil, respectively)</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payable</w:t>
            </w:r>
          </w:p>
        </w:tc>
        <w:tc>
          <w:tcPr>
            <w:tcW w:w="1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7,422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 payable (net of discount and issuance costs of $255 and $454, respectively)</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25,177</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w w:val="92"/>
              </w:rPr>
              <w:t>Common stock, $0.001 par value; 100,000,000 shares authorized; 14,323,405 and 10,518,539 shares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issued and outstanding at September 30, 2023 and December 31, 2022, respectively</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153,872</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1"/>
                <w:szCs w:val="21"/>
                <w:color w:val="auto"/>
              </w:rPr>
            </w:pP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(157,775 )</w:t>
            </w:r>
          </w:p>
        </w:tc>
        <w:tc>
          <w:tcPr>
            <w:tcW w:w="10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(135,772 )</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23,987</w:t>
            </w:r>
          </w:p>
        </w:tc>
        <w:tc>
          <w:tcPr>
            <w:tcW w:w="3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-4105275</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-3479800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-1902460</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-1268095</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 w:name="page6"/>
    <w:bookmarkEnd w:id="5"/>
    <w:p>
      <w:pPr>
        <w:ind w:firstLine="3398"/>
        <w:spacing w:after="0" w:line="371" w:lineRule="auto"/>
        <w:framePr w:w="5760" w:h="606" w:wrap="auto" w:vAnchor="page" w:hAnchor="page" w:x="3260" w:y="6109"/>
        <w:rPr>
          <w:rFonts w:ascii="Arial" w:cs="Arial" w:eastAsia="Arial" w:hAnsi="Arial"/>
          <w:sz w:val="17"/>
          <w:szCs w:val="17"/>
          <w:color w:val="auto"/>
        </w:rPr>
      </w:pPr>
      <w:r>
        <w:rPr>
          <w:rFonts w:ascii="Arial" w:cs="Arial" w:eastAsia="Arial" w:hAnsi="Arial"/>
          <w:sz w:val="17"/>
          <w:szCs w:val="17"/>
          <w:color w:val="auto"/>
        </w:rPr>
        <w:t>14,121,805 13,635,927 See accompanying Notes to the Condensed Consolidated Financial Statements</w:t>
      </w:r>
    </w:p>
    <w:p>
      <w:pPr>
        <w:ind w:firstLine="3398"/>
        <w:spacing w:after="0" w:line="371" w:lineRule="auto"/>
        <w:framePr w:w="160" w:h="160" w:wrap="auto" w:vAnchor="page" w:hAnchor="page" w:x="5860" w:y="6959"/>
        <w:rPr>
          <w:rFonts w:ascii="Arial" w:cs="Arial" w:eastAsia="Arial" w:hAnsi="Arial"/>
          <w:sz w:val="13"/>
          <w:szCs w:val="13"/>
          <w:color w:val="auto"/>
        </w:rPr>
      </w:pPr>
      <w:r>
        <w:rPr>
          <w:rFonts w:ascii="Arial" w:cs="Arial" w:eastAsia="Arial" w:hAnsi="Arial"/>
          <w:sz w:val="13"/>
          <w:szCs w:val="13"/>
          <w:color w:val="auto"/>
        </w:rPr>
        <w:t>6</w:t>
      </w: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rFonts w:ascii="Arial" w:cs="Arial" w:eastAsia="Arial" w:hAnsi="Arial"/>
          <w:sz w:val="13"/>
          <w:szCs w:val="13"/>
          <w:color w:val="auto"/>
        </w:rPr>
      </w:pPr>
    </w:p>
    <w:p>
      <w:pPr>
        <w:spacing w:after="0" w:line="300" w:lineRule="exact"/>
        <w:rPr>
          <w:rFonts w:ascii="Arial" w:cs="Arial" w:eastAsia="Arial" w:hAnsi="Arial"/>
          <w:sz w:val="13"/>
          <w:szCs w:val="13"/>
          <w:color w:val="auto"/>
        </w:rPr>
      </w:pPr>
    </w:p>
    <w:p>
      <w:pPr>
        <w:ind w:left="4560"/>
        <w:spacing w:after="0"/>
        <w:rPr>
          <w:sz w:val="20"/>
          <w:szCs w:val="20"/>
          <w:color w:val="auto"/>
        </w:rPr>
      </w:pPr>
      <w:r>
        <w:rPr>
          <w:rFonts w:ascii="Arial" w:cs="Arial" w:eastAsia="Arial" w:hAnsi="Arial"/>
          <w:sz w:val="16"/>
          <w:szCs w:val="16"/>
          <w:b w:val="1"/>
          <w:bCs w:val="1"/>
          <w:color w:val="auto"/>
        </w:rPr>
        <w:t>TEMPEST THERAPEUTICS, INC.</w:t>
      </w:r>
    </w:p>
    <w:p>
      <w:pPr>
        <w:spacing w:after="0" w:line="26" w:lineRule="exact"/>
        <w:rPr>
          <w:rFonts w:ascii="Arial" w:cs="Arial" w:eastAsia="Arial" w:hAnsi="Arial"/>
          <w:sz w:val="13"/>
          <w:szCs w:val="13"/>
          <w:color w:val="auto"/>
        </w:rPr>
      </w:pPr>
    </w:p>
    <w:p>
      <w:pPr>
        <w:ind w:left="386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rFonts w:ascii="Arial" w:cs="Arial" w:eastAsia="Arial" w:hAnsi="Arial"/>
          <w:sz w:val="13"/>
          <w:szCs w:val="13"/>
          <w:color w:val="auto"/>
        </w:rPr>
      </w:pPr>
    </w:p>
    <w:p>
      <w:pPr>
        <w:jc w:val="center"/>
        <w:ind w:left="360"/>
        <w:spacing w:after="0"/>
        <w:rPr>
          <w:sz w:val="20"/>
          <w:szCs w:val="20"/>
          <w:color w:val="auto"/>
        </w:rPr>
      </w:pPr>
      <w:r>
        <w:rPr>
          <w:rFonts w:ascii="Arial" w:cs="Arial" w:eastAsia="Arial" w:hAnsi="Arial"/>
          <w:sz w:val="16"/>
          <w:szCs w:val="16"/>
          <w:b w:val="1"/>
          <w:bCs w:val="1"/>
          <w:color w:val="auto"/>
        </w:rPr>
        <w:t>(Unaudited)</w:t>
      </w:r>
    </w:p>
    <w:p>
      <w:pPr>
        <w:spacing w:after="0" w:line="19" w:lineRule="exact"/>
        <w:rPr>
          <w:rFonts w:ascii="Arial" w:cs="Arial" w:eastAsia="Arial" w:hAnsi="Arial"/>
          <w:sz w:val="13"/>
          <w:szCs w:val="13"/>
          <w:color w:val="auto"/>
        </w:rPr>
      </w:pPr>
    </w:p>
    <w:p>
      <w:pPr>
        <w:jc w:val="center"/>
        <w:ind w:left="36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58" w:lineRule="exact"/>
        <w:rPr>
          <w:rFonts w:ascii="Arial" w:cs="Arial" w:eastAsia="Arial" w:hAnsi="Arial"/>
          <w:sz w:val="13"/>
          <w:szCs w:val="13"/>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Nine Months Ended September</w:t>
            </w:r>
          </w:p>
        </w:tc>
      </w:tr>
      <w:tr>
        <w:trPr>
          <w:trHeight w:val="223"/>
        </w:trPr>
        <w:tc>
          <w:tcPr>
            <w:tcW w:w="5980" w:type="dxa"/>
            <w:vAlign w:val="bottom"/>
          </w:tcPr>
          <w:p>
            <w:pPr>
              <w:spacing w:after="0"/>
              <w:rPr>
                <w:sz w:val="19"/>
                <w:szCs w:val="19"/>
                <w:color w:val="auto"/>
              </w:rPr>
            </w:pPr>
          </w:p>
        </w:tc>
        <w:tc>
          <w:tcPr>
            <w:tcW w:w="2940" w:type="dxa"/>
            <w:vAlign w:val="bottom"/>
            <w:gridSpan w:val="8"/>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9"/>
                <w:szCs w:val="19"/>
                <w:color w:val="auto"/>
              </w:rPr>
            </w:pPr>
          </w:p>
        </w:tc>
        <w:tc>
          <w:tcPr>
            <w:tcW w:w="1080" w:type="dxa"/>
            <w:vAlign w:val="bottom"/>
            <w:gridSpan w:val="3"/>
          </w:tcPr>
          <w:p>
            <w:pPr>
              <w:ind w:left="860"/>
              <w:spacing w:after="0"/>
              <w:rPr>
                <w:sz w:val="20"/>
                <w:szCs w:val="20"/>
                <w:color w:val="auto"/>
              </w:rPr>
            </w:pPr>
            <w:r>
              <w:rPr>
                <w:rFonts w:ascii="Arial" w:cs="Arial" w:eastAsia="Arial" w:hAnsi="Arial"/>
                <w:sz w:val="16"/>
                <w:szCs w:val="16"/>
                <w:b w:val="1"/>
                <w:bCs w:val="1"/>
                <w:color w:val="auto"/>
                <w:w w:val="89"/>
              </w:rPr>
              <w:t>30,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9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tcPr>
          <w:p>
            <w:pPr>
              <w:spacing w:after="0"/>
              <w:rPr>
                <w:sz w:val="20"/>
                <w:szCs w:val="20"/>
                <w:color w:val="auto"/>
              </w:rPr>
            </w:pPr>
          </w:p>
        </w:tc>
      </w:tr>
      <w:tr>
        <w:trPr>
          <w:trHeight w:val="24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5980" w:type="dxa"/>
            <w:vAlign w:val="bottom"/>
          </w:tcPr>
          <w:p>
            <w:pPr>
              <w:ind w:left="30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(6,592 )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(8,771 )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(21,643 )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(25,706 )</w:t>
            </w: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9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(373 )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(389 )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(1,186 )</w:t>
            </w:r>
          </w:p>
        </w:tc>
      </w:tr>
      <w:tr>
        <w:trPr>
          <w:trHeight w:val="24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Interest income and other income (expense), net</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5980" w:type="dxa"/>
            <w:vAlign w:val="bottom"/>
          </w:tcPr>
          <w:p>
            <w:pPr>
              <w:ind w:left="30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(194 )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(900 )</w:t>
            </w:r>
          </w:p>
        </w:tc>
      </w:tr>
      <w:tr>
        <w:trPr>
          <w:trHeight w:val="237"/>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(6,786 )</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(8,947 )</w:t>
            </w:r>
          </w:p>
        </w:tc>
        <w:tc>
          <w:tcPr>
            <w:tcW w:w="1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(22,003 )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(26,606 )</w:t>
            </w:r>
          </w:p>
        </w:tc>
      </w:tr>
      <w:tr>
        <w:trPr>
          <w:trHeight w:val="20"/>
        </w:trPr>
        <w:tc>
          <w:tcPr>
            <w:tcW w:w="5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3"/>
              </w:rPr>
              <w:t>Net loss per share of common stock and pre-funded warrants, basic and diluted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980" w:type="dxa"/>
            <w:vAlign w:val="bottom"/>
          </w:tcPr>
          <w:p>
            <w:pPr>
              <w:ind w:left="20"/>
              <w:spacing w:after="0" w:line="195" w:lineRule="exact"/>
              <w:rPr>
                <w:sz w:val="20"/>
                <w:szCs w:val="20"/>
                <w:color w:val="auto"/>
              </w:rPr>
            </w:pPr>
            <w:r>
              <w:rPr>
                <w:rFonts w:ascii="Arial" w:cs="Arial" w:eastAsia="Arial" w:hAnsi="Arial"/>
                <w:sz w:val="18"/>
                <w:szCs w:val="18"/>
                <w:color w:val="auto"/>
              </w:rPr>
              <w:t>Weighted-average shares of common stock and pre-funded warrants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14,059,008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10,815,900</w:t>
            </w:r>
          </w:p>
        </w:tc>
        <w:tc>
          <w:tcPr>
            <w:tcW w:w="100" w:type="dxa"/>
            <w:vAlign w:val="bottom"/>
          </w:tcPr>
          <w:p>
            <w:pPr>
              <w:spacing w:after="0"/>
              <w:rPr>
                <w:sz w:val="20"/>
                <w:szCs w:val="20"/>
                <w:color w:val="auto"/>
              </w:rPr>
            </w:pPr>
          </w:p>
        </w:tc>
      </w:tr>
      <w:tr>
        <w:trPr>
          <w:trHeight w:val="965"/>
        </w:trPr>
        <w:tc>
          <w:tcPr>
            <w:tcW w:w="5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4573905</wp:posOffset>
            </wp:positionH>
            <wp:positionV relativeFrom="paragraph">
              <wp:posOffset>-2365375</wp:posOffset>
            </wp:positionV>
            <wp:extent cx="7747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-2365375</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-2365375</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-1739265</wp:posOffset>
            </wp:positionV>
            <wp:extent cx="774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-1739265</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-1739265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-1414145</wp:posOffset>
            </wp:positionV>
            <wp:extent cx="7747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-1414145</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-1414145</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-1071245</wp:posOffset>
            </wp:positionV>
            <wp:extent cx="2562860" cy="454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4546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TEMPEST THERAPEUTICS, INC.</w:t>
      </w:r>
    </w:p>
    <w:p>
      <w:pPr>
        <w:spacing w:after="0" w:line="26"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20"/>
                <w:szCs w:val="20"/>
                <w:color w:val="auto"/>
              </w:rPr>
            </w:pPr>
            <w:r>
              <w:rPr>
                <w:rFonts w:ascii="Arial" w:cs="Arial" w:eastAsia="Arial" w:hAnsi="Arial"/>
                <w:sz w:val="16"/>
                <w:szCs w:val="16"/>
                <w:b w:val="1"/>
                <w:bCs w:val="1"/>
                <w:color w:val="auto"/>
              </w:rPr>
              <w:t>Three and Nine Months Ended September 30, 2023</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4000" w:type="dxa"/>
            <w:vAlign w:val="bottom"/>
          </w:tcPr>
          <w:p>
            <w:pPr>
              <w:spacing w:after="0"/>
              <w:rPr>
                <w:sz w:val="24"/>
                <w:szCs w:val="24"/>
                <w:color w:val="auto"/>
              </w:rPr>
            </w:pPr>
          </w:p>
        </w:tc>
        <w:tc>
          <w:tcPr>
            <w:tcW w:w="2600" w:type="dxa"/>
            <w:vAlign w:val="bottom"/>
            <w:gridSpan w:val="4"/>
            <w:vMerge w:val="restart"/>
          </w:tcPr>
          <w:p>
            <w:pPr>
              <w:jc w:val="right"/>
              <w:ind w:right="687"/>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47"/>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18"/>
                <w:szCs w:val="18"/>
                <w:color w:val="auto"/>
              </w:rPr>
            </w:pPr>
          </w:p>
        </w:tc>
        <w:tc>
          <w:tcPr>
            <w:tcW w:w="260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27"/>
              <w:spacing w:after="0"/>
              <w:rPr>
                <w:sz w:val="20"/>
                <w:szCs w:val="20"/>
                <w:color w:val="auto"/>
              </w:rPr>
            </w:pPr>
            <w:r>
              <w:rPr>
                <w:rFonts w:ascii="Arial" w:cs="Arial" w:eastAsia="Arial" w:hAnsi="Arial"/>
                <w:sz w:val="16"/>
                <w:szCs w:val="16"/>
                <w:b w:val="1"/>
                <w:bCs w:val="1"/>
                <w:color w:val="auto"/>
                <w:w w:val="97"/>
              </w:rPr>
              <w:t>Paid-In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8"/>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1200" w:type="dxa"/>
            <w:vAlign w:val="bottom"/>
          </w:tcPr>
          <w:p>
            <w:pPr>
              <w:jc w:val="right"/>
              <w:ind w:right="287"/>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07"/>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07"/>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8"/>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Equity (Deficit)</w:t>
            </w: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December 31,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10,518,539</w:t>
            </w: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153,872</w:t>
            </w: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(135,772</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18,111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Issuance of common stock for cash</w:t>
            </w:r>
          </w:p>
        </w:tc>
        <w:tc>
          <w:tcPr>
            <w:tcW w:w="1200" w:type="dxa"/>
            <w:vAlign w:val="bottom"/>
          </w:tcPr>
          <w:p>
            <w:pPr>
              <w:jc w:val="right"/>
              <w:spacing w:after="0"/>
              <w:rPr>
                <w:sz w:val="20"/>
                <w:szCs w:val="20"/>
                <w:color w:val="auto"/>
              </w:rPr>
            </w:pPr>
            <w:r>
              <w:rPr>
                <w:rFonts w:ascii="Arial" w:cs="Arial" w:eastAsia="Arial" w:hAnsi="Arial"/>
                <w:sz w:val="14"/>
                <w:szCs w:val="14"/>
                <w:color w:val="auto"/>
              </w:rPr>
              <w:t>43,161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(7,636 )</w:t>
            </w:r>
          </w:p>
        </w:tc>
        <w:tc>
          <w:tcPr>
            <w:tcW w:w="12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(7,636 )</w:t>
            </w:r>
          </w:p>
        </w:tc>
        <w:tc>
          <w:tcPr>
            <w:tcW w:w="0" w:type="dxa"/>
            <w:vAlign w:val="bottom"/>
          </w:tcPr>
          <w:p>
            <w:pPr>
              <w:spacing w:after="0"/>
              <w:rPr>
                <w:sz w:val="1"/>
                <w:szCs w:val="1"/>
                <w:color w:val="auto"/>
              </w:rPr>
            </w:pPr>
          </w:p>
        </w:tc>
      </w:tr>
      <w:tr>
        <w:trPr>
          <w:trHeight w:val="169"/>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March 31, 2023</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10,561,700</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154,362</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(143,408</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Issuance of common stock for cash, net of issuance cost of $30</w:t>
            </w:r>
          </w:p>
        </w:tc>
        <w:tc>
          <w:tcPr>
            <w:tcW w:w="1200" w:type="dxa"/>
            <w:vAlign w:val="bottom"/>
          </w:tcPr>
          <w:p>
            <w:pPr>
              <w:jc w:val="right"/>
              <w:spacing w:after="0"/>
              <w:rPr>
                <w:sz w:val="20"/>
                <w:szCs w:val="20"/>
                <w:color w:val="auto"/>
              </w:rPr>
            </w:pPr>
            <w:r>
              <w:rPr>
                <w:rFonts w:ascii="Arial" w:cs="Arial" w:eastAsia="Arial" w:hAnsi="Arial"/>
                <w:sz w:val="14"/>
                <w:szCs w:val="14"/>
                <w:color w:val="auto"/>
              </w:rPr>
              <w:t>537,546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pre-funded warrants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1,484,174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(7,581 )</w:t>
            </w:r>
          </w:p>
        </w:tc>
        <w:tc>
          <w:tcPr>
            <w:tcW w:w="12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(7,581 )</w:t>
            </w:r>
          </w:p>
        </w:tc>
        <w:tc>
          <w:tcPr>
            <w:tcW w:w="0" w:type="dxa"/>
            <w:vAlign w:val="bottom"/>
          </w:tcPr>
          <w:p>
            <w:pPr>
              <w:spacing w:after="0"/>
              <w:rPr>
                <w:sz w:val="1"/>
                <w:szCs w:val="1"/>
                <w:color w:val="auto"/>
              </w:rPr>
            </w:pPr>
          </w:p>
        </w:tc>
      </w:tr>
      <w:tr>
        <w:trPr>
          <w:trHeight w:val="169"/>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June 30, 2023</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12,583,833</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155,988</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(150,989</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Issuance of common stock for cash</w:t>
            </w:r>
          </w:p>
        </w:tc>
        <w:tc>
          <w:tcPr>
            <w:tcW w:w="1200" w:type="dxa"/>
            <w:vAlign w:val="bottom"/>
          </w:tcPr>
          <w:p>
            <w:pPr>
              <w:jc w:val="right"/>
              <w:spacing w:after="0"/>
              <w:rPr>
                <w:sz w:val="20"/>
                <w:szCs w:val="20"/>
                <w:color w:val="auto"/>
              </w:rPr>
            </w:pPr>
            <w:r>
              <w:rPr>
                <w:rFonts w:ascii="Arial" w:cs="Arial" w:eastAsia="Arial" w:hAnsi="Arial"/>
                <w:sz w:val="14"/>
                <w:szCs w:val="14"/>
                <w:color w:val="auto"/>
              </w:rPr>
              <w:t>20,961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pre-funded warrants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1,718,611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(6,786 )</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(6,786 )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tcPr>
          <w:p>
            <w:pPr>
              <w:ind w:left="20"/>
              <w:spacing w:after="0" w:line="155" w:lineRule="exact"/>
              <w:rPr>
                <w:sz w:val="20"/>
                <w:szCs w:val="20"/>
                <w:color w:val="auto"/>
              </w:rPr>
            </w:pPr>
            <w:r>
              <w:rPr>
                <w:rFonts w:ascii="Arial" w:cs="Arial" w:eastAsia="Arial" w:hAnsi="Arial"/>
                <w:sz w:val="14"/>
                <w:szCs w:val="14"/>
                <w:color w:val="auto"/>
              </w:rPr>
              <w:t>BALANCE — September 30, 2023</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14,323,405</w:t>
            </w:r>
          </w:p>
        </w:tc>
        <w:tc>
          <w:tcPr>
            <w:tcW w:w="240" w:type="dxa"/>
            <w:vAlign w:val="bottom"/>
          </w:tcPr>
          <w:p>
            <w:pPr>
              <w:spacing w:after="0"/>
              <w:rPr>
                <w:sz w:val="14"/>
                <w:szCs w:val="14"/>
                <w:color w:val="auto"/>
              </w:rPr>
            </w:pPr>
          </w:p>
        </w:tc>
        <w:tc>
          <w:tcPr>
            <w:tcW w:w="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156,571</w:t>
            </w:r>
          </w:p>
        </w:tc>
        <w:tc>
          <w:tcPr>
            <w:tcW w:w="2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(157,775 )</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(1,190 )</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Three and Nine Months Ended September 30, 2022</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0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000" w:type="dxa"/>
            <w:vAlign w:val="bottom"/>
          </w:tcPr>
          <w:p>
            <w:pPr>
              <w:spacing w:after="0"/>
              <w:rPr>
                <w:sz w:val="24"/>
                <w:szCs w:val="24"/>
                <w:color w:val="auto"/>
              </w:rPr>
            </w:pPr>
          </w:p>
        </w:tc>
        <w:tc>
          <w:tcPr>
            <w:tcW w:w="2600" w:type="dxa"/>
            <w:vAlign w:val="bottom"/>
            <w:gridSpan w:val="4"/>
            <w:vMerge w:val="restart"/>
          </w:tcPr>
          <w:p>
            <w:pPr>
              <w:jc w:val="right"/>
              <w:ind w:right="687"/>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47"/>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18"/>
                <w:szCs w:val="18"/>
                <w:color w:val="auto"/>
              </w:rPr>
            </w:pPr>
          </w:p>
        </w:tc>
        <w:tc>
          <w:tcPr>
            <w:tcW w:w="260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27"/>
              <w:spacing w:after="0"/>
              <w:rPr>
                <w:sz w:val="20"/>
                <w:szCs w:val="20"/>
                <w:color w:val="auto"/>
              </w:rPr>
            </w:pPr>
            <w:r>
              <w:rPr>
                <w:rFonts w:ascii="Arial" w:cs="Arial" w:eastAsia="Arial" w:hAnsi="Arial"/>
                <w:sz w:val="16"/>
                <w:szCs w:val="16"/>
                <w:b w:val="1"/>
                <w:bCs w:val="1"/>
                <w:color w:val="auto"/>
                <w:w w:val="97"/>
              </w:rPr>
              <w:t>Paid-In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8"/>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0" w:type="dxa"/>
            <w:vAlign w:val="bottom"/>
          </w:tcPr>
          <w:p>
            <w:pPr>
              <w:jc w:val="right"/>
              <w:ind w:right="287"/>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07"/>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07"/>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8"/>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Equity (Deficit)</w:t>
            </w: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December 31,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6,910,324</w:t>
            </w: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136,173</w:t>
            </w: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(100,063</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00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for cash, net of issuance</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120"/>
              <w:spacing w:after="0"/>
              <w:rPr>
                <w:sz w:val="20"/>
                <w:szCs w:val="20"/>
                <w:color w:val="auto"/>
              </w:rPr>
            </w:pPr>
            <w:r>
              <w:rPr>
                <w:rFonts w:ascii="Arial" w:cs="Arial" w:eastAsia="Arial" w:hAnsi="Arial"/>
                <w:sz w:val="14"/>
                <w:szCs w:val="14"/>
                <w:color w:val="auto"/>
              </w:rPr>
              <w:t>cost of $44</w:t>
            </w:r>
          </w:p>
        </w:tc>
        <w:tc>
          <w:tcPr>
            <w:tcW w:w="1200" w:type="dxa"/>
            <w:vAlign w:val="bottom"/>
          </w:tcPr>
          <w:p>
            <w:pPr>
              <w:jc w:val="right"/>
              <w:spacing w:after="0"/>
              <w:rPr>
                <w:sz w:val="20"/>
                <w:szCs w:val="20"/>
                <w:color w:val="auto"/>
              </w:rPr>
            </w:pPr>
            <w:r>
              <w:rPr>
                <w:rFonts w:ascii="Arial" w:cs="Arial" w:eastAsia="Arial" w:hAnsi="Arial"/>
                <w:sz w:val="14"/>
                <w:szCs w:val="14"/>
                <w:color w:val="auto"/>
              </w:rPr>
              <w:t>262,770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(8,491 )</w:t>
            </w:r>
          </w:p>
        </w:tc>
        <w:tc>
          <w:tcPr>
            <w:tcW w:w="12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(8,491 )</w:t>
            </w:r>
          </w:p>
        </w:tc>
        <w:tc>
          <w:tcPr>
            <w:tcW w:w="0" w:type="dxa"/>
            <w:vAlign w:val="bottom"/>
          </w:tcPr>
          <w:p>
            <w:pPr>
              <w:spacing w:after="0"/>
              <w:rPr>
                <w:sz w:val="1"/>
                <w:szCs w:val="1"/>
                <w:color w:val="auto"/>
              </w:rPr>
            </w:pPr>
          </w:p>
        </w:tc>
      </w:tr>
      <w:tr>
        <w:trPr>
          <w:trHeight w:val="169"/>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March 31,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7,173,094</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137,904</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(108,554</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29,357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0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for cash, net of issuance</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120"/>
              <w:spacing w:after="0"/>
              <w:rPr>
                <w:sz w:val="20"/>
                <w:szCs w:val="20"/>
                <w:color w:val="auto"/>
              </w:rPr>
            </w:pPr>
            <w:r>
              <w:rPr>
                <w:rFonts w:ascii="Arial" w:cs="Arial" w:eastAsia="Arial" w:hAnsi="Arial"/>
                <w:sz w:val="14"/>
                <w:szCs w:val="14"/>
                <w:color w:val="auto"/>
              </w:rPr>
              <w:t>cost of $343</w:t>
            </w:r>
          </w:p>
        </w:tc>
        <w:tc>
          <w:tcPr>
            <w:tcW w:w="1200" w:type="dxa"/>
            <w:vAlign w:val="bottom"/>
          </w:tcPr>
          <w:p>
            <w:pPr>
              <w:jc w:val="right"/>
              <w:spacing w:after="0"/>
              <w:rPr>
                <w:sz w:val="20"/>
                <w:szCs w:val="20"/>
                <w:color w:val="auto"/>
              </w:rPr>
            </w:pPr>
            <w:r>
              <w:rPr>
                <w:rFonts w:ascii="Arial" w:cs="Arial" w:eastAsia="Arial" w:hAnsi="Arial"/>
                <w:sz w:val="14"/>
                <w:szCs w:val="14"/>
                <w:color w:val="auto"/>
              </w:rPr>
              <w:t>3,152,265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7,092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Issuance of pre-funded warrants, net of issuance cost of $283</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7,281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(9,168 )</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(9,168 )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tcPr>
          <w:p>
            <w:pPr>
              <w:ind w:left="20"/>
              <w:spacing w:after="0"/>
              <w:rPr>
                <w:sz w:val="20"/>
                <w:szCs w:val="20"/>
                <w:color w:val="auto"/>
              </w:rPr>
            </w:pPr>
            <w:r>
              <w:rPr>
                <w:rFonts w:ascii="Arial" w:cs="Arial" w:eastAsia="Arial" w:hAnsi="Arial"/>
                <w:sz w:val="14"/>
                <w:szCs w:val="14"/>
                <w:color w:val="auto"/>
              </w:rPr>
              <w:t>BALANCE — June 30, 2022</w:t>
            </w:r>
          </w:p>
        </w:tc>
        <w:tc>
          <w:tcPr>
            <w:tcW w:w="1200" w:type="dxa"/>
            <w:vAlign w:val="bottom"/>
          </w:tcPr>
          <w:p>
            <w:pPr>
              <w:jc w:val="right"/>
              <w:spacing w:after="0"/>
              <w:rPr>
                <w:sz w:val="20"/>
                <w:szCs w:val="20"/>
                <w:color w:val="auto"/>
              </w:rPr>
            </w:pPr>
            <w:r>
              <w:rPr>
                <w:rFonts w:ascii="Arial" w:cs="Arial" w:eastAsia="Arial" w:hAnsi="Arial"/>
                <w:sz w:val="14"/>
                <w:szCs w:val="14"/>
                <w:color w:val="auto"/>
              </w:rPr>
              <w:t>10,325,359</w:t>
            </w:r>
          </w:p>
        </w:tc>
        <w:tc>
          <w:tcPr>
            <w:tcW w:w="24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152,644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(117,722 )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34,932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for cash, net of issuance</w:t>
            </w: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cost of $111</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191,740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(8,947 )</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(8,947 )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tcPr>
          <w:p>
            <w:pPr>
              <w:ind w:left="20"/>
              <w:spacing w:after="0" w:line="155" w:lineRule="exact"/>
              <w:rPr>
                <w:sz w:val="20"/>
                <w:szCs w:val="20"/>
                <w:color w:val="auto"/>
              </w:rPr>
            </w:pPr>
            <w:r>
              <w:rPr>
                <w:rFonts w:ascii="Arial" w:cs="Arial" w:eastAsia="Arial" w:hAnsi="Arial"/>
                <w:sz w:val="14"/>
                <w:szCs w:val="14"/>
                <w:color w:val="auto"/>
              </w:rPr>
              <w:t>BALANCE — September 30, 2022</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10,517,099</w:t>
            </w:r>
          </w:p>
        </w:tc>
        <w:tc>
          <w:tcPr>
            <w:tcW w:w="240" w:type="dxa"/>
            <w:vAlign w:val="bottom"/>
          </w:tcPr>
          <w:p>
            <w:pPr>
              <w:spacing w:after="0"/>
              <w:rPr>
                <w:sz w:val="14"/>
                <w:szCs w:val="14"/>
                <w:color w:val="auto"/>
              </w:rPr>
            </w:pPr>
          </w:p>
        </w:tc>
        <w:tc>
          <w:tcPr>
            <w:tcW w:w="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153,432</w:t>
            </w:r>
          </w:p>
        </w:tc>
        <w:tc>
          <w:tcPr>
            <w:tcW w:w="2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(126,669 )</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26,773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-2999740</wp:posOffset>
            </wp:positionV>
            <wp:extent cx="7747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-2999740</wp:posOffset>
            </wp:positionV>
            <wp:extent cx="6858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-2999740</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-2999740</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-693420</wp:posOffset>
            </wp:positionV>
            <wp:extent cx="7747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-693420</wp:posOffset>
            </wp:positionV>
            <wp:extent cx="6858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-693420</wp:posOffset>
            </wp:positionV>
            <wp:extent cx="6858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-693420</wp:posOffset>
            </wp:positionV>
            <wp:extent cx="6858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-145415</wp:posOffset>
            </wp:positionV>
            <wp:extent cx="7747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-145415</wp:posOffset>
            </wp:positionV>
            <wp:extent cx="6858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-145415</wp:posOffset>
            </wp:positionV>
            <wp:extent cx="6858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-145415</wp:posOffset>
            </wp:positionV>
            <wp:extent cx="6858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TEMPEST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(in thousands)</w:t>
      </w:r>
    </w:p>
    <w:p>
      <w:pPr>
        <w:spacing w:after="0" w:line="240"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For the Nine Months</w:t>
      </w:r>
    </w:p>
    <w:p>
      <w:pPr>
        <w:spacing w:after="0" w:line="26"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Ended 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w w:val="91"/>
              </w:rPr>
              <w:t>(22,003 )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(26,606 )</w:t>
            </w: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and other expense, net</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(336 )</w:t>
            </w: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(89 )</w:t>
            </w:r>
          </w:p>
        </w:tc>
      </w:tr>
      <w:tr>
        <w:trPr>
          <w:trHeight w:val="249"/>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0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(1,281 )</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Interest payable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(1,242 )</w:t>
            </w: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(1,210 )</w:t>
            </w:r>
          </w:p>
        </w:tc>
      </w:tr>
      <w:tr>
        <w:trPr>
          <w:trHeight w:val="20"/>
        </w:trPr>
        <w:tc>
          <w:tcPr>
            <w:tcW w:w="76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640" w:type="dxa"/>
            <w:vAlign w:val="bottom"/>
          </w:tcPr>
          <w:p>
            <w:pPr>
              <w:ind w:left="560"/>
              <w:spacing w:after="0"/>
              <w:rPr>
                <w:sz w:val="20"/>
                <w:szCs w:val="20"/>
                <w:color w:val="auto"/>
              </w:rPr>
            </w:pPr>
            <w:r>
              <w:rPr>
                <w:rFonts w:ascii="Arial" w:cs="Arial" w:eastAsia="Arial" w:hAnsi="Arial"/>
                <w:sz w:val="18"/>
                <w:szCs w:val="18"/>
                <w:color w:val="auto"/>
              </w:rPr>
              <w:t>Cash used in operating activities</w:t>
            </w:r>
          </w:p>
        </w:tc>
        <w:tc>
          <w:tcPr>
            <w:tcW w:w="1000" w:type="dxa"/>
            <w:vAlign w:val="bottom"/>
          </w:tcPr>
          <w:p>
            <w:pPr>
              <w:spacing w:after="0"/>
              <w:rPr>
                <w:sz w:val="20"/>
                <w:szCs w:val="20"/>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w w:val="91"/>
              </w:rPr>
              <w:t>(21,182 )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(24,593 )</w:t>
            </w: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21"/>
                <w:szCs w:val="21"/>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(163 )</w:t>
            </w:r>
          </w:p>
        </w:tc>
        <w:tc>
          <w:tcPr>
            <w:tcW w:w="3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(206 )</w:t>
            </w:r>
          </w:p>
        </w:tc>
      </w:tr>
      <w:tr>
        <w:trPr>
          <w:trHeight w:val="237"/>
        </w:trPr>
        <w:tc>
          <w:tcPr>
            <w:tcW w:w="7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Cash used in investing activities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2"/>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issuance of common stock, net of issuance costs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8,849</w:t>
            </w:r>
          </w:p>
        </w:tc>
        <w:tc>
          <w:tcPr>
            <w:tcW w:w="10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Proceeds from the issuance of pre-funded warrants, net of issuance costs</w:t>
            </w:r>
          </w:p>
        </w:tc>
        <w:tc>
          <w:tcPr>
            <w:tcW w:w="1000" w:type="dxa"/>
            <w:vAlign w:val="bottom"/>
          </w:tcPr>
          <w:p>
            <w:pPr>
              <w:spacing w:after="0"/>
              <w:rPr>
                <w:sz w:val="21"/>
                <w:szCs w:val="21"/>
                <w:color w:val="auto"/>
              </w:rPr>
            </w:pPr>
          </w:p>
        </w:tc>
        <w:tc>
          <w:tcPr>
            <w:tcW w:w="9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7,280</w:t>
            </w:r>
          </w:p>
        </w:tc>
        <w:tc>
          <w:tcPr>
            <w:tcW w:w="100" w:type="dxa"/>
            <w:vAlign w:val="bottom"/>
          </w:tcPr>
          <w:p>
            <w:pPr>
              <w:spacing w:after="0"/>
              <w:rPr>
                <w:sz w:val="21"/>
                <w:szCs w:val="21"/>
                <w:color w:val="auto"/>
              </w:rPr>
            </w:pPr>
          </w:p>
        </w:tc>
      </w:tr>
      <w:tr>
        <w:trPr>
          <w:trHeight w:val="236"/>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Cash provided by financing activities</w:t>
            </w: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20"/>
                <w:szCs w:val="20"/>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w w:val="91"/>
              </w:rPr>
              <w:t>(20,092 )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(8,670 )</w:t>
            </w: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31,598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43,159</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r>
      <w:tr>
        <w:trPr>
          <w:trHeight w:val="237"/>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Cash paid for income taxes</w:t>
            </w:r>
          </w:p>
        </w:tc>
        <w:tc>
          <w:tcPr>
            <w:tcW w:w="1000" w:type="dxa"/>
            <w:vAlign w:val="bottom"/>
            <w:tcBorders>
              <w:bottom w:val="single" w:sz="8" w:color="auto"/>
            </w:tcBorders>
            <w:shd w:val="clear" w:color="auto" w:fill="CFF0FC"/>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 xml:space="preserve">Non-cash operating activities: </w:t>
            </w:r>
            <w:r>
              <w:rPr>
                <w:rFonts w:ascii="Arial" w:cs="Arial" w:eastAsia="Arial" w:hAnsi="Arial"/>
                <w:sz w:val="18"/>
                <w:szCs w:val="18"/>
                <w:color w:val="auto"/>
              </w:rPr>
              <w:t>Lease modification</w:t>
            </w:r>
          </w:p>
        </w:tc>
        <w:tc>
          <w:tcPr>
            <w:tcW w:w="1000" w:type="dxa"/>
            <w:vAlign w:val="bottom"/>
          </w:tcPr>
          <w:p>
            <w:pPr>
              <w:jc w:val="right"/>
              <w:ind w:right="81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Non-cash investing activities: </w:t>
            </w:r>
            <w:r>
              <w:rPr>
                <w:rFonts w:ascii="Arial" w:cs="Arial" w:eastAsia="Arial" w:hAnsi="Arial"/>
                <w:sz w:val="18"/>
                <w:szCs w:val="18"/>
                <w:color w:val="auto"/>
              </w:rPr>
              <w:t>Property and equipment in accounts payable</w:t>
            </w:r>
          </w:p>
        </w:tc>
        <w:tc>
          <w:tcPr>
            <w:tcW w:w="1000" w:type="dxa"/>
            <w:vAlign w:val="bottom"/>
            <w:tcBorders>
              <w:top w:val="single" w:sz="8" w:color="auto"/>
              <w:bottom w:val="single" w:sz="8" w:color="auto"/>
            </w:tcBorders>
            <w:shd w:val="clear" w:color="auto" w:fill="CFF0FC"/>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-2605405</wp:posOffset>
            </wp:positionV>
            <wp:extent cx="7747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-1962150</wp:posOffset>
            </wp:positionV>
            <wp:extent cx="7747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-1019175</wp:posOffset>
            </wp:positionV>
            <wp:extent cx="7747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-676910</wp:posOffset>
            </wp:positionV>
            <wp:extent cx="7747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-350520</wp:posOffset>
            </wp:positionV>
            <wp:extent cx="7747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TEMPEST THERAPEUTICS,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are in thousands,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Tempest Therapeutics, Inc. (“Tempest” or the “Company”)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programs are advancing through clinical trials designed to study the agents as monotherapies and in combination with other approved agents. Tempest is also developing an orally available inhibitor of TREX-1, a target that controls activation of the cGAS/STING pathway. Tempest is headquartered in Brisbane, California.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252" w:lineRule="exact"/>
        <w:rPr>
          <w:sz w:val="20"/>
          <w:szCs w:val="20"/>
          <w:color w:val="auto"/>
        </w:rPr>
      </w:pPr>
    </w:p>
    <w:p>
      <w:pPr>
        <w:jc w:val="both"/>
        <w:ind w:right="380"/>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The Company has not yet generated product sales and as a result has experienced operating losses since inception. As of September 30, 2023, the Company had cash and cash equivalents of $11.1 million. Between October 12, 2023 and November 7, 2023, the Company raised $23.9 million of net proceeds through sales of common stock pursuant to the Company’s ATM program (as defined below). The net proceeds raised, in addition to the cash and cash equivalents available as of September 30, 2023, are sufficient to fund the Company's cash requirements for at least 12 months following the issuance of these financial statements. The Company expects to incur additional losses in the future as it advances its product candidates through clinical trials and will need to raise additional capital to continue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225" w:lineRule="exact"/>
        <w:rPr>
          <w:sz w:val="20"/>
          <w:szCs w:val="20"/>
          <w:color w:val="auto"/>
        </w:rPr>
      </w:pPr>
    </w:p>
    <w:p>
      <w:pPr>
        <w:jc w:val="both"/>
        <w:ind w:right="380"/>
        <w:spacing w:after="0" w:line="289" w:lineRule="auto"/>
        <w:rPr>
          <w:sz w:val="20"/>
          <w:szCs w:val="20"/>
          <w:color w:val="auto"/>
        </w:rPr>
      </w:pPr>
      <w:r>
        <w:rPr>
          <w:rFonts w:ascii="Arial" w:cs="Arial" w:eastAsia="Arial" w:hAnsi="Arial"/>
          <w:sz w:val="16"/>
          <w:szCs w:val="16"/>
          <w:color w:val="auto"/>
        </w:rPr>
        <w:t>On July 23, 2021, the Company entered into a sales agreement with Jefferies LLC, pursuant to which the Company may sell, from time to time at its sole discretion through Jefferies, as its sales agent, shares of its common stock having, up to an aggregate sales price of $100.0 million of its common stock through Jefferies (the “ATM Program”). Any shares of its common stock sold will be issued pursuant to the Company’s shelf registration statement on Form S-3 (File No. 333-257990). The Company will pay Jefferies a commission up to 3.0% of the gross sales proceeds of any shares of its common stock sold through Jefferies under the ATM Program and also has provided Jefferies with indemnification and contribution rights. As of September 30, 2023, we have sold an aggregate of 1,239,272 shares of our common stock for gross proceeds of approximately $7.0 million ($6.8 million net of commissions and estimated expenses) pursuant to the ATM Program. As of September 30, 2023, approximately $93.0 million remained available under the ATM Program. Between October 12, 2023 and November 7, 2023, the Company sold 4,923,790 shares of our common stock for gross proceeds of approximately $24.6 million ($23.9 million net of commissions and estimated expenses) pursuant to the ATM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225" w:lineRule="exact"/>
        <w:rPr>
          <w:sz w:val="20"/>
          <w:szCs w:val="20"/>
          <w:color w:val="auto"/>
        </w:rPr>
      </w:pPr>
    </w:p>
    <w:p>
      <w:pPr>
        <w:jc w:val="both"/>
        <w:ind w:right="380"/>
        <w:spacing w:after="0" w:line="272" w:lineRule="auto"/>
        <w:rPr>
          <w:sz w:val="20"/>
          <w:szCs w:val="20"/>
          <w:color w:val="auto"/>
        </w:rPr>
      </w:pPr>
      <w:r>
        <w:rPr>
          <w:rFonts w:ascii="Arial" w:cs="Arial" w:eastAsia="Arial" w:hAnsi="Arial"/>
          <w:sz w:val="17"/>
          <w:szCs w:val="17"/>
          <w:color w:val="auto"/>
        </w:rPr>
        <w:t>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 As of September 30, 2023, all pre-funded warrants had been exercised.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Significant Accounting Policies -- </w:t>
      </w:r>
      <w:r>
        <w:rPr>
          <w:rFonts w:ascii="Arial" w:cs="Arial" w:eastAsia="Arial" w:hAnsi="Arial"/>
          <w:sz w:val="18"/>
          <w:szCs w:val="18"/>
          <w:color w:val="auto"/>
        </w:rPr>
        <w:t>The Company’s significant accounting policies are described in Note 2, “Summary of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Annual Report on Form 10-K filed with the U.S. Securities and Exchange Commission (“SEC”) on March 22, 2023. There have been no material changes to the significant accounting policies during the period ended September 30, 2023.</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unaudited interim Condensed Consolidated Financial Statements have been prepared pursuant to the rules and regulations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2022.</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 affect</w:t>
      </w:r>
      <w:r>
        <w:rPr>
          <w:rFonts w:ascii="Arial" w:cs="Arial" w:eastAsia="Arial" w:hAnsi="Arial"/>
          <w:sz w:val="17"/>
          <w:szCs w:val="17"/>
          <w:b w:val="1"/>
          <w:bCs w:val="1"/>
          <w:color w:val="auto"/>
        </w:rPr>
        <w:t xml:space="preserve"> </w:t>
      </w:r>
      <w:r>
        <w:rPr>
          <w:rFonts w:ascii="Arial" w:cs="Arial" w:eastAsia="Arial" w:hAnsi="Arial"/>
          <w:sz w:val="17"/>
          <w:szCs w:val="17"/>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9"/>
              </w:rPr>
              <w:t>As of September 30, 2023</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33"/>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Arial" w:cs="Arial" w:eastAsia="Arial" w:hAnsi="Arial"/>
                <w:sz w:val="16"/>
                <w:szCs w:val="16"/>
                <w:b w:val="1"/>
                <w:bCs w:val="1"/>
                <w:color w:val="auto"/>
                <w:w w:val="88"/>
              </w:rPr>
              <w:t>Level 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As of December 31, 2022</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33"/>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Arial" w:cs="Arial" w:eastAsia="Arial" w:hAnsi="Arial"/>
                <w:sz w:val="16"/>
                <w:szCs w:val="16"/>
                <w:b w:val="1"/>
                <w:bCs w:val="1"/>
                <w:color w:val="auto"/>
                <w:w w:val="88"/>
              </w:rPr>
              <w:t>Level 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31,230</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160" w:type="dxa"/>
            <w:vAlign w:val="bottom"/>
          </w:tcPr>
          <w:p>
            <w:pPr>
              <w:spacing w:after="0"/>
              <w:rPr>
                <w:sz w:val="20"/>
                <w:szCs w:val="20"/>
                <w:color w:val="auto"/>
              </w:rPr>
            </w:pPr>
            <w:r>
              <w:rPr>
                <w:rFonts w:ascii="Arial" w:cs="Arial" w:eastAsia="Arial" w:hAnsi="Arial"/>
                <w:sz w:val="18"/>
                <w:szCs w:val="18"/>
                <w:color w:val="auto"/>
                <w:w w:val="96"/>
              </w:rPr>
              <w:t>Prepaid expenses and other current assets consist of the following:</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4"/>
          </w:tcPr>
          <w:p>
            <w:pPr>
              <w:ind w:lef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192"/>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Prepaid research and development costs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6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1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-3034030</wp:posOffset>
            </wp:positionV>
            <wp:extent cx="68580" cy="3340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-3034030</wp:posOffset>
            </wp:positionV>
            <wp:extent cx="68580" cy="3340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-3034030</wp:posOffset>
            </wp:positionV>
            <wp:extent cx="68580" cy="3340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6343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3436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-2245360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-2245360</wp:posOffset>
            </wp:positionV>
            <wp:extent cx="685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-2245360</wp:posOffset>
            </wp:positionV>
            <wp:extent cx="685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-650875</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6"/>
              </w:rPr>
              <w:t>December 31,</w:t>
            </w:r>
          </w:p>
        </w:tc>
      </w:tr>
      <w:tr>
        <w:trPr>
          <w:trHeight w:val="223"/>
        </w:trPr>
        <w:tc>
          <w:tcPr>
            <w:tcW w:w="7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1"/>
                <w:szCs w:val="2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r>
      <w:tr>
        <w:trPr>
          <w:trHeight w:val="24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r>
      <w:tr>
        <w:trPr>
          <w:trHeight w:val="237"/>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20"/>
                <w:szCs w:val="20"/>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(1,652 )</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(1,361 )</w:t>
            </w:r>
          </w:p>
        </w:tc>
      </w:tr>
      <w:tr>
        <w:trPr>
          <w:trHeight w:val="277"/>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Depreciation expense for the three and nine months ended September 30, 2023 were $88 and $296, respectively. Depreciation expense for the three and nine months ended September 30, 2022 were $201 and $421,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September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7"/>
                <w:szCs w:val="17"/>
                <w:color w:val="auto"/>
              </w:rPr>
            </w:pPr>
          </w:p>
        </w:tc>
      </w:tr>
      <w:tr>
        <w:trPr>
          <w:trHeight w:val="223"/>
        </w:trPr>
        <w:tc>
          <w:tcPr>
            <w:tcW w:w="7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other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Accrued clinical trial liability</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1"/>
                <w:szCs w:val="21"/>
                <w:color w:val="auto"/>
              </w:rPr>
            </w:pPr>
          </w:p>
        </w:tc>
      </w:tr>
      <w:tr>
        <w:trPr>
          <w:trHeight w:val="277"/>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Facilities Lease Agreements</w:t>
      </w:r>
      <w:r>
        <w:rPr>
          <w:rFonts w:ascii="Arial" w:cs="Arial" w:eastAsia="Arial" w:hAnsi="Arial"/>
          <w:sz w:val="18"/>
          <w:szCs w:val="18"/>
          <w:color w:val="auto"/>
        </w:rPr>
        <w:t>—In February 2019, the Company entered into a 5-year office lease agreement for a 9,780 square feet facility in South San</w:t>
      </w:r>
      <w:r>
        <w:rPr>
          <w:rFonts w:ascii="Arial" w:cs="Arial" w:eastAsia="Arial" w:hAnsi="Arial"/>
          <w:sz w:val="18"/>
          <w:szCs w:val="18"/>
          <w:b w:val="1"/>
          <w:bCs w:val="1"/>
          <w:color w:val="auto"/>
        </w:rPr>
        <w:t xml:space="preserve"> </w:t>
      </w:r>
      <w:r>
        <w:rPr>
          <w:rFonts w:ascii="Arial" w:cs="Arial" w:eastAsia="Arial" w:hAnsi="Arial"/>
          <w:sz w:val="18"/>
          <w:szCs w:val="18"/>
          <w:color w:val="auto"/>
        </w:rPr>
        <w:t>Francisco, California. The original lease term expires on February 29, 2024. In June 2022, the lease was amended to terminate early on January 31, 2023. The amendment was not accounted for as a separate contract and the lease liability and the right-of-use asset were remeasured on the lease modification date.</w:t>
      </w:r>
    </w:p>
    <w:p>
      <w:pPr>
        <w:spacing w:after="0" w:line="184"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On March 29, 2021, TempestTx, Inc. (“Private Tempest”) entered into an Agreement and Plan of Merger (the “Merger Agreement”) with Millendo Therapeutics, Inc. (“Millendo”). On June 25, 2021, Private Tempest completed the merger with Millendo and as a result of the merger, the Company assumed Millendo’s noncancelable operating leases for office space which have remaining lease terms of approximately 0.6 years. In February 2019 and October 2018, Millendo entered into two noncancelable operating leases for office space in Ann Arbor, Michigan (“Ann Arbor Leases”), one that Millendo took possession of in April 2019 and the other that Millendo took possession of in July 2019, respectively. The Ann Arbor Leases expire in June 2024 and March 2024.</w:t>
      </w:r>
    </w:p>
    <w:p>
      <w:pPr>
        <w:spacing w:after="0" w:line="192"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In January 2022, the Company entered into a new 8-year office lease agreement for a 20,116 square feet facility in Brisbane, California ("Brisbane Lease"). The lease commenced in December 2022.</w:t>
      </w:r>
    </w:p>
    <w:p>
      <w:pPr>
        <w:spacing w:after="0" w:line="170"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As of September 30, 2023 and December 31, 2022, the balance of the operating lease right of use assets were $10,382 and $11,650, respectively, and the related operating lease liability were $10,501 and $11,744, respectively, as shown in the accompanying Consolidated Balance Sheets.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 expense was $685 and $2,054 for three and nine months ended September 30, 2023, respectively. Rent expense was $274 and $978 for three and nine months ended September 30, 2022,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future minimum lease payments under the Brisbane Lease and Ann Arbor Leases were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60" w:type="dxa"/>
            <w:vAlign w:val="bottom"/>
          </w:tcPr>
          <w:p>
            <w:pPr>
              <w:ind w:left="20"/>
              <w:spacing w:after="0"/>
              <w:rPr>
                <w:sz w:val="20"/>
                <w:szCs w:val="20"/>
                <w:color w:val="auto"/>
              </w:rPr>
            </w:pPr>
            <w:r>
              <w:rPr>
                <w:rFonts w:ascii="Arial" w:cs="Arial" w:eastAsia="Arial" w:hAnsi="Arial"/>
                <w:sz w:val="16"/>
                <w:szCs w:val="16"/>
                <w:b w:val="1"/>
                <w:bCs w:val="1"/>
                <w:color w:val="auto"/>
              </w:rPr>
              <w:t>Year Ending</w:t>
            </w:r>
          </w:p>
        </w:tc>
        <w:tc>
          <w:tcPr>
            <w:tcW w:w="180" w:type="dxa"/>
            <w:vAlign w:val="bottom"/>
          </w:tcPr>
          <w:p>
            <w:pPr>
              <w:spacing w:after="0"/>
              <w:rPr>
                <w:sz w:val="19"/>
                <w:szCs w:val="19"/>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9"/>
              </w:rPr>
              <w:t>Total Commitment</w:t>
            </w:r>
          </w:p>
        </w:tc>
      </w:tr>
      <w:tr>
        <w:trPr>
          <w:trHeight w:val="23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(excluding nine months ended September 30, 2023)</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20"/>
                <w:szCs w:val="20"/>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2028 and beyond</w:t>
            </w: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1"/>
                <w:szCs w:val="21"/>
                <w:color w:val="auto"/>
              </w:rPr>
            </w:pPr>
          </w:p>
        </w:tc>
      </w:tr>
      <w:tr>
        <w:trPr>
          <w:trHeight w:val="237"/>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minimum lease payments</w:t>
            </w: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14,930</w:t>
            </w:r>
          </w:p>
        </w:tc>
        <w:tc>
          <w:tcPr>
            <w:tcW w:w="100" w:type="dxa"/>
            <w:vAlign w:val="bottom"/>
            <w:shd w:val="clear" w:color="auto" w:fill="CFF0FC"/>
          </w:tcPr>
          <w:p>
            <w:pPr>
              <w:spacing w:after="0"/>
              <w:rPr>
                <w:sz w:val="20"/>
                <w:szCs w:val="20"/>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(4,429 )</w:t>
            </w:r>
          </w:p>
        </w:tc>
      </w:tr>
      <w:tr>
        <w:trPr>
          <w:trHeight w:val="237"/>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Present value of operating lease obligations</w:t>
            </w:r>
          </w:p>
        </w:tc>
        <w:tc>
          <w:tcPr>
            <w:tcW w:w="18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shd w:val="clear" w:color="auto" w:fill="CFF0FC"/>
          </w:tcPr>
          <w:p>
            <w:pPr>
              <w:spacing w:after="0"/>
              <w:rPr>
                <w:sz w:val="20"/>
                <w:szCs w:val="20"/>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(1,117 )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operating lease obligations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September 30, 2023.</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Guarantees and Indemnifications</w:t>
      </w:r>
      <w:r>
        <w:rPr>
          <w:rFonts w:ascii="Arial" w:cs="Arial" w:eastAsia="Arial" w:hAnsi="Arial"/>
          <w:sz w:val="18"/>
          <w:szCs w:val="18"/>
          <w:color w:val="auto"/>
        </w:rPr>
        <w:t>—In the normal course of business, the Company enters into agreements that contain a variety of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September 30, 2023 and December 31, 2022, the Company did not have any material indemnification claims that were probable or reasonably possible and consequently has not recorded related liabilities.</w:t>
      </w:r>
    </w:p>
    <w:p>
      <w:pPr>
        <w:spacing w:after="0" w:line="14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Liabilities for loss contingencies arising from claims, assessments, litigation, fines, penalties, and other sources are recorded when it</w:t>
      </w:r>
      <w:r>
        <w:rPr>
          <w:rFonts w:ascii="Arial" w:cs="Arial" w:eastAsia="Arial" w:hAnsi="Arial"/>
          <w:sz w:val="17"/>
          <w:szCs w:val="17"/>
          <w:b w:val="1"/>
          <w:bCs w:val="1"/>
          <w:color w:val="auto"/>
        </w:rPr>
        <w:t xml:space="preserve"> </w:t>
      </w:r>
      <w:r>
        <w:rPr>
          <w:rFonts w:ascii="Arial" w:cs="Arial" w:eastAsia="Arial" w:hAnsi="Arial"/>
          <w:sz w:val="17"/>
          <w:szCs w:val="17"/>
          <w:color w:val="auto"/>
        </w:rPr>
        <w:t>is probable that a liability has been incurred 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As of September 12, 2022, the parties have reached an agreement in principle and have executed a term sheet in connection with a settlement. On September 13, 2022, the parties filed a joint motion to stay the case pending settlement. On September 15, 2022, the court issued a 90-day nisi order. On December 14, 2022, the court extended that order for 60 days to February 20, 2023. On February 17, 2023, the court extended the order until March 22, 2023 and set a court appearance for March 23, 2023. On March 23, 2023, the court granted preliminary approval of the settlement and set a final fairness hearing for June 12, 2023. By order dated June 12, 2023, the court granted final approval of the settlement.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 As of September 12, 2022, the parties have reached an agreement in principle and have executed a term sheet in connection with the settlement. On February 14, 2023, the parties informed the court that, subject to court approval, they had reached an agreement to settle Chiu v. Dipp as well as Cima v. Dipp. The parties requested a 90-day stay in order to present the settlement to the state court in Cima v. Dipp first. On February 16, 2023, the court granted the 90-day stay. On May 2, 2023, the court extended the stay through July 12, 2023. After final approval of the Cima settlement, the parties filed a stipulation and proposed order to dismiss the Chiu Action with prejudice on June 27, 2023. By order dated July 5, 2023, the court dismissed the Chiu Action with prejudice.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 PAYABLE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the Company entered into a loan agreement with Oxford Finance LLC (the "Lender") to borrow a term loan amount of $35,000 to be funded in three tranches. Tranche A of $15,000 was wired to the Company on January 15, 2021. Tranche B of $10,000 expired on March 31, 2022. Tranche C of $10,000 is available at the Lender’s option.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23, 2022, the Company entered into a First Amendment to the loan agreement. The amendment modified the agreement as follows: (i) each of the Company and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amendment to the loan agreement, the term loan matures on August 1, 2025 and has an annual floating interest rate of 7.15% which is an Index Rate plus 7.10%. Index Rate is the greater of (i) 1-Month CME Term SOFR or (ii) 0.05%. Subsequent to September 30, 2023, the Company achieved the circumstances necessary to extend the interest-only repayment period through June 30, 2024. The accompanying financial statements for the period ending September 30, 2023 have been prepared to reflect the extension of the interest-only repayment period. Monthly principal payments of $733 are required to begin on July 1, 2024. Related to this borrowing, the Company recorded loan discounts totaling $898 and paid $95 of debt issuance costs. These amounts would be amortized as additional interest expense over the life of the loan. As of September 30, 2023, the balance of the loan payable (net of debt issuance costs) was $10.5 million. The carrying value of the loan approximates fair value (Level 2).</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2023, total interest expense was $373 and $1,073, respectively. For the three and nine months ended September 30, 2022, total interest expense was $389 and $1,186, respectively.</w:t>
      </w:r>
    </w:p>
    <w:p>
      <w:pPr>
        <w:spacing w:after="0" w:line="139" w:lineRule="exact"/>
        <w:rPr>
          <w:sz w:val="20"/>
          <w:szCs w:val="20"/>
          <w:color w:val="auto"/>
        </w:rPr>
      </w:pPr>
    </w:p>
    <w:p>
      <w:pPr>
        <w:ind w:right="8740" w:firstLine="8"/>
        <w:spacing w:after="0" w:line="479"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authorized to issue 100,000,000 shares of common stock and 5,000,000 shares of preferred stock, each with a par value of $0.001 per share. Of the common stock shares authorized, 14,323,405 and 10,518,539 were issued and outstanding at September 30, 2023 and December 31, 2022, respectively. There were no shares subject to repurchase due to remaining vesting requirements. Common stockholders are entitled to dividends as declared by the Board of Directors, subject to rights of holders of all classes of stock outstanding having priority rights as to dividends. There was no preferred stock issued nor outstanding as of September 30, 2023 and December 31, 2022.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April 2022, the Company completed a PIPE financing, which included the issuance of pre-funded warrants to purchase up to 3,206,020 shares of its common stock at a price per pre-funded warrant of $2.359 to the PIPE Investors. As of September 30, 2023, all pre-funded warrants had been exercised.</w:t>
      </w:r>
    </w:p>
    <w:p>
      <w:pPr>
        <w:spacing w:after="0" w:line="93" w:lineRule="exact"/>
        <w:rPr>
          <w:sz w:val="20"/>
          <w:szCs w:val="20"/>
          <w:color w:val="auto"/>
        </w:rPr>
      </w:pPr>
    </w:p>
    <w:p>
      <w:pPr>
        <w:ind w:right="8240" w:firstLine="8"/>
        <w:spacing w:after="0" w:line="479"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Equity Plans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will be a successor to, and replacement of, the 2019 Plan.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 of the preceding calendar year, or a lesser number of shares as may be determined by the Board of Directors. As of September 30, 2023, there were 1,622,487 shares available for future grant under the 2023 Plan.</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of Tempest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September 30, 2023, there were 1,150,000 shares available for future grant under the 2023 Inducement Plan.</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measures employee and non-employee stock-based awards at grant date fair value and records compensation expense on a straight-line basis over the vesting period of the award.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Millendo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500,000 shares of Common Stock, or (iii) such lesser number of shares of Common Stock as determined by the Board of Directors (which may be zero). On January 1, 2023, the common stock reserved for issuance was increased by 157,778 shares.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232,136 shares of common stock remained available for future issuance under the 2019 ESPP. During the three and nine months ended September 30, 2023, 20,961 and 62,739 shares of common stock had been issued under the 2019 ESPP.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the merger with Millendo, the grant date fair market value of the shares of common stock underlying stock options was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shows the stock option activities for the nine months ended September 30,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142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7"/>
                <w:szCs w:val="17"/>
                <w:color w:val="auto"/>
              </w:rPr>
            </w:pPr>
          </w:p>
        </w:tc>
        <w:tc>
          <w:tcPr>
            <w:tcW w:w="1420" w:type="dxa"/>
            <w:vAlign w:val="bottom"/>
          </w:tcPr>
          <w:p>
            <w:pPr>
              <w:jc w:val="center"/>
              <w:ind w:right="32"/>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9"/>
                <w:szCs w:val="19"/>
                <w:color w:val="auto"/>
              </w:rPr>
            </w:pPr>
          </w:p>
        </w:tc>
        <w:tc>
          <w:tcPr>
            <w:tcW w:w="142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Balance—December 31, 2022</w:t>
            </w:r>
          </w:p>
        </w:tc>
        <w:tc>
          <w:tcPr>
            <w:tcW w:w="3800" w:type="dxa"/>
            <w:vAlign w:val="bottom"/>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1,553,041</w:t>
            </w: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Granted</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679,150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57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(413 )</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0"/>
              <w:spacing w:after="0"/>
              <w:rPr>
                <w:sz w:val="20"/>
                <w:szCs w:val="20"/>
                <w:color w:val="auto"/>
              </w:rPr>
            </w:pPr>
            <w:r>
              <w:rPr>
                <w:rFonts w:ascii="Arial" w:cs="Arial" w:eastAsia="Arial" w:hAnsi="Arial"/>
                <w:sz w:val="18"/>
                <w:szCs w:val="18"/>
                <w:color w:val="auto"/>
              </w:rPr>
              <w:t>Cancelled and forfeited</w:t>
            </w:r>
          </w:p>
        </w:tc>
        <w:tc>
          <w:tcPr>
            <w:tcW w:w="5720" w:type="dxa"/>
            <w:vAlign w:val="bottom"/>
            <w:gridSpan w:val="3"/>
          </w:tcPr>
          <w:p>
            <w:pPr>
              <w:jc w:val="right"/>
              <w:ind w:right="220"/>
              <w:spacing w:after="0"/>
              <w:rPr>
                <w:sz w:val="20"/>
                <w:szCs w:val="20"/>
                <w:color w:val="auto"/>
              </w:rPr>
            </w:pPr>
            <w:r>
              <w:rPr>
                <w:rFonts w:ascii="Arial" w:cs="Arial" w:eastAsia="Arial" w:hAnsi="Arial"/>
                <w:sz w:val="18"/>
                <w:szCs w:val="18"/>
                <w:color w:val="auto"/>
              </w:rPr>
              <w:t>(50,193 )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Balance—September 30, 2023</w:t>
            </w:r>
          </w:p>
        </w:tc>
        <w:tc>
          <w:tcPr>
            <w:tcW w:w="380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2,181,585</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880" w:type="dxa"/>
            <w:vAlign w:val="bottom"/>
          </w:tcPr>
          <w:p>
            <w:pPr>
              <w:ind w:left="20"/>
              <w:spacing w:after="0"/>
              <w:rPr>
                <w:sz w:val="20"/>
                <w:szCs w:val="20"/>
                <w:color w:val="auto"/>
              </w:rPr>
            </w:pPr>
            <w:r>
              <w:rPr>
                <w:rFonts w:ascii="Arial" w:cs="Arial" w:eastAsia="Arial" w:hAnsi="Arial"/>
                <w:sz w:val="18"/>
                <w:szCs w:val="18"/>
                <w:color w:val="auto"/>
              </w:rPr>
              <w:t>Balance—December 31, 2021</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790,637</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5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903,527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3800" w:type="dxa"/>
            <w:vAlign w:val="bottom"/>
          </w:tcPr>
          <w:p>
            <w:pPr>
              <w:spacing w:after="0"/>
              <w:rPr>
                <w:sz w:val="20"/>
                <w:szCs w:val="20"/>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Cancelled and forfeited</w:t>
            </w:r>
          </w:p>
        </w:tc>
        <w:tc>
          <w:tcPr>
            <w:tcW w:w="380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(56,235 )</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Balance—September 30, 2022</w:t>
            </w:r>
          </w:p>
        </w:tc>
        <w:tc>
          <w:tcPr>
            <w:tcW w:w="3800" w:type="dxa"/>
            <w:vAlign w:val="bottom"/>
            <w:tcBorders>
              <w:top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1,637,929</w:t>
            </w: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800" w:type="dxa"/>
            <w:vAlign w:val="bottom"/>
            <w:vMerge w:val="restart"/>
          </w:tcPr>
          <w:p>
            <w:pPr>
              <w:jc w:val="right"/>
              <w:ind w:right="1870"/>
              <w:spacing w:after="0"/>
              <w:rPr>
                <w:sz w:val="20"/>
                <w:szCs w:val="20"/>
                <w:color w:val="auto"/>
              </w:rPr>
            </w:pPr>
            <w:r>
              <w:rPr>
                <w:rFonts w:ascii="Arial" w:cs="Arial" w:eastAsia="Arial" w:hAnsi="Arial"/>
                <w:sz w:val="18"/>
                <w:szCs w:val="18"/>
                <w:color w:val="auto"/>
              </w:rPr>
              <w:t>15</w:t>
            </w: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8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-1464945</wp:posOffset>
            </wp:positionV>
            <wp:extent cx="68580" cy="3346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-668020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September 30,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r>
      <w:tr>
        <w:trPr>
          <w:trHeight w:val="223"/>
        </w:trPr>
        <w:tc>
          <w:tcPr>
            <w:tcW w:w="5780" w:type="dxa"/>
            <w:vAlign w:val="bottom"/>
          </w:tcPr>
          <w:p>
            <w:pPr>
              <w:spacing w:after="0"/>
              <w:rPr>
                <w:sz w:val="19"/>
                <w:szCs w:val="19"/>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Life (In Years)</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24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Intrinsic Value</w:t>
            </w:r>
          </w:p>
        </w:tc>
        <w:tc>
          <w:tcPr>
            <w:tcW w:w="100" w:type="dxa"/>
            <w:vAlign w:val="bottom"/>
          </w:tcPr>
          <w:p>
            <w:pPr>
              <w:spacing w:after="0"/>
              <w:rPr>
                <w:sz w:val="19"/>
                <w:szCs w:val="19"/>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2,181,585</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Vested and expected to vest</w:t>
            </w:r>
          </w:p>
        </w:tc>
        <w:tc>
          <w:tcPr>
            <w:tcW w:w="1180" w:type="dxa"/>
            <w:vAlign w:val="bottom"/>
          </w:tcPr>
          <w:p>
            <w:pPr>
              <w:jc w:val="right"/>
              <w:spacing w:after="0"/>
              <w:rPr>
                <w:sz w:val="20"/>
                <w:szCs w:val="20"/>
                <w:color w:val="auto"/>
              </w:rPr>
            </w:pPr>
            <w:r>
              <w:rPr>
                <w:rFonts w:ascii="Arial" w:cs="Arial" w:eastAsia="Arial" w:hAnsi="Arial"/>
                <w:sz w:val="18"/>
                <w:szCs w:val="18"/>
                <w:color w:val="auto"/>
              </w:rPr>
              <w:t>2,181,585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923,411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During the nine months ended September 30, 2023 and 2022, the Company granted employees and non-employees stock options to purchase 679,150 and 903,527 shares of common stock with a weighted-average grant date fair value of $1.08 and $2.83 per share, respectively. As of September 30, 2023 and 2022, total unrecognized compensation costs related to unvested employee stock options were $2,576 and $4,443, respectively. These costs are expected to be recognized over a weighted-average period of approximately 2.2 years and 2.8 years, respectively.</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nine months ended September 30, 2023 and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spacing w:after="0"/>
              <w:rPr>
                <w:sz w:val="19"/>
                <w:szCs w:val="19"/>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5.5 - 6.1</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5.5 - 6.1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spacing w:after="0"/>
              <w:rPr>
                <w:sz w:val="20"/>
                <w:szCs w:val="20"/>
                <w:color w:val="auto"/>
              </w:rPr>
            </w:pPr>
            <w:r>
              <w:rPr>
                <w:rFonts w:ascii="Arial" w:cs="Arial" w:eastAsia="Arial" w:hAnsi="Arial"/>
                <w:sz w:val="18"/>
                <w:szCs w:val="18"/>
                <w:color w:val="auto"/>
              </w:rPr>
              <w:t>109% - 111%</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 - 112%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- 3.9%</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- 3.4%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880" w:type="dxa"/>
            <w:vAlign w:val="bottom"/>
            <w:gridSpan w:val="2"/>
          </w:tcPr>
          <w:p>
            <w:pPr>
              <w:ind w:left="1460"/>
              <w:spacing w:after="0"/>
              <w:rPr>
                <w:sz w:val="20"/>
                <w:szCs w:val="20"/>
                <w:color w:val="auto"/>
              </w:rPr>
            </w:pPr>
            <w:r>
              <w:rPr>
                <w:rFonts w:ascii="Arial" w:cs="Arial" w:eastAsia="Arial" w:hAnsi="Arial"/>
                <w:sz w:val="18"/>
                <w:szCs w:val="18"/>
                <w:color w:val="auto"/>
              </w:rPr>
              <w:t>— %</w:t>
            </w:r>
          </w:p>
        </w:tc>
        <w:tc>
          <w:tcPr>
            <w:tcW w:w="1800" w:type="dxa"/>
            <w:vAlign w:val="bottom"/>
            <w:gridSpan w:val="3"/>
          </w:tcPr>
          <w:p>
            <w:pPr>
              <w:ind w:left="1440"/>
              <w:spacing w:after="0"/>
              <w:rPr>
                <w:sz w:val="20"/>
                <w:szCs w:val="20"/>
                <w:color w:val="auto"/>
              </w:rPr>
            </w:pPr>
            <w:r>
              <w:rPr>
                <w:rFonts w:ascii="Arial" w:cs="Arial" w:eastAsia="Arial" w:hAnsi="Arial"/>
                <w:sz w:val="18"/>
                <w:szCs w:val="18"/>
                <w:color w:val="auto"/>
                <w:w w:val="87"/>
              </w:rPr>
              <w:t>— %</w:t>
            </w:r>
          </w:p>
        </w:tc>
      </w:tr>
    </w:tbl>
    <w:p>
      <w:pPr>
        <w:spacing w:after="0" w:line="21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options granted represents the period of time that the options are expected to be outstanding. Due to the lack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exercise history, the expected term of the Company’s employee stock options has been determined utilizing the simplified method for awards that qualify as plain-vanilla options.</w:t>
      </w:r>
    </w:p>
    <w:p>
      <w:pPr>
        <w:spacing w:after="0" w:line="15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—The expected stock price volatility assumption was determined by examining the historical volatilities for industry peers,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4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assumption is based on the U.S. Treasury instruments whose term was consistent with the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the Company’s stock options.</w:t>
      </w:r>
    </w:p>
    <w:p>
      <w:pPr>
        <w:spacing w:after="0" w:line="13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Company has not paid any cash dividends on common stock since inception and does not anticipate paying any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an expected dividend yield of zero was used.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 granted 125,000 restricted stock units ("RSUs") with a fair value of $0.60 per share during the three and nine months ended September 30, 2023. The RSUs vest on February 25, 2024.</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8"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stock-based compensation expense recognized in the Company’s Condensed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nine months ended September 30,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Three Months Ended September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Nine Months Ended September</w:t>
            </w:r>
          </w:p>
        </w:tc>
        <w:tc>
          <w:tcPr>
            <w:tcW w:w="10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30,</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30,</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jc w:val="right"/>
              <w:ind w:right="63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0"/>
                <w:szCs w:val="20"/>
                <w:color w:val="auto"/>
              </w:rPr>
            </w:pPr>
          </w:p>
        </w:tc>
      </w:tr>
      <w:tr>
        <w:trPr>
          <w:trHeight w:val="27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nine months ended September 30, 2023, the Company contributed $31 and $122, respectively, to the 401(k) Plan. During the three and nine months ended September 30, 2022, the Company contributed $39 and $100, respectively, to the 401(k)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computation of the Company’s basis in diluted net loss per share for the three and nine months ended September 30, 2023 and 2022 (in thousands, except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60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29"/>
        </w:trPr>
        <w:tc>
          <w:tcPr>
            <w:tcW w:w="5700" w:type="dxa"/>
            <w:vAlign w:val="bottom"/>
            <w:tcBorders>
              <w:top w:val="single" w:sz="8" w:color="CCEEFF"/>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(6,786 )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(8,947 )</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(22,003 )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(26,606 )</w:t>
            </w: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14,121,805</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13,635,927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14,059,008</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10,815,900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Weighted-average shares used in computing basic and diluted net loss per</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14,121,805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13,635,927</w:t>
            </w: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14,059,008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10,815,900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share</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700" w:type="dxa"/>
            <w:vAlign w:val="bottom"/>
          </w:tcPr>
          <w:p>
            <w:pPr>
              <w:ind w:left="20"/>
              <w:spacing w:after="0" w:line="192" w:lineRule="exact"/>
              <w:rPr>
                <w:sz w:val="20"/>
                <w:szCs w:val="20"/>
                <w:color w:val="auto"/>
              </w:rPr>
            </w:pPr>
            <w:r>
              <w:rPr>
                <w:rFonts w:ascii="Arial" w:cs="Arial" w:eastAsia="Arial" w:hAnsi="Arial"/>
                <w:sz w:val="18"/>
                <w:szCs w:val="18"/>
                <w:b w:val="1"/>
                <w:bCs w:val="1"/>
                <w:color w:val="auto"/>
                <w:w w:val="97"/>
              </w:rPr>
              <w:t>Net loss per share attributable to common stockholders—basic and</w:t>
            </w:r>
          </w:p>
        </w:tc>
        <w:tc>
          <w:tcPr>
            <w:tcW w:w="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(0.48 )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(0.66 )</w:t>
            </w:r>
          </w:p>
        </w:tc>
        <w:tc>
          <w:tcPr>
            <w:tcW w:w="120" w:type="dxa"/>
            <w:vAlign w:val="bottom"/>
          </w:tcPr>
          <w:p>
            <w:pPr>
              <w:spacing w:after="0"/>
              <w:rPr>
                <w:sz w:val="16"/>
                <w:szCs w:val="16"/>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(1.57 )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(2.46 )</w:t>
            </w:r>
          </w:p>
        </w:tc>
        <w:tc>
          <w:tcPr>
            <w:tcW w:w="0" w:type="dxa"/>
            <w:vAlign w:val="bottom"/>
          </w:tcPr>
          <w:p>
            <w:pPr>
              <w:spacing w:after="0"/>
              <w:rPr>
                <w:sz w:val="1"/>
                <w:szCs w:val="1"/>
                <w:color w:val="auto"/>
              </w:rPr>
            </w:pPr>
          </w:p>
        </w:tc>
      </w:tr>
      <w:tr>
        <w:trPr>
          <w:trHeight w:val="20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36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-1062355</wp:posOffset>
            </wp:positionV>
            <wp:extent cx="7747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-1062355</wp:posOffset>
            </wp:positionV>
            <wp:extent cx="6858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-1062355</wp:posOffset>
            </wp:positionV>
            <wp:extent cx="6858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-316865</wp:posOffset>
            </wp:positionV>
            <wp:extent cx="2691765" cy="317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91765" cy="317500"/>
                    </a:xfrm>
                    <a:prstGeom prst="rect">
                      <a:avLst/>
                    </a:prstGeom>
                    <a:noFill/>
                  </pic:spPr>
                </pic:pic>
              </a:graphicData>
            </a:graphic>
          </wp:anchor>
        </w:drawing>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2023 and 2022, the Company’s potentially dilutive securities included unvested stock warrants, stock options and restricted stock units, which have been excluded from the computation of diluted net loss per share attributable to common stockholders as the effect would be anti-dilutive. The issuance of pre-funded warrants have been included in the computation of basic and diluted net loss per share attributable to common stockholders. Based on the amounts outstanding as of September 30, 2023 and 2022, the Company excluded the following potential common shares from the computation of diluted net loss per share attributable to common stockholders because including them would have had an anti-dilutive effect:</w:t>
      </w:r>
    </w:p>
    <w:p>
      <w:pPr>
        <w:spacing w:after="0" w:line="171"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As of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660" w:type="dxa"/>
            <w:vAlign w:val="bottom"/>
            <w:gridSpan w:val="2"/>
          </w:tcPr>
          <w:p>
            <w:pPr>
              <w:spacing w:after="0"/>
              <w:rPr>
                <w:sz w:val="20"/>
                <w:szCs w:val="20"/>
                <w:color w:val="auto"/>
              </w:rPr>
            </w:pPr>
          </w:p>
        </w:tc>
        <w:tc>
          <w:tcPr>
            <w:tcW w:w="1600" w:type="dxa"/>
            <w:vAlign w:val="bottom"/>
            <w:tcBorders>
              <w:top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2023</w:t>
            </w:r>
          </w:p>
        </w:tc>
        <w:tc>
          <w:tcPr>
            <w:tcW w:w="184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tcBorders>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3520" w:type="dxa"/>
            <w:vAlign w:val="bottom"/>
            <w:tcBorders>
              <w:top w:val="single" w:sz="8" w:color="CCEEFF"/>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2,181,585</w:t>
            </w:r>
          </w:p>
        </w:tc>
        <w:tc>
          <w:tcPr>
            <w:tcW w:w="240" w:type="dxa"/>
            <w:vAlign w:val="bottom"/>
            <w:shd w:val="clear" w:color="auto" w:fill="CFF0FC"/>
          </w:tcPr>
          <w:p>
            <w:pPr>
              <w:spacing w:after="0"/>
              <w:rPr>
                <w:sz w:val="21"/>
                <w:szCs w:val="21"/>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1,637,929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Common stock warrants</w:t>
            </w:r>
          </w:p>
        </w:tc>
        <w:tc>
          <w:tcPr>
            <w:tcW w:w="3660" w:type="dxa"/>
            <w:vAlign w:val="bottom"/>
            <w:tcBorders>
              <w:bottom w:val="single" w:sz="8" w:color="CFF0FC"/>
            </w:tcBorders>
            <w:gridSpan w:val="2"/>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6,036</w:t>
            </w:r>
          </w:p>
        </w:tc>
        <w:tc>
          <w:tcPr>
            <w:tcW w:w="2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Total</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2,312,621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1,643,965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520" w:type="dxa"/>
            <w:vAlign w:val="bottom"/>
            <w:vMerge w:val="restart"/>
          </w:tcPr>
          <w:p>
            <w:pPr>
              <w:jc w:val="right"/>
              <w:ind w:right="175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-659765</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9000" w:firstLine="8"/>
        <w:spacing w:after="0" w:line="479"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Rights Plan</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10, 2023, the Company’s Board of Directors adopted a limited duration stockholder rights plan (the “Rights Plan”), effective immediately, and declared a dividend of one preferred share purchase right (a “Right”) for each outstanding share of the common stock, par value $0.001 per share (the “Common Shares”), of the Company. The dividend was effective as of October 23, 2023 (the “Record Date”) with respect to stockholders of record on that date. The Rights will also attach to new Common Shares issued after the Record Date. Each Right entitles the registered holder to purchase from the Company one one-thousandth of a share of Series A Junior Participating Preferred Stock, par value $0.001 per share, (the “Preferred Shares”), of the Company at a price of $25.00 per one one-thousandth of a Preferred Share, subject to adjustment. The descriptions and terms of the Rights are set forth in a Rights Agreement, dated as of October 10, 2023 (the “Rights Agreement"), between the Company and American Stock Transfer &amp; Trust Company, LLC. The Rights will expire on October 10, 2024, or, if the Company’s stockholders approve the Rights plan, on October 10, 2026, unless the Rights are earlier redeemed or exchanged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2022, filed with the U.S. Securities and Exchange Commission ("SEC") on March 22, 2023.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good ideas and creative science, but also upon the efficient translation of those ideas into therapies that will improve patients’ lives. To this end, we are advancing TPST-1120 and TPST-1495, two product candidates in clinical trials that we believe are the first clinical-stage molecules designed to inhibit their respective targets; as well as two preclinical programs, including one that could be the first to target TREX-1, a key cellular enzyme that regulates the innate immune response in tumors.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TPST-1120 is a selective antagonist of peroxisome proliferator-activated receptor alpha (“PPARα”). On October 11, 2023, we announced new and updated positive results from the planned data analysis of the ongoing global randomized Phase 1b/2 trial of TPST-1120 combined with the standard-of-care first-line regimen of atezolizumab and bevacizumab in patients with advanced or metastatic hepatocellular carcinoma (“HCC”). The study is comparing the TPST-1120 arm to standard of care alone, and enrolled 40 patients randomized to the TPST-1120 arm and 30 patients randomized to the control arm. With a median follow-up of 9.2 and 9.9 months for the TPST-1120 arm and standard-of-care arm, respectively, the data showed a 30% confirmed objective response rate (“ORR”) achieved in TPST-1120 arm compared to 13.3% for atezolizumab and bevacizumab in the control arm, a substantial increase specific to the TPST-1120 arm compared to the previous data cut of 17.5% versus 10.3% in the control arm. The results also showed a favorable progression free survival and overall survival (“OS”) hazard ratio for the TPST-1120 arm as compared to the standard-of-care control arm.</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40% of the TPST-1120 arm patients remained on treatment versus 16.7% in the control arm, while 72.5% of the TPST-1120 arm patients remained on study versus 46.7% in the control arm. Finally, new biomarker subpopulation findings are consistent with the mechanism of action of TPST-1120: Patients with b-catenin activating mutations (21% in this study (n=7)) showed a confirmed ORR of 43% and a disease control rate (“DCR”) of 100% in the TPST-1120 arm; and distinct from the control arm, the TPST-1120 arm was consistently active across PD-L1 negative tumors with a confirmed ORR of 27% in the TPST-1120 arm, compared to a reduced ORR of 7% for the control arm. We expect OS data to be available in 2024. These randomized data build upon clinical data from Phase 1 trials, both as a monotherapy and in combination with an anti-PD1 therapy, nivolumab, that were reported at a podium presentation at the American Society of Clinical Oncology (ASCO) annual meeting in June 2022. RECIST responses were observed at the two highest TPST-1120 doses in combination with standard dose nivolumab for an ORR of those cohorts of 30% (3 of 10 patients), including in patients who previously progressed on anti-PD-1 (-L1) therapy.</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second clinical program, TPST-1495, a dual antagonist of the EP2 and EP4 receptors of prostaglandin E2, is in an ongoing Phase 1 combination trial in patients with endometrial cancer. Data from the TPST-1495 Phase 1 trial was presented at the ASCO annual meeting in June 2023. Additionally, we have what we believe to be exciting third and fourth preclinical programs targeting the three prime repair exonuclease (“TREX-1”) and a novel oncology drug target in a newly defined pathway, respectfully. Beyond these four ongoing programs, we plan to continue to leverage our drug development and company-building experience along with academic relationships to identify promising new targets that may feed new programs into our pipeline.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Milestones</w:t>
      </w:r>
    </w:p>
    <w:p>
      <w:pPr>
        <w:spacing w:after="0" w:line="121" w:lineRule="exact"/>
        <w:rPr>
          <w:sz w:val="20"/>
          <w:szCs w:val="20"/>
          <w:color w:val="auto"/>
        </w:rPr>
      </w:pPr>
    </w:p>
    <w:p>
      <w:pPr>
        <w:ind w:left="1020" w:right="8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TPST-1120 (clinical PPARα antagonist): We plan to advance TPST-1120 into a registrational study in first-line liver cancer patients, likely in connection with a partnership.</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TPST-1495 (clinical dual EP2/4 prostaglandin receptor antagonist): We expect to report data from the combination arm at the two highest TPST-1495 doses in patients with advanced endometrial cancer in 2024.</w:t>
      </w:r>
    </w:p>
    <w:p>
      <w:pPr>
        <w:spacing w:after="0" w:line="62"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TREX1 Inhibitor (preclinical tumor-selective STING pathway activator): We plan to advance new proprietary small molecule series TREX1 inhibitors generated through insights resulting from human TREX1-inhibitor co-crystal structures with the goal to select a lead or development candidate by the end of 2023 or early 2024.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a limited duration stockholder rights plan on October 10, 2023 to enable all Tempest stockholders to realize the long-term value of their investment. The rights plan is intended to reduce the likelihood that any person or group gains control of Tempest through open market accumulation without paying stockholders an appropriate control premium or without providing the Board sufficient time to make informed judgments and take actions that are in the best interests of all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From inception to September 30, 2023, we have raised $166.8 million, through sales of our capital securities.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been profitable and have incurred operating losses in each period since inception. Our net losses were $22.0 million and $26.6 million for the nine months ended September 30, 2023 and 2022, respectively. As of September 30, 2023, we had an accumulated deficit of $157.8 million. Substantially all of the operating losses resulted from expenses incurred in connection with our research and development programs and from general and administrative costs associated with our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involves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business strategy, our existing cash and cash equivalents of $11.1 million as of September 30, 2023 and the $23.9 million of net proceeds raised between October 12, 2023 and November 7, 2023 through sales of common stock, will be sufficient to fund the projected operating expenses and capital expenditure requirements, and to meet our obligations as they come due.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represent costs incurred to conduct research and development, such as the development of our product candidates.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We recognize all research and development costs as they are incurred. Research and development expenses consist primarily of the following:</w:t>
      </w:r>
    </w:p>
    <w:p>
      <w:pPr>
        <w:spacing w:after="0" w:line="237" w:lineRule="exact"/>
        <w:rPr>
          <w:sz w:val="20"/>
          <w:szCs w:val="20"/>
          <w:color w:val="auto"/>
        </w:rPr>
      </w:pPr>
    </w:p>
    <w:p>
      <w:pPr>
        <w:ind w:left="1000" w:hanging="48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salaries, benefits and stock-based compensation;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0" w:hanging="48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licensing costs;</w:t>
      </w:r>
    </w:p>
    <w:p>
      <w:pPr>
        <w:spacing w:after="0" w:line="225" w:lineRule="exact"/>
        <w:rPr>
          <w:rFonts w:ascii="Arial" w:cs="Arial" w:eastAsia="Arial" w:hAnsi="Arial"/>
          <w:sz w:val="18"/>
          <w:szCs w:val="18"/>
          <w:color w:val="auto"/>
        </w:rPr>
      </w:pPr>
    </w:p>
    <w:p>
      <w:pPr>
        <w:ind w:left="1000" w:hanging="48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allocated occupancy;</w:t>
      </w:r>
    </w:p>
    <w:p>
      <w:pPr>
        <w:spacing w:after="0" w:line="225" w:lineRule="exact"/>
        <w:rPr>
          <w:rFonts w:ascii="Arial" w:cs="Arial" w:eastAsia="Arial" w:hAnsi="Arial"/>
          <w:sz w:val="18"/>
          <w:szCs w:val="18"/>
          <w:color w:val="auto"/>
        </w:rPr>
      </w:pPr>
    </w:p>
    <w:p>
      <w:pPr>
        <w:ind w:left="1000" w:hanging="48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materials and supplies;</w:t>
      </w:r>
    </w:p>
    <w:p>
      <w:pPr>
        <w:spacing w:after="0" w:line="225" w:lineRule="exact"/>
        <w:rPr>
          <w:rFonts w:ascii="Arial" w:cs="Arial" w:eastAsia="Arial" w:hAnsi="Arial"/>
          <w:sz w:val="18"/>
          <w:szCs w:val="18"/>
          <w:color w:val="auto"/>
        </w:rPr>
      </w:pPr>
    </w:p>
    <w:p>
      <w:pPr>
        <w:ind w:left="1000" w:hanging="48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contracted research and manufacturing;</w:t>
      </w:r>
    </w:p>
    <w:p>
      <w:pPr>
        <w:spacing w:after="0" w:line="225" w:lineRule="exact"/>
        <w:rPr>
          <w:rFonts w:ascii="Arial" w:cs="Arial" w:eastAsia="Arial" w:hAnsi="Arial"/>
          <w:sz w:val="18"/>
          <w:szCs w:val="18"/>
          <w:color w:val="auto"/>
        </w:rPr>
      </w:pPr>
    </w:p>
    <w:p>
      <w:pPr>
        <w:ind w:left="1000" w:hanging="48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consulting arrangements; and</w:t>
      </w:r>
    </w:p>
    <w:p>
      <w:pPr>
        <w:spacing w:after="0" w:line="225" w:lineRule="exact"/>
        <w:rPr>
          <w:rFonts w:ascii="Arial" w:cs="Arial" w:eastAsia="Arial" w:hAnsi="Arial"/>
          <w:sz w:val="18"/>
          <w:szCs w:val="18"/>
          <w:color w:val="auto"/>
        </w:rPr>
      </w:pPr>
    </w:p>
    <w:p>
      <w:pPr>
        <w:ind w:left="1000" w:hanging="48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following completion of the merger with Millendo, including expenses related to compliance with the rules and regulations of the SEC and Nasdaq, additional insurance, investor relations and other administrative expenses and professional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consists primarily of interest expense, interest income, and various income or expense items of a non-recurring nature.</w:t>
      </w:r>
    </w:p>
    <w:p>
      <w:pPr>
        <w:spacing w:after="0" w:line="19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results for the three months ended September 30, 2023 and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5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20"/>
        </w:trPr>
        <w:tc>
          <w:tcPr>
            <w:tcW w:w="7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Arial" w:cs="Arial" w:eastAsia="Arial" w:hAnsi="Arial"/>
                <w:sz w:val="16"/>
                <w:szCs w:val="16"/>
                <w:b w:val="1"/>
                <w:bCs w:val="1"/>
                <w:color w:val="auto"/>
              </w:rPr>
              <w:t>(in</w:t>
            </w:r>
          </w:p>
        </w:tc>
        <w:tc>
          <w:tcPr>
            <w:tcW w:w="8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71"/>
              </w:rPr>
              <w:t>thousands)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4,221</w:t>
            </w:r>
          </w:p>
        </w:tc>
        <w:tc>
          <w:tcPr>
            <w:tcW w:w="32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0"/>
                <w:szCs w:val="20"/>
                <w:color w:val="auto"/>
              </w:rPr>
            </w:pPr>
          </w:p>
        </w:tc>
      </w:tr>
      <w:tr>
        <w:trPr>
          <w:trHeight w:val="249"/>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3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2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w:t>
            </w: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20"/>
                <w:szCs w:val="20"/>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0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(373 )</w:t>
            </w:r>
          </w:p>
        </w:tc>
        <w:tc>
          <w:tcPr>
            <w:tcW w:w="5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(389 )</w:t>
            </w: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21"/>
                <w:szCs w:val="21"/>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7"/>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auto"/>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-976630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expenses for the three months ended September 30, 2023 and 2022 were primarily incurred in connection with our most advanced product candidates,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w w:val="93"/>
              </w:rPr>
              <w:t>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20"/>
        </w:trPr>
        <w:tc>
          <w:tcPr>
            <w:tcW w:w="7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Arial" w:cs="Arial" w:eastAsia="Arial" w:hAnsi="Arial"/>
                <w:sz w:val="16"/>
                <w:szCs w:val="16"/>
                <w:b w:val="1"/>
                <w:bCs w:val="1"/>
                <w:color w:val="auto"/>
              </w:rPr>
              <w:t>(in</w:t>
            </w:r>
          </w:p>
        </w:tc>
        <w:tc>
          <w:tcPr>
            <w:tcW w:w="920" w:type="dxa"/>
            <w:vAlign w:val="bottom"/>
            <w:gridSpan w:val="3"/>
          </w:tcPr>
          <w:p>
            <w:pPr>
              <w:jc w:val="right"/>
              <w:ind w:right="190"/>
              <w:spacing w:after="0"/>
              <w:rPr>
                <w:sz w:val="20"/>
                <w:szCs w:val="20"/>
                <w:color w:val="auto"/>
              </w:rPr>
            </w:pPr>
            <w:r>
              <w:rPr>
                <w:rFonts w:ascii="Arial" w:cs="Arial" w:eastAsia="Arial" w:hAnsi="Arial"/>
                <w:sz w:val="16"/>
                <w:szCs w:val="16"/>
                <w:b w:val="1"/>
                <w:bCs w:val="1"/>
                <w:color w:val="auto"/>
                <w:w w:val="71"/>
              </w:rPr>
              <w:t>thousands)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TPST-1120</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FF0FC"/>
          </w:tcPr>
          <w:p>
            <w:pPr>
              <w:spacing w:after="0"/>
              <w:rPr>
                <w:sz w:val="21"/>
                <w:szCs w:val="21"/>
                <w:color w:val="auto"/>
              </w:rPr>
            </w:pPr>
          </w:p>
        </w:tc>
      </w:tr>
      <w:tr>
        <w:trPr>
          <w:trHeight w:val="237"/>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TPST-1495</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0"/>
                <w:szCs w:val="20"/>
                <w:color w:val="auto"/>
              </w:rPr>
            </w:pPr>
          </w:p>
        </w:tc>
      </w:tr>
      <w:tr>
        <w:trPr>
          <w:trHeight w:val="249"/>
        </w:trPr>
        <w:tc>
          <w:tcPr>
            <w:tcW w:w="7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Preclinical and other</w:t>
            </w:r>
          </w:p>
        </w:tc>
        <w:tc>
          <w:tcPr>
            <w:tcW w:w="10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 candidate specific research costs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0"/>
                <w:szCs w:val="20"/>
                <w:color w:val="auto"/>
              </w:rPr>
            </w:pPr>
          </w:p>
        </w:tc>
      </w:tr>
      <w:tr>
        <w:trPr>
          <w:trHeight w:val="249"/>
        </w:trPr>
        <w:tc>
          <w:tcPr>
            <w:tcW w:w="7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Personnel and other costs</w:t>
            </w:r>
          </w:p>
        </w:tc>
        <w:tc>
          <w:tcPr>
            <w:tcW w:w="10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21"/>
                <w:szCs w:val="21"/>
                <w:color w:val="auto"/>
              </w:rPr>
            </w:pPr>
          </w:p>
        </w:tc>
      </w:tr>
      <w:tr>
        <w:trPr>
          <w:trHeight w:val="24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and depreciation</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r>
      <w:tr>
        <w:trPr>
          <w:trHeight w:val="277"/>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-659765</wp:posOffset>
            </wp:positionV>
            <wp:extent cx="6858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 decreased by $1.8 million to $4.2 million for the three months ended September 30, 2023, compared to the prior year period, which was primarily attributable to a decrease in costs incurred from contract research organizations and third-party vendors. The following table summarizes our research and development expenses for the three months ended September 30,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w w:val="93"/>
              </w:rPr>
              <w:t>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20"/>
        </w:trPr>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Arial" w:cs="Arial" w:eastAsia="Arial" w:hAnsi="Arial"/>
                <w:sz w:val="16"/>
                <w:szCs w:val="16"/>
                <w:b w:val="1"/>
                <w:bCs w:val="1"/>
                <w:color w:val="auto"/>
              </w:rPr>
              <w:t>(in</w:t>
            </w:r>
          </w:p>
        </w:tc>
        <w:tc>
          <w:tcPr>
            <w:tcW w:w="920" w:type="dxa"/>
            <w:vAlign w:val="bottom"/>
            <w:gridSpan w:val="3"/>
          </w:tcPr>
          <w:p>
            <w:pPr>
              <w:jc w:val="right"/>
              <w:ind w:right="190"/>
              <w:spacing w:after="0"/>
              <w:rPr>
                <w:sz w:val="20"/>
                <w:szCs w:val="20"/>
                <w:color w:val="auto"/>
              </w:rPr>
            </w:pPr>
            <w:r>
              <w:rPr>
                <w:rFonts w:ascii="Arial" w:cs="Arial" w:eastAsia="Arial" w:hAnsi="Arial"/>
                <w:sz w:val="16"/>
                <w:szCs w:val="16"/>
                <w:b w:val="1"/>
                <w:bCs w:val="1"/>
                <w:color w:val="auto"/>
                <w:w w:val="71"/>
              </w:rPr>
              <w:t>thousands)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outside services</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CEEFF"/>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Consulting and professional services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r>
      <w:tr>
        <w:trPr>
          <w:trHeight w:val="249"/>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10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52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decreased by $0.4 million to $2.4 million for the three months ended September 30, 2023, compared to the prior year period. The decrease was primarily due to a decrease in consulting and professional services and personnel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three months ended September 30, 2023 and 2022, other income (expense), net consisted of total interest expense of $373 thousand and $389 thousand, respectively, related to the Oxford Loan, and interest income of $179 thousand and $213 thousand,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results for the nine months ended September 30, 2023 and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5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5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20"/>
        </w:trPr>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Arial" w:cs="Arial" w:eastAsia="Arial" w:hAnsi="Arial"/>
                <w:sz w:val="16"/>
                <w:szCs w:val="16"/>
                <w:b w:val="1"/>
                <w:bCs w:val="1"/>
                <w:color w:val="auto"/>
              </w:rPr>
              <w:t>(in</w:t>
            </w:r>
          </w:p>
        </w:tc>
        <w:tc>
          <w:tcPr>
            <w:tcW w:w="8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w w:val="71"/>
              </w:rPr>
              <w:t>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13,315</w:t>
            </w:r>
          </w:p>
        </w:tc>
        <w:tc>
          <w:tcPr>
            <w:tcW w:w="3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tcPr>
          <w:p>
            <w:pPr>
              <w:spacing w:after="0"/>
              <w:rPr>
                <w:sz w:val="20"/>
                <w:szCs w:val="20"/>
                <w:color w:val="auto"/>
              </w:rPr>
            </w:pPr>
          </w:p>
        </w:tc>
      </w:tr>
      <w:tr>
        <w:trPr>
          <w:trHeight w:val="249"/>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3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21,643</w:t>
            </w: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25,706</w:t>
            </w:r>
          </w:p>
        </w:tc>
        <w:tc>
          <w:tcPr>
            <w:tcW w:w="100" w:type="dxa"/>
            <w:vAlign w:val="bottom"/>
          </w:tcPr>
          <w:p>
            <w:pPr>
              <w:spacing w:after="0"/>
              <w:rPr>
                <w:sz w:val="20"/>
                <w:szCs w:val="20"/>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(21,643</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(1,072 )</w:t>
            </w:r>
          </w:p>
        </w:tc>
        <w:tc>
          <w:tcPr>
            <w:tcW w:w="5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(1,186 )</w:t>
            </w: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21"/>
                <w:szCs w:val="21"/>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7"/>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bottom w:val="single" w:sz="8" w:color="auto"/>
            </w:tcBorders>
            <w:shd w:val="clear" w:color="auto" w:fill="CFF0FC"/>
          </w:tcPr>
          <w:p>
            <w:pPr>
              <w:jc w:val="right"/>
              <w:ind w:right="8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(22,003</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-976630</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expenses for the nine months ended September 30, 2023 and 2022 were primarily incurred in connection with our most advanced product candidates,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Nine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20"/>
        </w:trPr>
        <w:tc>
          <w:tcPr>
            <w:tcW w:w="7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Arial" w:cs="Arial" w:eastAsia="Arial" w:hAnsi="Arial"/>
                <w:sz w:val="16"/>
                <w:szCs w:val="16"/>
                <w:b w:val="1"/>
                <w:bCs w:val="1"/>
                <w:color w:val="auto"/>
              </w:rPr>
              <w:t>(in</w:t>
            </w:r>
          </w:p>
        </w:tc>
        <w:tc>
          <w:tcPr>
            <w:tcW w:w="90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w w:val="71"/>
              </w:rPr>
              <w:t>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TPST-1120</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FF0FC"/>
          </w:tcPr>
          <w:p>
            <w:pPr>
              <w:spacing w:after="0"/>
              <w:rPr>
                <w:sz w:val="21"/>
                <w:szCs w:val="21"/>
                <w:color w:val="auto"/>
              </w:rPr>
            </w:pPr>
          </w:p>
        </w:tc>
      </w:tr>
      <w:tr>
        <w:trPr>
          <w:trHeight w:val="237"/>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TPST-1495</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0"/>
                <w:szCs w:val="20"/>
                <w:color w:val="auto"/>
              </w:rPr>
            </w:pPr>
          </w:p>
        </w:tc>
      </w:tr>
      <w:tr>
        <w:trPr>
          <w:trHeight w:val="249"/>
        </w:trPr>
        <w:tc>
          <w:tcPr>
            <w:tcW w:w="7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Preclinical and other</w:t>
            </w:r>
          </w:p>
        </w:tc>
        <w:tc>
          <w:tcPr>
            <w:tcW w:w="10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 candidate specific research costs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0"/>
                <w:szCs w:val="20"/>
                <w:color w:val="auto"/>
              </w:rPr>
            </w:pPr>
          </w:p>
        </w:tc>
      </w:tr>
      <w:tr>
        <w:trPr>
          <w:trHeight w:val="249"/>
        </w:trPr>
        <w:tc>
          <w:tcPr>
            <w:tcW w:w="7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Personnel and other costs</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CEEFF"/>
          </w:tcPr>
          <w:p>
            <w:pPr>
              <w:spacing w:after="0"/>
              <w:rPr>
                <w:sz w:val="21"/>
                <w:szCs w:val="21"/>
                <w:color w:val="auto"/>
              </w:rPr>
            </w:pPr>
          </w:p>
        </w:tc>
      </w:tr>
      <w:tr>
        <w:trPr>
          <w:trHeight w:val="24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and depreciation</w:t>
            </w: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r>
      <w:tr>
        <w:trPr>
          <w:trHeight w:val="277"/>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-659765</wp:posOffset>
            </wp:positionV>
            <wp:extent cx="685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 decreased by $3.4 million to $13.3 million for the nine months ended September 30, 2023, compared to the prior year period, which was primarily attributable to a decrease in costs incurred from contract research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organizations and third-party vendors, partially offset by an increase in facilities expenses. The following table summarizes our research and development expenses for the nine months ended September 30, 2023 and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Nine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5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20"/>
        </w:trPr>
        <w:tc>
          <w:tcPr>
            <w:tcW w:w="7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Arial" w:cs="Arial" w:eastAsia="Arial" w:hAnsi="Arial"/>
                <w:sz w:val="16"/>
                <w:szCs w:val="16"/>
                <w:b w:val="1"/>
                <w:bCs w:val="1"/>
                <w:color w:val="auto"/>
              </w:rPr>
              <w:t>(in</w:t>
            </w:r>
          </w:p>
        </w:tc>
        <w:tc>
          <w:tcPr>
            <w:tcW w:w="90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w w:val="71"/>
              </w:rPr>
              <w:t>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outside services</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00" w:type="dxa"/>
            <w:vAlign w:val="bottom"/>
            <w:shd w:val="clear" w:color="auto" w:fill="CCEEFF"/>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10,954</w:t>
            </w:r>
          </w:p>
        </w:tc>
        <w:tc>
          <w:tcPr>
            <w:tcW w:w="100" w:type="dxa"/>
            <w:vAlign w:val="bottom"/>
            <w:shd w:val="clear" w:color="auto" w:fill="CCEEFF"/>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Consulting and professional services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r>
      <w:tr>
        <w:trPr>
          <w:trHeight w:val="249"/>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52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06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decreased by $0.7 million to $8.3 million for the nine months ended September 30, 2023, compared to the prior year period. The decrease was primarily due to a decrease in consulting and professional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and 2022, other income (expense), net consisted of total interest expense of $1.1 million and $1.2 million, respectively, related to the Oxford Loan, and interest income of $0.7 million and $0.3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through September 30, 2023, our operations have been financed primarily by net cash proceeds from the sale of our common stock, convertible preferred stock and issuance of debt. As of September 30, 2023, we had $11.1 million in cash and cash equivalents and an accumulated deficit of $157.8 million. We expect that our research and development and general and administrative expenses will increase, and, as a result, we anticipate that we will continue to incur increasing losses in the foreseeable future.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cash and cash equivalents as of September 30, 2023, in conjunction with the net proceeds of $23.9 million raised between October 12, 2023 and November 7, 2023 through sales of common stock, will fund our ongoing working capital, investing, and financing requirements for at least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Oxford Finance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we entered into a loan and security agreement with Oxford to borrow a term loan amount of $35.0 million to be funded in three tranches (the "Loan Agreement"). Tranche A of $15.0 million was funded on January 15, 2021. Tranche B of $10.0 million expired on March 31, 2022. Tranche C of $10.0 million is available at Oxford’s option.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 including any intellectual property, was granted to the Lender. In addition, the Lender permitted a one-time prepayment in the amount of $5.0 million which the Company paid on December 23, 2022.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September 30, 2023, the Company achieved the circumstances necessary to extend the interest-only repayment period through June 30, 2024.</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 loan matures on August 1, 2025 and has an annual floating interest rate of 7.15% which is an Index Rate plus 7.10%. Index Rate is the greater of (i) 1-Month CME Term SOFR or (ii) 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23, 2021, the Company entered into a sales agreement with Jefferies LLC, pursuant to which the Company may sell, from time to time at its sole discretion through Jefferies, as its sales agent, shares of its common stock having, up to an aggregate sales price of $100.0 million of its common stock through Jefferies (the “ATM Program”). Any shares of its common stock sold will be issued pursuant to the Company’s shelf registration statement on Form S-3 (File No. 333-257990). The Company will pay Jefferies a commission up to 3.0% of the gross sales proceeds of any shares of its common stock sold through Jefferies under the ATM Program and also has provided Jefferies with indemnification and contribution rights. As of September 30, 2023, we have sold an aggregate of 1,239,272 shares of our common stock for gross proceeds of approximately $7.0 million ($6.8 million net of commissions and estimated expenses) pursuant to the ATM Program. As of September 30, 2023, approximately $93.0 million remained available under the ATM Program. Between October 12, 2023 and November 7, 2023, the Company sold 4,923,790 shares of our common stock for gross proceeds of approximately $24.6 million ($23.9 million net of commissions and estimated expenses) pursuant to the ATM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2022, we completed a private investment in public equity (“PIPE”) financing from the sale of 3,149,912 shares of our common stock at a price per share of $2.36 and, in lieu of shares of common stock, pre-funded warrants to purchase up to 3,206,020 shares of our common stock at a price per pre-funded warrant of $2.359 to EcoR1 Capital, LLC and Versant Venture Capital (the “PIPE Investors”). Net proceeds from the PIPE financings totaled approximately $14.5 million, after deducting offering expenses. We entered into a registration rights agreement with the PIPE Investors pursuant to which we filed a registration statement with the SEC registering the resale of the 3,149,912 shares common stock and the 3,206,020 shares of common stock underlying the pre-funded warrants issued in the PIPE financing. As of September 30, 2023, all pre-funded warrants had been exercised.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9"/>
                <w:szCs w:val="19"/>
                <w:color w:val="auto"/>
              </w:rPr>
            </w:pPr>
          </w:p>
        </w:tc>
      </w:tr>
      <w:tr>
        <w:trPr>
          <w:trHeight w:val="226"/>
        </w:trPr>
        <w:tc>
          <w:tcPr>
            <w:tcW w:w="7560" w:type="dxa"/>
            <w:vAlign w:val="bottom"/>
            <w:tcBorders>
              <w:bottom w:val="single" w:sz="8" w:color="CCEEFF"/>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operating activities</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8"/>
              </w:rPr>
              <w:t>(21,182 )</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(24,593 )</w:t>
            </w:r>
          </w:p>
        </w:tc>
      </w:tr>
      <w:tr>
        <w:trPr>
          <w:trHeight w:val="237"/>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(163 )</w:t>
            </w:r>
          </w:p>
        </w:tc>
        <w:tc>
          <w:tcPr>
            <w:tcW w:w="5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(206 )</w:t>
            </w:r>
          </w:p>
        </w:tc>
      </w:tr>
      <w:tr>
        <w:trPr>
          <w:trHeight w:val="249"/>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Cash provided by financing activities</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(20,092 )</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(8,670 )</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operating activities for the nine months ended September 30, 2023 was $21.2 million, consisting of a net loss of $22.0 million, add back of non-cash adjustments for depreciation, stock-based compensation, non-cash operating lease expense and other non-cash items totaling $3.2 million, plus changes in operating assets and liabilities of $2.4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operating activities for the nine months ended September 30, 2022 was $24.6 million consisting of a net loss of $26.6 million, add back of non-cash adjustments for depreciation, stock-based compensation, non-cash operating lease expense and other non-cash items totaling $2.7 million, plus changes in operating assets and liabilities of $0.6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2023 and 2022 was related to purchases of property and equipment, primarily related to office, laboratory and computer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for the nine months ended September 30, 2023 was related to proceeds from the issuance of common stock of $1.2 million from the ATM program.</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provided by financing activities for the nine months ended September 30, 2022 was $16.1 million, primarily related to proceeds from the issuance of common stock of $8.8 million and pre-funded warrants of $7.3 million related to the PIPE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available cash and cash equivalents are sufficient to fund existing and planned cash requirements for the next 12 months.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225" w:lineRule="exact"/>
        <w:rPr>
          <w:sz w:val="20"/>
          <w:szCs w:val="20"/>
          <w:color w:val="auto"/>
        </w:rPr>
      </w:pPr>
    </w:p>
    <w:p>
      <w:pPr>
        <w:ind w:left="1020" w:right="2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the scope, progress and results of discovery, preclinical development, laboratory testing and clinical trials for our product candidates;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the manufacturing of our product candidates;</w:t>
      </w:r>
    </w:p>
    <w:p>
      <w:pPr>
        <w:spacing w:after="0" w:line="225"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related to the extent to which we enter into partnerships or other arrangements with third parties to further develop our product candidates;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product candidates or technologies;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product sales, marketing, manufacturing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 and</w:t>
      </w:r>
    </w:p>
    <w:p>
      <w:pPr>
        <w:spacing w:after="0" w:line="170"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operating plan may change, and we may need additional funds to meet operational needs and capital requirements for clinical trials and other research and development expenditures.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material cash requirements as of September 30, 2023 primarily relate to the maturities of the principal obligations under our long-term debt, operating leases for office space, trade payables, and accrued expenses. As of September 30, 2023, we have $7.4 million payable within 12 months. Refer to Notes 5 and 6 to our Consolidated Financial Statements for additional information. We expect our expenses to increase in connection with our ongoing development activities, particularly as we continue the research, development and clinical trials of, and seek regulatory approval for, our product candidates. In addition, subject to obtaining regulatory approval for our product candidates, we anticipate that we will need substantial additional funding in connection with our continuing operations.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significant changes to our critical accounting policies since December 31, 2022.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our Condensed Consolidated Financial Statements for a description of recent accounting pronouncements applicable to our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 Status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Vice-President, Strategy and Finance (principal financial officer), evaluated the effectiveness of our disclosure controls and procedures (as defined in Rules 13a-15(e) and 15d-15(e) under the Exchange Act), as of the end of the period covered by this Quarterly Report. Based on such evaluation, our Chief Executive Officer and Vice-President, Strategy and Finance have concluded that as of September 30, 2023, our disclosure controls and procedures were effective at the reasonable assurance level.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quarter ended September 30, 2023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pertaining to legal proceedings is provided in Note 5 to the Condensed Consolidated Financial Statements contained in this report and is incorporated by reference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read the following management’s discussion and analysis of our financial condition and results of operations in conjunction with our unaudited condensed consolidated financial statements and related notes thereto included in Part I, Item 1 of this Quarterly Report on Form 10-Q, and with our audited consolidated financial statements and related notes thereto for the year ended December 31, 2022 included in our Annual Report on Form 10-K, as filed with the U.S. Securities and Exchange Commission (“SEC”) on March 22, 2023.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Risks Associated with Our Business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46" w:lineRule="exact"/>
        <w:rPr>
          <w:sz w:val="20"/>
          <w:szCs w:val="20"/>
          <w:color w:val="auto"/>
        </w:rPr>
      </w:pPr>
    </w:p>
    <w:p>
      <w:pPr>
        <w:jc w:val="both"/>
        <w:ind w:left="102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83"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past, we have faced substantial doubt regarding our ability to continue as a going concern and may face such challenges in the future. If we are unable to maintain the cash reserves required to fund our business,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18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capital may be limited by applicable laws and regulations.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Raising additional capital may cause dilution to our stockholders, restrict our operations or require us to relinquish proprietary rights.</w:t>
      </w:r>
    </w:p>
    <w:p>
      <w:pPr>
        <w:spacing w:after="0" w:line="236"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83"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to expand our development and regulatory capabilities, and as a result, we may encounter difficulties in managing our growth, which could disrupt our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right="4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of product candidates and develop marketable products.</w:t>
      </w:r>
    </w:p>
    <w:p>
      <w:pPr>
        <w:spacing w:after="0" w:line="225" w:lineRule="exact"/>
        <w:rPr>
          <w:rFonts w:ascii="Arial" w:cs="Arial" w:eastAsia="Arial" w:hAnsi="Arial"/>
          <w:sz w:val="18"/>
          <w:szCs w:val="18"/>
          <w:color w:val="auto"/>
        </w:rPr>
      </w:pPr>
    </w:p>
    <w:p>
      <w:pPr>
        <w:ind w:left="1020" w:right="720" w:hanging="503"/>
        <w:spacing w:after="0" w:line="308"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46" w:lineRule="exact"/>
        <w:rPr>
          <w:rFonts w:ascii="Arial" w:cs="Arial" w:eastAsia="Arial" w:hAnsi="Arial"/>
          <w:sz w:val="17"/>
          <w:szCs w:val="17"/>
          <w:color w:val="auto"/>
        </w:rPr>
      </w:pPr>
    </w:p>
    <w:p>
      <w:pPr>
        <w:ind w:left="1020" w:right="1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rely on third parties to manufacture our clinical product supplies, and we may have to rely on third parties to produce and process our product candidates, if approved.</w:t>
      </w:r>
    </w:p>
    <w:p>
      <w:pPr>
        <w:spacing w:after="0" w:line="170" w:lineRule="exact"/>
        <w:rPr>
          <w:rFonts w:ascii="Arial" w:cs="Arial" w:eastAsia="Arial" w:hAnsi="Arial"/>
          <w:sz w:val="18"/>
          <w:szCs w:val="18"/>
          <w:color w:val="auto"/>
        </w:rPr>
      </w:pPr>
    </w:p>
    <w:p>
      <w:pPr>
        <w:ind w:left="1020" w:right="260" w:hanging="503"/>
        <w:spacing w:after="0" w:line="31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our other product candidates.</w:t>
      </w:r>
    </w:p>
    <w:p>
      <w:pPr>
        <w:spacing w:after="0" w:line="148" w:lineRule="exact"/>
        <w:rPr>
          <w:rFonts w:ascii="Arial" w:cs="Arial" w:eastAsia="Arial" w:hAnsi="Arial"/>
          <w:sz w:val="16"/>
          <w:szCs w:val="16"/>
          <w:color w:val="auto"/>
        </w:rPr>
      </w:pPr>
    </w:p>
    <w:p>
      <w:pPr>
        <w:ind w:left="1020" w:right="5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establish sales and marketing capabilities or enter into agreements with third parties to market and sell our product candidates, we may be unable to generate any revenues.</w:t>
      </w:r>
    </w:p>
    <w:p>
      <w:pPr>
        <w:spacing w:after="0" w:line="170"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70"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 Food and Drug Administration (“FDA”) regulatory approval process is lengthy and time-consuming, and we may experience significant delays in the clinical development and regulatory approval of our product candidates.</w:t>
      </w:r>
    </w:p>
    <w:p>
      <w:pPr>
        <w:spacing w:after="0" w:line="170"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70"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owned and in-licensed patents and patent applications may not provide sufficient protection of our product candidates or result in any competitive advantage.</w:t>
      </w:r>
    </w:p>
    <w:p>
      <w:pPr>
        <w:spacing w:after="0" w:line="170"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is likely to continue to be volatile, and purchasers of our common stock could incur substantial losses.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Unstable market and economic conditions may have serious adverse consequences on our business, financial condition and share price.</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common stock is thinly traded and our stockholders may be unable to sell their shares quickly or at market price.</w:t>
      </w:r>
    </w:p>
    <w:p>
      <w:pPr>
        <w:spacing w:after="0" w:line="225"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executive officers, directors and principal stockholders have the ability to control or significantly influence all matters submitted to our stockholders for approval.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18"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controls, our ability to produce accurate financial statements on a timely basis could be impaired.</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418" w:right="6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$22.0 million and $26.6 million for the nine months ended September 30, 2023 and 2022, respectively. As of September 30, 2023, we had an accumulated deficit of $157.8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operations have consumed significant amounts of cash since inception. We expect our expenses to increase in connection with our ongoing and planned activities, particularly as we continue to develop and potentially commercialize our product candidates, in addition to costs associated with the acquisition or in-licensing of any additional product candidates we may pursue. Our expenses could increase beyond expectations if the FDA or comparable foreign regulatory authorities require us to perform clinical and other studies in addition to those that we currently anticipate. In addition, if we obtain marketing approval for our product candidates, we expect to incur significant expenses related to sales, marketing, manufacturing and distribution.</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September 30, 2023, we had cash and cash equivalents of $11.1 million. We believe that our cash and cash equivalents as of September 30, 2023, in conjunction with the additional $23.9 million raised subsequent to September 30, 2023 through sales of common stock, will fund our current operating plans through at least the next 12 months from the date the financial statements were issued. We have based this assessment on assumptions that may prove to be wrong, and it is possible that we will not achieve the progress that we expect with these funds because the actual costs and timing of clinical development and regulatory and commercial activities are difficult to predict and are subject to substantial risks and delays, and that we will use our capital resources sooner than we currently expect. This estimate does not reflect any additional expenditures that may result from any further strategic transactions to expand and diversify our product pipeline, including acquisitions of assets, businesses, rights to products, product candidates or technologies or strategic alliances or collaborations that we may pursue. It also does not reflect the possibility that we may not be able to access a portion of our existing cash, cash equivalents and investments due to unforeseen market conditions. For example, on March 10, 2023, the Federal Deposit Insurance Corporation took control and was appointed receiver of Silicon Valley Bank. Similarly, on March 12, 2023, Signature Bank and Silvergate Capital Corp. were each swept into receivership.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any event, we will require substantial additional capital to develop our product candidates. Such 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 Any additional capital raising efforts may divert our management from their day-to-day activities, which may adversely affect our ability to develop and commercialize our product candidates.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the past, we have faced substantial doubt regarding our ability to continue as a going concern and may face such challenges in the future. If we are unable to maintain the cash reserves required to fund our business,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previously faced substantial doubt concerning our ability to continue as a going concern and may face such challenges in the future. If we are unable to maintain the cash reserves required to fund our business, we may have to implement cash preservation measures that may impact our ability and the timing to execute our strategy. Our ability to continue as a going concern could then depend on our ability to obtain additional funding, as to which no assurances could be given.</w:t>
      </w:r>
    </w:p>
    <w:p>
      <w:pPr>
        <w:spacing w:after="0" w:line="187" w:lineRule="exact"/>
        <w:rPr>
          <w:sz w:val="20"/>
          <w:szCs w:val="20"/>
          <w:color w:val="auto"/>
        </w:rPr>
      </w:pPr>
    </w:p>
    <w:p>
      <w:pPr>
        <w:jc w:val="both"/>
        <w:ind w:right="180"/>
        <w:spacing w:after="0" w:line="272" w:lineRule="auto"/>
        <w:rPr>
          <w:sz w:val="20"/>
          <w:szCs w:val="20"/>
          <w:color w:val="auto"/>
        </w:rPr>
      </w:pPr>
      <w:r>
        <w:rPr>
          <w:rFonts w:ascii="Arial" w:cs="Arial" w:eastAsia="Arial" w:hAnsi="Arial"/>
          <w:sz w:val="17"/>
          <w:szCs w:val="17"/>
          <w:color w:val="auto"/>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spacing w:after="0" w:line="69"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progress, costs and results of our ongoing preclinical studies and clinical trials of our product candidates;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20" w:right="8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reimbursement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may receive marketing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any milestone and royalty payments with respect to any approved product candidates;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00" w:lineRule="exact"/>
        <w:rPr>
          <w:sz w:val="20"/>
          <w:szCs w:val="20"/>
          <w:color w:val="auto"/>
        </w:rPr>
      </w:pPr>
    </w:p>
    <w:p>
      <w:pPr>
        <w:spacing w:after="0" w:line="2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such as the Russia-Ukraine war and the war in Israel. If we are unable to raise capital when needed or on acceptable terms, we could be forced to delay, reduce, or explore other strategic options for our research and development programs or other opportunities, or even our operations. If we do not obtain additional financing and are required to terminate our operations, our stockholders will lose their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proprietary rights.</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July 2021, we entered into Sales Agreement, or the ATM Agreement, with Jefferies LLC, for an at-the-market offering program that allows us to sell up to an aggregate of $100 million of our common stock.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and security agreement, or Loan Agreement, with Oxford Finance LLC, or Oxford Finance,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70"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January 2021, we entered into a Loan Agreement with Oxford Finance that provided us with up to $35.0 million of borrowing capacity across three potential tranches, which was subsequently amended in December 2022. The initial tranche of $15.0 million was funded at the closing of the Loan Agreement. As of September 30, 2023, a total of $10.0 million in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borrowing capacity remained available at the option of Oxford Finance.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we default under the Loan Agreement, Oxford Finance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Finance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Finance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Finance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tax credit carryforwards may be subject to limitations.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highly skilled employees to succeed.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strategic alliances could disrupt our business and harm our financial condition and results of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236"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2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22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 Development and Regulatory Approval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develop, obtain regulatory approval for and commercialize TPST-1495 and TPST-1120 and our future product candidates, or if we experience significant delays in doing so, our business will be materially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program targeting the three prime repair exonuclease (“TREX-1”) and select a development candidate for this program during 2023.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TPST-1495 and TPST-1120 and our other product candidates depends on multiple factors, including:</w:t>
      </w:r>
    </w:p>
    <w:p>
      <w:pPr>
        <w:spacing w:after="0" w:line="225" w:lineRule="exact"/>
        <w:rPr>
          <w:sz w:val="20"/>
          <w:szCs w:val="20"/>
          <w:color w:val="auto"/>
        </w:rPr>
      </w:pPr>
    </w:p>
    <w:p>
      <w:pPr>
        <w:jc w:val="both"/>
        <w:ind w:left="1020" w:right="12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83"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70"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70"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70"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70"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including those necessary for pricing and reimbursement of our product candidates;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 regulatory exclusivity for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launch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patient advocacy groups, third-party payors and the general medical community;</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effectively compete with developers of other therapies available in the market;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and maintenance of adequate reimbursement from third-party payors for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acquire or in-license additional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prosecution, maintenance, enforcement and defense of intellectual property rights and claims;</w:t>
      </w:r>
    </w:p>
    <w:p>
      <w:pPr>
        <w:spacing w:after="0" w:line="225"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factors surrounding the approval process, such as government shutdowns; or</w:t>
      </w:r>
    </w:p>
    <w:p>
      <w:pPr>
        <w:spacing w:after="0" w:line="225"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the Russia-Ukraine war and the war in Israel, natural disasters including earthquakes, typhoons, floods and fires, and public health crises.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TPST-1495 and TPST-1120 are being evaluated in clinical trials, our other product candidates, such as TREX-1, have not been evaluated in human clinical trials, and we may experience unexpected or negative results in the future if and 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8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risk that patients enrolled in our clinical trials will drop out of the trials before the infusion of our product candidates or trial completion.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Approval of TPST-1495 and TPST-1120 and our other product candidates may be delayed or refused for many reasons, including:</w:t>
      </w:r>
    </w:p>
    <w:p>
      <w:pPr>
        <w:spacing w:after="0" w:line="225"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populations studied in clinical trials may not be sufficiently broad or representative to assure efficacy and safety in the populations for which we seek approval;</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22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facilities of third-party manufacturers with which we contract or procure certain service or raw materials, may not be adequate to support approval of our product candidates; and</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if we or others later identify undesirable side effects caused by our product candidates, several potentially significant negative consequences could result, including:</w:t>
      </w:r>
    </w:p>
    <w:p>
      <w:pPr>
        <w:spacing w:after="0" w:line="170"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in the product labeling;</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these occurrences may harm our business, financial condition, results of operations and prospects significantly.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expand our pipeline of product candidates and develop marketable products.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70"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such product candidates, manufacturers or manufacturing processes;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any approved product from the market;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recall of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obtain approval of any of our product candidates by regulatory authorities in another country may significantly diminish the commercial prospects of that product candidate and our business prospects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and Manufacturing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our other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government and private payors, professional organizations such as the American Medical Association, can influence decisions about coverage and reimbursement for new products by determining standards for care. In addition, many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on third 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processing and may be unable to create an inventory of mass-produced, off-the-shelf product to satisfy demands for any of our product candidates.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79" w:lineRule="exact"/>
        <w:rPr>
          <w:sz w:val="20"/>
          <w:szCs w:val="20"/>
          <w:color w:val="auto"/>
        </w:rPr>
      </w:pPr>
    </w:p>
    <w:p>
      <w:pPr>
        <w:jc w:val="both"/>
        <w:ind w:left="10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78"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appropriately.</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62"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75"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not successfully commercialize the product candidates, our ability to generate revenues from product sales will be adversely affected.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may also experience delays in obtaining regulatory approvals, including but not limited to:</w:t>
      </w:r>
    </w:p>
    <w:p>
      <w:pPr>
        <w:spacing w:after="0" w:line="225"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regulatory authorization to begin a trial, if applicable;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redesigning our study protocols and need to conduct additional studies as may be required by a regulator;</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negotiating the terms of any collaboration agreements we may choose to initiate or conclude;</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 including GCPs;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recruit and enroll suitable patients to participate in a trial;</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add new clinical trial sites; or</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interpretations of the data generated from our preclinical or clinical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establishing, expanding and scaling manufacturing capabilities;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manufacture, or obtain from third parties, sufficient quantities of qualified materials under cGMP, for the completion in pre-clinical and clinical studies;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biopharmaceutical product candidate storage, stability and distribution resulting in global supply chain disruptions;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70"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our product candidates.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 regulatory review or approval process and it does not increase the likelihood that our product candidates will receive marketing approval.</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maintain regulatory compliance, we may lose any marketing approval that we may have obtained, and we may not achieve or sustain profitability.</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Biden administration will impact the ACA and our business. We are continuing to monitor any changes to the ACA that, in turn, may potentially impact our business in the future.</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information both at product launch and in the event of a price increase; and, in some cases, measures designed to encourage importation from other countries and bulk purchasing.</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could compromise our ability to perform our day-to-day operations, which could harm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conduct business or delay our financial reporting. Such failures could materially adversely affect our operating results and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the Health Insurance Portability and Accountability Act of 1996 (“HIPAA”). Depending on the facts and circumstances, we could be subject to criminal penalties if we knowingly obtain, use or disclose individually identifiable health information maintained by a HIPAA covered entity in a manner that is not authorized or permitted by HIPAA.</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For example, California enacted the California Consumer Privacy Act (the “CCPA”), which took effect on January 1, 2020 and the California Privacy Rights Act (“CPRA”), which went into effect on January 1, 2023.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CPRA significantly expanded the CCPA. For example, the CPRA requires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The CCPA and CPRA may increase our compliance costs and potential liability.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 Further, legal developments in Europe have created complexity and compliance uncertainty regarding certain transfers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As more companies and individuals work online and work remotely,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1020" w:hanging="503"/>
        <w:spacing w:after="0" w:line="293"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64" w:lineRule="exact"/>
        <w:rPr>
          <w:rFonts w:ascii="Arial" w:cs="Arial" w:eastAsia="Arial" w:hAnsi="Arial"/>
          <w:sz w:val="16"/>
          <w:szCs w:val="16"/>
          <w:color w:val="auto"/>
        </w:rPr>
      </w:pPr>
    </w:p>
    <w:p>
      <w:pPr>
        <w:jc w:val="both"/>
        <w:ind w:left="1020" w:hanging="503"/>
        <w:spacing w:after="0" w:line="25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may assert that a claim including items or services resulting from a violation of the U.S. federal Anti-Kickback Statute constitutes a false or fraudulent claim for purposes of the civil False Claims Act;</w:t>
      </w:r>
    </w:p>
    <w:p>
      <w:pPr>
        <w:spacing w:after="0" w:line="170" w:lineRule="exact"/>
        <w:rPr>
          <w:sz w:val="20"/>
          <w:szCs w:val="20"/>
          <w:color w:val="auto"/>
        </w:rPr>
      </w:pPr>
    </w:p>
    <w:p>
      <w:pPr>
        <w:jc w:val="both"/>
        <w:ind w:left="1020" w:hanging="503"/>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86"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86" w:lineRule="exact"/>
        <w:rPr>
          <w:rFonts w:ascii="Arial" w:cs="Arial" w:eastAsia="Arial" w:hAnsi="Arial"/>
          <w:sz w:val="18"/>
          <w:szCs w:val="18"/>
          <w:color w:val="auto"/>
        </w:rPr>
      </w:pPr>
    </w:p>
    <w:p>
      <w:pPr>
        <w:jc w:val="both"/>
        <w:ind w:left="1020" w:hanging="503"/>
        <w:spacing w:after="0" w:line="296"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spacing w:after="0" w:line="161" w:lineRule="exact"/>
        <w:rPr>
          <w:rFonts w:ascii="Arial" w:cs="Arial" w:eastAsia="Arial" w:hAnsi="Arial"/>
          <w:sz w:val="16"/>
          <w:szCs w:val="16"/>
          <w:color w:val="auto"/>
        </w:rPr>
      </w:pPr>
    </w:p>
    <w:p>
      <w:pPr>
        <w:ind w:left="1020" w:right="56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83" w:lineRule="exact"/>
        <w:rPr>
          <w:rFonts w:ascii="Arial" w:cs="Arial" w:eastAsia="Arial" w:hAnsi="Arial"/>
          <w:sz w:val="18"/>
          <w:szCs w:val="18"/>
          <w:color w:val="auto"/>
        </w:rPr>
      </w:pPr>
    </w:p>
    <w:p>
      <w:pPr>
        <w:jc w:val="both"/>
        <w:ind w:left="1020" w:hanging="503"/>
        <w:spacing w:after="0" w:line="286"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65" w:lineRule="exact"/>
        <w:rPr>
          <w:rFonts w:ascii="Arial" w:cs="Arial" w:eastAsia="Arial" w:hAnsi="Arial"/>
          <w:sz w:val="17"/>
          <w:szCs w:val="17"/>
          <w:color w:val="auto"/>
        </w:rPr>
      </w:pPr>
    </w:p>
    <w:p>
      <w:pPr>
        <w:jc w:val="both"/>
        <w:ind w:left="1020" w:hanging="503"/>
        <w:spacing w:after="0" w:line="289"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us.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currently and may in the future depend on intellectual property licensed from third parties, and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79"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royalty, milestone or other payment obligations that may result from the advancement or commercial sale of any of our product candidates;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2043,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70" w:lineRule="exact"/>
        <w:rPr>
          <w:sz w:val="20"/>
          <w:szCs w:val="20"/>
          <w:color w:val="auto"/>
        </w:rPr>
      </w:pPr>
    </w:p>
    <w:p>
      <w:pPr>
        <w:ind w:left="760" w:right="2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active compositions of our product candidates but that are not covered by the claims of our patents;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or our current or future licensors, as the case may be, might not have been the first to file patent applications for certain inventions;</w:t>
      </w:r>
    </w:p>
    <w:p>
      <w:pPr>
        <w:spacing w:after="0" w:line="236" w:lineRule="exact"/>
        <w:rPr>
          <w:rFonts w:ascii="Arial" w:cs="Arial" w:eastAsia="Arial" w:hAnsi="Arial"/>
          <w:sz w:val="17"/>
          <w:szCs w:val="17"/>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225"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owned or in-licensed patents, as the case may be, or parts of our owned or in-licensed patents;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current or future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adequately cover our product candidates;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70"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23"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83"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236" w:lineRule="exact"/>
        <w:rPr>
          <w:rFonts w:ascii="Arial" w:cs="Arial" w:eastAsia="Arial" w:hAnsi="Arial"/>
          <w:sz w:val="17"/>
          <w:szCs w:val="17"/>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 material adverse effect on our business, financial conditions, results of operations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of obtaining rights to key technologies through in-licenses may not be successful.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Third-party claims of intellectual property infringement may prevent, delay or otherwise interfere with our product discovery and development efforts.</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their intellectual property rights, we may face a number of issues, including, but not limited to:</w:t>
      </w:r>
    </w:p>
    <w:p>
      <w:pPr>
        <w:spacing w:after="0" w:line="62" w:lineRule="exact"/>
        <w:rPr>
          <w:sz w:val="20"/>
          <w:szCs w:val="20"/>
          <w:color w:val="auto"/>
        </w:rPr>
      </w:pPr>
    </w:p>
    <w:p>
      <w:pPr>
        <w:ind w:left="1020" w:right="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that, regardless of merit, may be expensive and time-consuming to litigate and may divert our management’s attention from our core business;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we redesign our product candidates or processes so they do not infringe, which may not be possible or may require substantial monetary expenditures and time; and</w:t>
      </w:r>
    </w:p>
    <w:p>
      <w:pPr>
        <w:spacing w:after="0" w:line="6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that event, we would be unable to further develop and commercialize our product candidates, which could significantly harm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patents that we might obtain or license in the future. For example, in the case, Assoc. for Molecular Pathology v. Myriad Genetics, Inc., the U.S. Supreme Court held that certain claims to DNA molecules are not patent-eligible.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further example, beginning June 1, 2023 European patent applications and patents may be subjected to the jurisdiction of the Unified Patent Court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any product candidates it may develop, our business may be materially harmed.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Intellectual property discovered through government funded programs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price of our common stock has been and is likely to continue to be volatile. For example, during 2023, the closing price of our common stock on The Nasdaq Capital Market ranged from $0.23 per share to $9.77 per share. Some of the factors that may cause the market price of our common stock to fluctuate include:</w:t>
      </w:r>
    </w:p>
    <w:p>
      <w:pPr>
        <w:spacing w:after="0" w:line="184"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results of clinical trials and preclinical studies of our product candidates, or those of our competitors or our existing or future collaborators;</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collaborations, joint ventures or capital commitments by us or our competitors;</w:t>
      </w:r>
    </w:p>
    <w:p>
      <w:pPr>
        <w:spacing w:after="0" w:line="236"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70"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fail to raise an adequate amount of capital to fund our operations and continued development of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w:t>
      </w:r>
    </w:p>
    <w:p>
      <w:pPr>
        <w:spacing w:after="0" w:line="225"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general economic, political, and market conditions and overall fluctuations in the financial markets in the United States and abroad, including as a result of bank failures, public health crises or geopolitical tensions, such as the Russia-Ukraine war and the war in Israel; and</w:t>
      </w:r>
    </w:p>
    <w:p>
      <w:pPr>
        <w:spacing w:after="0" w:line="123"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Russia-Ukraine war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thinly traded and our stockholders may be unable to sell their shares quickly or at market price.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2023, our executive officers, directors and stockholders, who hold greater than 5% of our outstanding common stock, beneficially own in the aggregate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Public Company and Other General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incur significant legal, accounting and other expenses. The Sarbanes-Oxley Act, the Dodd-Frank Wall Street Reform and Consumer Protection Act, the listing requirements of the Nasdaq Stock Market and other applicable securities rules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material weaknesses were identified in our internal control over financial reporting, which have been remediated. We cannot assure you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8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collaborators;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 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against losses caused by product liability claims that could have a material and adverse effect on our business, financial condition, results of operations and prospects.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for nominations to our board of directors;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actions by our stockholders by written consent;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that stockholder actions be effected at a duly called stockholders meeting;</w:t>
      </w:r>
    </w:p>
    <w:p>
      <w:pPr>
        <w:spacing w:after="0" w:line="117" w:lineRule="exact"/>
        <w:rPr>
          <w:rFonts w:ascii="Arial" w:cs="Arial" w:eastAsia="Arial" w:hAnsi="Arial"/>
          <w:sz w:val="18"/>
          <w:szCs w:val="18"/>
          <w:color w:val="auto"/>
        </w:rPr>
      </w:pPr>
    </w:p>
    <w:p>
      <w:pPr>
        <w:jc w:val="both"/>
        <w:ind w:left="760" w:right="40" w:hanging="378"/>
        <w:spacing w:after="0" w:line="263"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October 2023, we implemented a Rights Plan, also called a “poison pill,” that may have the effect of discouraging or preventing a change of control by, among other things, making it uneconomical for a third party to acquire us without the consent of our board of directors. The Rights will expire on October 10, 2024, or, if the Company’s stockholders approve the Rights plan, on October 10, 2026, unless the Rights are earlier redeemed or exchanged by the Company.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exposed to increased litigation, including stockholder litigation, which could have an adverse effect on our business and operations.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8"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21"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43180</wp:posOffset>
            </wp:positionV>
            <wp:extent cx="28460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Filed or</w:t>
            </w:r>
          </w:p>
        </w:tc>
        <w:tc>
          <w:tcPr>
            <w:tcW w:w="0" w:type="dxa"/>
            <w:vAlign w:val="bottom"/>
          </w:tcPr>
          <w:p>
            <w:pPr>
              <w:spacing w:after="0"/>
              <w:rPr>
                <w:sz w:val="1"/>
                <w:szCs w:val="1"/>
                <w:color w:val="auto"/>
              </w:rPr>
            </w:pPr>
          </w:p>
        </w:tc>
      </w:tr>
      <w:tr>
        <w:trPr>
          <w:trHeight w:val="203"/>
        </w:trPr>
        <w:tc>
          <w:tcPr>
            <w:tcW w:w="96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10"/>
        </w:trPr>
        <w:tc>
          <w:tcPr>
            <w:tcW w:w="960" w:type="dxa"/>
            <w:vAlign w:val="bottom"/>
          </w:tcPr>
          <w:p>
            <w:pPr>
              <w:ind w:left="180"/>
              <w:spacing w:after="0"/>
              <w:rPr>
                <w:sz w:val="20"/>
                <w:szCs w:val="20"/>
                <w:color w:val="auto"/>
              </w:rPr>
            </w:pPr>
            <w:r>
              <w:rPr>
                <w:rFonts w:ascii="Arial" w:cs="Arial" w:eastAsia="Arial" w:hAnsi="Arial"/>
                <w:sz w:val="16"/>
                <w:szCs w:val="16"/>
                <w:b w:val="1"/>
                <w:bCs w:val="1"/>
                <w:color w:val="auto"/>
              </w:rPr>
              <w:t>Number</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00" w:type="dxa"/>
            <w:vAlign w:val="bottom"/>
            <w:gridSpan w:val="10"/>
          </w:tcPr>
          <w:p>
            <w:pPr>
              <w:ind w:left="940"/>
              <w:spacing w:after="0"/>
              <w:rPr>
                <w:sz w:val="20"/>
                <w:szCs w:val="20"/>
                <w:color w:val="auto"/>
              </w:rPr>
            </w:pPr>
            <w:r>
              <w:rPr>
                <w:rFonts w:ascii="Arial" w:cs="Arial" w:eastAsia="Arial" w:hAnsi="Arial"/>
                <w:sz w:val="16"/>
                <w:szCs w:val="16"/>
                <w:b w:val="1"/>
                <w:bCs w:val="1"/>
                <w:color w:val="auto"/>
              </w:rPr>
              <w:t>Description of Exhibit</w:t>
            </w:r>
          </w:p>
        </w:tc>
        <w:tc>
          <w:tcPr>
            <w:tcW w:w="760" w:type="dxa"/>
            <w:vAlign w:val="bottom"/>
          </w:tcPr>
          <w:p>
            <w:pPr>
              <w:jc w:val="center"/>
              <w:ind w:left="59"/>
              <w:spacing w:after="0"/>
              <w:rPr>
                <w:sz w:val="20"/>
                <w:szCs w:val="20"/>
                <w:color w:val="auto"/>
              </w:rPr>
            </w:pPr>
            <w:r>
              <w:rPr>
                <w:rFonts w:ascii="Arial" w:cs="Arial" w:eastAsia="Arial" w:hAnsi="Arial"/>
                <w:sz w:val="16"/>
                <w:szCs w:val="16"/>
                <w:b w:val="1"/>
                <w:bCs w:val="1"/>
                <w:color w:val="auto"/>
                <w:w w:val="94"/>
              </w:rPr>
              <w:t>Form</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File Number</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Filing Date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46"/>
        </w:trPr>
        <w:tc>
          <w:tcPr>
            <w:tcW w:w="9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5680" w:type="dxa"/>
            <w:vAlign w:val="bottom"/>
            <w:gridSpan w:val="12"/>
          </w:tcPr>
          <w:p>
            <w:pPr>
              <w:spacing w:after="0"/>
              <w:rPr>
                <w:rFonts w:ascii="Arial" w:cs="Arial" w:eastAsia="Arial" w:hAnsi="Arial"/>
                <w:sz w:val="16"/>
                <w:szCs w:val="16"/>
                <w:color w:val="0000FF"/>
              </w:rPr>
            </w:pPr>
            <w:hyperlink r:id="rId223">
              <w:r>
                <w:rPr>
                  <w:rFonts w:ascii="Arial" w:cs="Arial" w:eastAsia="Arial" w:hAnsi="Arial"/>
                  <w:sz w:val="16"/>
                  <w:szCs w:val="16"/>
                  <w:color w:val="0000FF"/>
                </w:rPr>
                <w:t>Restated Certificate of Incorporation of the Registrant, as amended</w:t>
              </w:r>
            </w:hyperlink>
          </w:p>
        </w:tc>
        <w:tc>
          <w:tcPr>
            <w:tcW w:w="760" w:type="dxa"/>
            <w:vAlign w:val="bottom"/>
          </w:tcPr>
          <w:p>
            <w:pPr>
              <w:jc w:val="center"/>
              <w:ind w:left="59"/>
              <w:spacing w:after="0"/>
              <w:rPr>
                <w:sz w:val="20"/>
                <w:szCs w:val="20"/>
                <w:color w:val="auto"/>
              </w:rPr>
            </w:pPr>
            <w:r>
              <w:rPr>
                <w:rFonts w:ascii="Arial" w:cs="Arial" w:eastAsia="Arial" w:hAnsi="Arial"/>
                <w:sz w:val="16"/>
                <w:szCs w:val="16"/>
                <w:color w:val="auto"/>
                <w:w w:val="95"/>
              </w:rPr>
              <w:t>10-Q</w:t>
            </w:r>
          </w:p>
        </w:tc>
        <w:tc>
          <w:tcPr>
            <w:tcW w:w="1100" w:type="dxa"/>
            <w:vAlign w:val="bottom"/>
          </w:tcPr>
          <w:p>
            <w:pPr>
              <w:jc w:val="right"/>
              <w:spacing w:after="0"/>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5/15/2019</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12"/>
          </w:tcPr>
          <w:p>
            <w:pPr>
              <w:spacing w:after="0"/>
              <w:rPr>
                <w:rFonts w:ascii="Arial" w:cs="Arial" w:eastAsia="Arial" w:hAnsi="Arial"/>
                <w:sz w:val="16"/>
                <w:szCs w:val="16"/>
                <w:color w:val="0000FF"/>
                <w:w w:val="92"/>
              </w:rPr>
            </w:pPr>
            <w:hyperlink r:id="rId224">
              <w:r>
                <w:rPr>
                  <w:rFonts w:ascii="Arial" w:cs="Arial" w:eastAsia="Arial" w:hAnsi="Arial"/>
                  <w:sz w:val="16"/>
                  <w:szCs w:val="16"/>
                  <w:color w:val="0000FF"/>
                  <w:w w:val="92"/>
                </w:rPr>
                <w:t>Certificate of Amendment to the Restated Certificate of Incorporation of the Company,</w:t>
              </w:r>
            </w:hyperlink>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jc w:val="center"/>
              <w:spacing w:after="0" w:line="183" w:lineRule="exact"/>
              <w:rPr>
                <w:sz w:val="20"/>
                <w:szCs w:val="20"/>
                <w:color w:val="auto"/>
              </w:rPr>
            </w:pPr>
            <w:r>
              <w:rPr>
                <w:rFonts w:ascii="Arial" w:cs="Arial" w:eastAsia="Arial" w:hAnsi="Arial"/>
                <w:sz w:val="16"/>
                <w:szCs w:val="16"/>
                <w:color w:val="auto"/>
                <w:w w:val="89"/>
              </w:rPr>
              <w:t>3.2</w:t>
            </w:r>
          </w:p>
        </w:tc>
        <w:tc>
          <w:tcPr>
            <w:tcW w:w="5680" w:type="dxa"/>
            <w:vAlign w:val="bottom"/>
            <w:gridSpan w:val="12"/>
          </w:tcPr>
          <w:p>
            <w:pPr>
              <w:spacing w:after="0" w:line="183" w:lineRule="exact"/>
              <w:rPr>
                <w:rFonts w:ascii="Arial" w:cs="Arial" w:eastAsia="Arial" w:hAnsi="Arial"/>
                <w:sz w:val="16"/>
                <w:szCs w:val="16"/>
                <w:color w:val="0000FF"/>
              </w:rPr>
            </w:pPr>
            <w:hyperlink r:id="rId224">
              <w:r>
                <w:rPr>
                  <w:rFonts w:ascii="Arial" w:cs="Arial" w:eastAsia="Arial" w:hAnsi="Arial"/>
                  <w:sz w:val="16"/>
                  <w:szCs w:val="16"/>
                  <w:color w:val="0000FF"/>
                </w:rPr>
                <w:t>as filed with the Secretary of State of the State of Delaware on June 24, 2021</w:t>
              </w:r>
            </w:hyperlink>
          </w:p>
        </w:tc>
        <w:tc>
          <w:tcPr>
            <w:tcW w:w="760" w:type="dxa"/>
            <w:vAlign w:val="bottom"/>
          </w:tcPr>
          <w:p>
            <w:pPr>
              <w:jc w:val="center"/>
              <w:ind w:left="59"/>
              <w:spacing w:after="0" w:line="183" w:lineRule="exact"/>
              <w:rPr>
                <w:sz w:val="20"/>
                <w:szCs w:val="20"/>
                <w:color w:val="auto"/>
              </w:rPr>
            </w:pPr>
            <w:r>
              <w:rPr>
                <w:rFonts w:ascii="Arial" w:cs="Arial" w:eastAsia="Arial" w:hAnsi="Arial"/>
                <w:sz w:val="16"/>
                <w:szCs w:val="16"/>
                <w:color w:val="auto"/>
              </w:rPr>
              <w:t>8-K</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w w:val="89"/>
              </w:rPr>
              <w:t>3.1</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6/28/2021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12"/>
          </w:tcPr>
          <w:p>
            <w:pPr>
              <w:spacing w:after="0"/>
              <w:rPr>
                <w:rFonts w:ascii="Arial" w:cs="Arial" w:eastAsia="Arial" w:hAnsi="Arial"/>
                <w:sz w:val="16"/>
                <w:szCs w:val="16"/>
                <w:color w:val="0000FF"/>
                <w:w w:val="92"/>
              </w:rPr>
            </w:pPr>
            <w:hyperlink r:id="rId225">
              <w:r>
                <w:rPr>
                  <w:rFonts w:ascii="Arial" w:cs="Arial" w:eastAsia="Arial" w:hAnsi="Arial"/>
                  <w:sz w:val="16"/>
                  <w:szCs w:val="16"/>
                  <w:color w:val="0000FF"/>
                  <w:w w:val="92"/>
                </w:rPr>
                <w:t>Certificate of Amendment to the Restated Certificate of Incorporation of the Company,</w:t>
              </w:r>
            </w:hyperlink>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jc w:val="center"/>
              <w:spacing w:after="0" w:line="183" w:lineRule="exact"/>
              <w:rPr>
                <w:sz w:val="20"/>
                <w:szCs w:val="20"/>
                <w:color w:val="auto"/>
              </w:rPr>
            </w:pPr>
            <w:r>
              <w:rPr>
                <w:rFonts w:ascii="Arial" w:cs="Arial" w:eastAsia="Arial" w:hAnsi="Arial"/>
                <w:sz w:val="16"/>
                <w:szCs w:val="16"/>
                <w:color w:val="auto"/>
                <w:w w:val="89"/>
              </w:rPr>
              <w:t>3.3</w:t>
            </w:r>
          </w:p>
        </w:tc>
        <w:tc>
          <w:tcPr>
            <w:tcW w:w="5680" w:type="dxa"/>
            <w:vAlign w:val="bottom"/>
            <w:gridSpan w:val="12"/>
          </w:tcPr>
          <w:p>
            <w:pPr>
              <w:spacing w:after="0" w:line="183" w:lineRule="exact"/>
              <w:rPr>
                <w:rFonts w:ascii="Arial" w:cs="Arial" w:eastAsia="Arial" w:hAnsi="Arial"/>
                <w:sz w:val="16"/>
                <w:szCs w:val="16"/>
                <w:color w:val="0000FF"/>
              </w:rPr>
            </w:pPr>
            <w:hyperlink r:id="rId225">
              <w:r>
                <w:rPr>
                  <w:rFonts w:ascii="Arial" w:cs="Arial" w:eastAsia="Arial" w:hAnsi="Arial"/>
                  <w:sz w:val="16"/>
                  <w:szCs w:val="16"/>
                  <w:color w:val="0000FF"/>
                </w:rPr>
                <w:t>as filed with the Secretary of State of the State of Delaware on June 25, 2021</w:t>
              </w:r>
            </w:hyperlink>
          </w:p>
        </w:tc>
        <w:tc>
          <w:tcPr>
            <w:tcW w:w="760" w:type="dxa"/>
            <w:vAlign w:val="bottom"/>
          </w:tcPr>
          <w:p>
            <w:pPr>
              <w:jc w:val="center"/>
              <w:ind w:left="59"/>
              <w:spacing w:after="0" w:line="183" w:lineRule="exact"/>
              <w:rPr>
                <w:sz w:val="20"/>
                <w:szCs w:val="20"/>
                <w:color w:val="auto"/>
              </w:rPr>
            </w:pPr>
            <w:r>
              <w:rPr>
                <w:rFonts w:ascii="Arial" w:cs="Arial" w:eastAsia="Arial" w:hAnsi="Arial"/>
                <w:sz w:val="16"/>
                <w:szCs w:val="16"/>
                <w:color w:val="auto"/>
              </w:rPr>
              <w:t>8-K</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w w:val="89"/>
              </w:rPr>
              <w:t>3.2</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6/28/2021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5680" w:type="dxa"/>
            <w:vAlign w:val="bottom"/>
            <w:gridSpan w:val="12"/>
          </w:tcPr>
          <w:p>
            <w:pPr>
              <w:spacing w:after="0"/>
              <w:rPr>
                <w:rFonts w:ascii="Arial" w:cs="Arial" w:eastAsia="Arial" w:hAnsi="Arial"/>
                <w:sz w:val="16"/>
                <w:szCs w:val="16"/>
                <w:color w:val="0000FF"/>
                <w:w w:val="92"/>
              </w:rPr>
            </w:pPr>
            <w:hyperlink r:id="rId226">
              <w:r>
                <w:rPr>
                  <w:rFonts w:ascii="Arial" w:cs="Arial" w:eastAsia="Arial" w:hAnsi="Arial"/>
                  <w:sz w:val="16"/>
                  <w:szCs w:val="16"/>
                  <w:color w:val="0000FF"/>
                  <w:w w:val="92"/>
                </w:rPr>
                <w:t>Certificate of Designation of Series A Junior Participating Preferred Stock filed with the</w:t>
              </w:r>
            </w:hyperlink>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jc w:val="center"/>
              <w:spacing w:after="0" w:line="183" w:lineRule="exact"/>
              <w:rPr>
                <w:sz w:val="20"/>
                <w:szCs w:val="20"/>
                <w:color w:val="auto"/>
              </w:rPr>
            </w:pPr>
            <w:r>
              <w:rPr>
                <w:rFonts w:ascii="Arial" w:cs="Arial" w:eastAsia="Arial" w:hAnsi="Arial"/>
                <w:sz w:val="16"/>
                <w:szCs w:val="16"/>
                <w:color w:val="auto"/>
                <w:w w:val="89"/>
              </w:rPr>
              <w:t>3.4</w:t>
            </w:r>
          </w:p>
        </w:tc>
        <w:tc>
          <w:tcPr>
            <w:tcW w:w="5680" w:type="dxa"/>
            <w:vAlign w:val="bottom"/>
            <w:gridSpan w:val="12"/>
          </w:tcPr>
          <w:p>
            <w:pPr>
              <w:spacing w:after="0" w:line="183" w:lineRule="exact"/>
              <w:rPr>
                <w:rFonts w:ascii="Arial" w:cs="Arial" w:eastAsia="Arial" w:hAnsi="Arial"/>
                <w:sz w:val="16"/>
                <w:szCs w:val="16"/>
                <w:color w:val="0000FF"/>
              </w:rPr>
            </w:pPr>
            <w:hyperlink r:id="rId226">
              <w:r>
                <w:rPr>
                  <w:rFonts w:ascii="Arial" w:cs="Arial" w:eastAsia="Arial" w:hAnsi="Arial"/>
                  <w:sz w:val="16"/>
                  <w:szCs w:val="16"/>
                  <w:color w:val="0000FF"/>
                </w:rPr>
                <w:t>Secretary of State of the State of Delaware on October 10, 2023</w:t>
              </w:r>
            </w:hyperlink>
          </w:p>
        </w:tc>
        <w:tc>
          <w:tcPr>
            <w:tcW w:w="760" w:type="dxa"/>
            <w:vAlign w:val="bottom"/>
          </w:tcPr>
          <w:p>
            <w:pPr>
              <w:jc w:val="center"/>
              <w:ind w:left="59"/>
              <w:spacing w:after="0" w:line="183" w:lineRule="exact"/>
              <w:rPr>
                <w:sz w:val="20"/>
                <w:szCs w:val="20"/>
                <w:color w:val="auto"/>
              </w:rPr>
            </w:pPr>
            <w:r>
              <w:rPr>
                <w:rFonts w:ascii="Arial" w:cs="Arial" w:eastAsia="Arial" w:hAnsi="Arial"/>
                <w:sz w:val="16"/>
                <w:szCs w:val="16"/>
                <w:color w:val="auto"/>
              </w:rPr>
              <w:t>8-K</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w w:val="89"/>
              </w:rPr>
              <w:t>3.1</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10/11/2023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5680" w:type="dxa"/>
            <w:vAlign w:val="bottom"/>
            <w:gridSpan w:val="12"/>
          </w:tcPr>
          <w:p>
            <w:pPr>
              <w:spacing w:after="0"/>
              <w:rPr>
                <w:rFonts w:ascii="Arial" w:cs="Arial" w:eastAsia="Arial" w:hAnsi="Arial"/>
                <w:sz w:val="16"/>
                <w:szCs w:val="16"/>
                <w:color w:val="0000FF"/>
              </w:rPr>
            </w:pPr>
            <w:hyperlink r:id="rId227">
              <w:r>
                <w:rPr>
                  <w:rFonts w:ascii="Arial" w:cs="Arial" w:eastAsia="Arial" w:hAnsi="Arial"/>
                  <w:sz w:val="16"/>
                  <w:szCs w:val="16"/>
                  <w:color w:val="0000FF"/>
                </w:rPr>
                <w:t>Amended and Restated Bylaws of the Registrant</w:t>
              </w:r>
            </w:hyperlink>
          </w:p>
        </w:tc>
        <w:tc>
          <w:tcPr>
            <w:tcW w:w="760" w:type="dxa"/>
            <w:vAlign w:val="bottom"/>
          </w:tcPr>
          <w:p>
            <w:pPr>
              <w:jc w:val="center"/>
              <w:ind w:left="59"/>
              <w:spacing w:after="0"/>
              <w:rPr>
                <w:sz w:val="20"/>
                <w:szCs w:val="20"/>
                <w:color w:val="auto"/>
              </w:rPr>
            </w:pPr>
            <w:r>
              <w:rPr>
                <w:rFonts w:ascii="Arial" w:cs="Arial" w:eastAsia="Arial" w:hAnsi="Arial"/>
                <w:sz w:val="16"/>
                <w:szCs w:val="16"/>
                <w:color w:val="auto"/>
              </w:rPr>
              <w:t>8-K</w:t>
            </w:r>
          </w:p>
        </w:tc>
        <w:tc>
          <w:tcPr>
            <w:tcW w:w="1100" w:type="dxa"/>
            <w:vAlign w:val="bottom"/>
          </w:tcPr>
          <w:p>
            <w:pPr>
              <w:jc w:val="right"/>
              <w:spacing w:after="0"/>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9/24/2021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5680" w:type="dxa"/>
            <w:vAlign w:val="bottom"/>
            <w:gridSpan w:val="12"/>
          </w:tcPr>
          <w:p>
            <w:pPr>
              <w:spacing w:after="0"/>
              <w:rPr>
                <w:rFonts w:ascii="Arial" w:cs="Arial" w:eastAsia="Arial" w:hAnsi="Arial"/>
                <w:sz w:val="16"/>
                <w:szCs w:val="16"/>
                <w:color w:val="0000FF"/>
              </w:rPr>
            </w:pPr>
            <w:hyperlink r:id="rId228">
              <w:r>
                <w:rPr>
                  <w:rFonts w:ascii="Arial" w:cs="Arial" w:eastAsia="Arial" w:hAnsi="Arial"/>
                  <w:sz w:val="16"/>
                  <w:szCs w:val="16"/>
                  <w:color w:val="0000FF"/>
                </w:rPr>
                <w:t>Rights Agreement</w:t>
              </w:r>
            </w:hyperlink>
          </w:p>
        </w:tc>
        <w:tc>
          <w:tcPr>
            <w:tcW w:w="760" w:type="dxa"/>
            <w:vAlign w:val="bottom"/>
          </w:tcPr>
          <w:p>
            <w:pPr>
              <w:jc w:val="center"/>
              <w:ind w:left="59"/>
              <w:spacing w:after="0"/>
              <w:rPr>
                <w:sz w:val="20"/>
                <w:szCs w:val="20"/>
                <w:color w:val="auto"/>
              </w:rPr>
            </w:pPr>
            <w:r>
              <w:rPr>
                <w:rFonts w:ascii="Arial" w:cs="Arial" w:eastAsia="Arial" w:hAnsi="Arial"/>
                <w:sz w:val="16"/>
                <w:szCs w:val="16"/>
                <w:color w:val="auto"/>
              </w:rPr>
              <w:t>8-K</w:t>
            </w:r>
          </w:p>
        </w:tc>
        <w:tc>
          <w:tcPr>
            <w:tcW w:w="1100" w:type="dxa"/>
            <w:vAlign w:val="bottom"/>
          </w:tcPr>
          <w:p>
            <w:pPr>
              <w:jc w:val="right"/>
              <w:spacing w:after="0"/>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10/11/2023</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10.1+</w:t>
            </w:r>
            <w:r>
              <w:rPr>
                <w:rFonts w:ascii="Arial" w:cs="Arial" w:eastAsia="Arial" w:hAnsi="Arial"/>
                <w:sz w:val="17"/>
                <w:szCs w:val="17"/>
                <w:color w:val="auto"/>
                <w:w w:val="90"/>
              </w:rPr>
              <w:t>^</w:t>
            </w:r>
          </w:p>
        </w:tc>
        <w:tc>
          <w:tcPr>
            <w:tcW w:w="5680" w:type="dxa"/>
            <w:vAlign w:val="bottom"/>
            <w:gridSpan w:val="12"/>
          </w:tcPr>
          <w:p>
            <w:pPr>
              <w:spacing w:after="0"/>
              <w:rPr>
                <w:sz w:val="20"/>
                <w:szCs w:val="20"/>
                <w:color w:val="auto"/>
              </w:rPr>
            </w:pPr>
            <w:r>
              <w:rPr>
                <w:rFonts w:ascii="Arial" w:cs="Arial" w:eastAsia="Arial" w:hAnsi="Arial"/>
                <w:sz w:val="16"/>
                <w:szCs w:val="16"/>
                <w:color w:val="0000FF"/>
              </w:rPr>
              <w:t>Separation and Consulting Agreement by and between the Registrant and Tom</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680" w:type="dxa"/>
            <w:vAlign w:val="bottom"/>
            <w:gridSpan w:val="12"/>
          </w:tcPr>
          <w:p>
            <w:pPr>
              <w:spacing w:after="0" w:line="183" w:lineRule="exact"/>
              <w:rPr>
                <w:sz w:val="20"/>
                <w:szCs w:val="20"/>
                <w:color w:val="auto"/>
              </w:rPr>
            </w:pPr>
            <w:r>
              <w:rPr>
                <w:rFonts w:ascii="Arial" w:cs="Arial" w:eastAsia="Arial" w:hAnsi="Arial"/>
                <w:sz w:val="16"/>
                <w:szCs w:val="16"/>
                <w:color w:val="0000FF"/>
              </w:rPr>
              <w:t>Dubensky, Ph.D., dated September 15, 2023</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12"/>
          </w:tcPr>
          <w:p>
            <w:pPr>
              <w:spacing w:after="0"/>
              <w:rPr>
                <w:sz w:val="20"/>
                <w:szCs w:val="20"/>
                <w:color w:val="auto"/>
              </w:rPr>
            </w:pPr>
            <w:r>
              <w:rPr>
                <w:rFonts w:ascii="Arial" w:cs="Arial" w:eastAsia="Arial" w:hAnsi="Arial"/>
                <w:sz w:val="16"/>
                <w:szCs w:val="16"/>
                <w:color w:val="0000FF"/>
                <w:w w:val="93"/>
              </w:rPr>
              <w:t>Certification of Principal Executive Officer pursuant to Rules 13a-14(a) and 15d-14(a)</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04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5680" w:type="dxa"/>
            <w:vAlign w:val="bottom"/>
            <w:gridSpan w:val="12"/>
          </w:tcPr>
          <w:p>
            <w:pPr>
              <w:spacing w:after="0" w:line="183" w:lineRule="exact"/>
              <w:rPr>
                <w:sz w:val="20"/>
                <w:szCs w:val="20"/>
                <w:color w:val="auto"/>
              </w:rPr>
            </w:pPr>
            <w:r>
              <w:rPr>
                <w:rFonts w:ascii="Arial" w:cs="Arial" w:eastAsia="Arial" w:hAnsi="Arial"/>
                <w:sz w:val="16"/>
                <w:szCs w:val="16"/>
                <w:color w:val="0000FF"/>
                <w:w w:val="89"/>
              </w:rPr>
              <w:t>promulgated under the Securities Exchange Act of 1934, as adopted pursuant to Section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04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jc w:val="center"/>
              <w:spacing w:after="0" w:line="183" w:lineRule="exact"/>
              <w:rPr>
                <w:sz w:val="20"/>
                <w:szCs w:val="20"/>
                <w:color w:val="auto"/>
              </w:rPr>
            </w:pPr>
            <w:r>
              <w:rPr>
                <w:rFonts w:ascii="Arial" w:cs="Arial" w:eastAsia="Arial" w:hAnsi="Arial"/>
                <w:sz w:val="16"/>
                <w:szCs w:val="16"/>
                <w:color w:val="auto"/>
                <w:w w:val="89"/>
              </w:rPr>
              <w:t>31.1</w:t>
            </w:r>
          </w:p>
        </w:tc>
        <w:tc>
          <w:tcPr>
            <w:tcW w:w="5680" w:type="dxa"/>
            <w:vAlign w:val="bottom"/>
            <w:gridSpan w:val="12"/>
          </w:tcPr>
          <w:p>
            <w:pPr>
              <w:spacing w:after="0" w:line="183" w:lineRule="exact"/>
              <w:rPr>
                <w:sz w:val="20"/>
                <w:szCs w:val="20"/>
                <w:color w:val="auto"/>
              </w:rPr>
            </w:pPr>
            <w:r>
              <w:rPr>
                <w:rFonts w:ascii="Arial" w:cs="Arial" w:eastAsia="Arial" w:hAnsi="Arial"/>
                <w:sz w:val="16"/>
                <w:szCs w:val="16"/>
                <w:color w:val="0000FF"/>
              </w:rPr>
              <w:t>302 of the Sarbanes-Oxley Act of 2002</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12"/>
          </w:tcPr>
          <w:p>
            <w:pPr>
              <w:spacing w:after="0"/>
              <w:rPr>
                <w:sz w:val="20"/>
                <w:szCs w:val="20"/>
                <w:color w:val="auto"/>
              </w:rPr>
            </w:pPr>
            <w:r>
              <w:rPr>
                <w:rFonts w:ascii="Arial" w:cs="Arial" w:eastAsia="Arial" w:hAnsi="Arial"/>
                <w:sz w:val="16"/>
                <w:szCs w:val="16"/>
                <w:color w:val="0000FF"/>
                <w:w w:val="94"/>
              </w:rPr>
              <w:t>Certification of Principal Financial Officer pursuant to Rules 13a-14(a) and 15d-14(a)</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5680" w:type="dxa"/>
            <w:vAlign w:val="bottom"/>
            <w:gridSpan w:val="12"/>
          </w:tcPr>
          <w:p>
            <w:pPr>
              <w:spacing w:after="0" w:line="183" w:lineRule="exact"/>
              <w:rPr>
                <w:sz w:val="20"/>
                <w:szCs w:val="20"/>
                <w:color w:val="auto"/>
              </w:rPr>
            </w:pPr>
            <w:r>
              <w:rPr>
                <w:rFonts w:ascii="Arial" w:cs="Arial" w:eastAsia="Arial" w:hAnsi="Arial"/>
                <w:sz w:val="16"/>
                <w:szCs w:val="16"/>
                <w:color w:val="0000FF"/>
                <w:w w:val="90"/>
              </w:rPr>
              <w:t>promulgated under the Securities Exchange Act of 1934, as adopted pursuant to section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gridSpan w:val="10"/>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jc w:val="center"/>
              <w:spacing w:after="0" w:line="183" w:lineRule="exact"/>
              <w:rPr>
                <w:sz w:val="20"/>
                <w:szCs w:val="20"/>
                <w:color w:val="auto"/>
              </w:rPr>
            </w:pPr>
            <w:r>
              <w:rPr>
                <w:rFonts w:ascii="Arial" w:cs="Arial" w:eastAsia="Arial" w:hAnsi="Arial"/>
                <w:sz w:val="16"/>
                <w:szCs w:val="16"/>
                <w:color w:val="auto"/>
                <w:w w:val="89"/>
              </w:rPr>
              <w:t>31.2</w:t>
            </w:r>
          </w:p>
        </w:tc>
        <w:tc>
          <w:tcPr>
            <w:tcW w:w="5680" w:type="dxa"/>
            <w:vAlign w:val="bottom"/>
            <w:gridSpan w:val="12"/>
          </w:tcPr>
          <w:p>
            <w:pPr>
              <w:spacing w:after="0" w:line="183" w:lineRule="exact"/>
              <w:rPr>
                <w:sz w:val="20"/>
                <w:szCs w:val="20"/>
                <w:color w:val="auto"/>
              </w:rPr>
            </w:pPr>
            <w:r>
              <w:rPr>
                <w:rFonts w:ascii="Arial" w:cs="Arial" w:eastAsia="Arial" w:hAnsi="Arial"/>
                <w:sz w:val="16"/>
                <w:szCs w:val="16"/>
                <w:color w:val="0000FF"/>
              </w:rPr>
              <w:t>302 of the Sarbanes-Oxley Act of 2002</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12"/>
          </w:tcPr>
          <w:p>
            <w:pPr>
              <w:spacing w:after="0"/>
              <w:rPr>
                <w:sz w:val="20"/>
                <w:szCs w:val="20"/>
                <w:color w:val="auto"/>
              </w:rPr>
            </w:pPr>
            <w:r>
              <w:rPr>
                <w:rFonts w:ascii="Arial" w:cs="Arial" w:eastAsia="Arial" w:hAnsi="Arial"/>
                <w:sz w:val="16"/>
                <w:szCs w:val="16"/>
                <w:color w:val="0000FF"/>
                <w:w w:val="94"/>
              </w:rPr>
              <w:t>Certification of Principal Executive Officer and Principal Financial Officer pursuant to</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5680" w:type="dxa"/>
            <w:vAlign w:val="bottom"/>
            <w:gridSpan w:val="12"/>
          </w:tcPr>
          <w:p>
            <w:pPr>
              <w:spacing w:after="0" w:line="183" w:lineRule="exact"/>
              <w:rPr>
                <w:sz w:val="20"/>
                <w:szCs w:val="20"/>
                <w:color w:val="auto"/>
              </w:rPr>
            </w:pPr>
            <w:r>
              <w:rPr>
                <w:rFonts w:ascii="Arial" w:cs="Arial" w:eastAsia="Arial" w:hAnsi="Arial"/>
                <w:sz w:val="16"/>
                <w:szCs w:val="16"/>
                <w:color w:val="0000FF"/>
                <w:w w:val="90"/>
              </w:rPr>
              <w:t>Rules 13a-14(b) and 15d-14(b) promulgated under the Securities Exchange Act of 1934</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900" w:type="dxa"/>
            <w:vAlign w:val="bottom"/>
            <w:gridSpan w:val="11"/>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5680" w:type="dxa"/>
            <w:vAlign w:val="bottom"/>
            <w:gridSpan w:val="12"/>
          </w:tcPr>
          <w:p>
            <w:pPr>
              <w:spacing w:after="0" w:line="183" w:lineRule="exact"/>
              <w:rPr>
                <w:sz w:val="20"/>
                <w:szCs w:val="20"/>
                <w:color w:val="auto"/>
              </w:rPr>
            </w:pPr>
            <w:r>
              <w:rPr>
                <w:rFonts w:ascii="Arial" w:cs="Arial" w:eastAsia="Arial" w:hAnsi="Arial"/>
                <w:sz w:val="16"/>
                <w:szCs w:val="16"/>
                <w:color w:val="0000FF"/>
                <w:w w:val="90"/>
              </w:rPr>
              <w:t>and 18 U.S.C. Section 1350, as adopted pursuant to section 906 of The Sarbanes-Oxley</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900" w:type="dxa"/>
            <w:vAlign w:val="bottom"/>
            <w:gridSpan w:val="11"/>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jc w:val="center"/>
              <w:spacing w:after="0" w:line="183" w:lineRule="exact"/>
              <w:rPr>
                <w:sz w:val="20"/>
                <w:szCs w:val="20"/>
                <w:color w:val="auto"/>
              </w:rPr>
            </w:pPr>
            <w:r>
              <w:rPr>
                <w:rFonts w:ascii="Arial" w:cs="Arial" w:eastAsia="Arial" w:hAnsi="Arial"/>
                <w:sz w:val="16"/>
                <w:szCs w:val="16"/>
                <w:color w:val="auto"/>
                <w:w w:val="96"/>
              </w:rPr>
              <w:t>32.1*</w:t>
            </w:r>
          </w:p>
        </w:tc>
        <w:tc>
          <w:tcPr>
            <w:tcW w:w="5680" w:type="dxa"/>
            <w:vAlign w:val="bottom"/>
            <w:gridSpan w:val="12"/>
          </w:tcPr>
          <w:p>
            <w:pPr>
              <w:spacing w:after="0" w:line="183" w:lineRule="exact"/>
              <w:rPr>
                <w:sz w:val="20"/>
                <w:szCs w:val="20"/>
                <w:color w:val="auto"/>
              </w:rPr>
            </w:pPr>
            <w:r>
              <w:rPr>
                <w:rFonts w:ascii="Arial" w:cs="Arial" w:eastAsia="Arial" w:hAnsi="Arial"/>
                <w:sz w:val="16"/>
                <w:szCs w:val="16"/>
                <w:color w:val="0000FF"/>
              </w:rPr>
              <w:t>Act of 2002</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60" w:type="dxa"/>
            <w:vAlign w:val="bottom"/>
          </w:tcPr>
          <w:p>
            <w:pPr>
              <w:ind w:left="180"/>
              <w:spacing w:after="0"/>
              <w:rPr>
                <w:sz w:val="20"/>
                <w:szCs w:val="20"/>
                <w:color w:val="auto"/>
              </w:rPr>
            </w:pPr>
            <w:r>
              <w:rPr>
                <w:rFonts w:ascii="Arial" w:cs="Arial" w:eastAsia="Arial" w:hAnsi="Arial"/>
                <w:sz w:val="16"/>
                <w:szCs w:val="16"/>
                <w:color w:val="auto"/>
              </w:rPr>
              <w:t>101.INS</w:t>
            </w:r>
          </w:p>
        </w:tc>
        <w:tc>
          <w:tcPr>
            <w:tcW w:w="5680" w:type="dxa"/>
            <w:vAlign w:val="bottom"/>
            <w:gridSpan w:val="12"/>
          </w:tcPr>
          <w:p>
            <w:pPr>
              <w:spacing w:after="0"/>
              <w:rPr>
                <w:sz w:val="20"/>
                <w:szCs w:val="20"/>
                <w:color w:val="auto"/>
              </w:rPr>
            </w:pPr>
            <w:r>
              <w:rPr>
                <w:rFonts w:ascii="Arial" w:cs="Arial" w:eastAsia="Arial" w:hAnsi="Arial"/>
                <w:sz w:val="16"/>
                <w:szCs w:val="16"/>
                <w:color w:val="auto"/>
              </w:rPr>
              <w:t>Inline XBRL Instance Document</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60"/>
              <w:spacing w:after="0"/>
              <w:rPr>
                <w:sz w:val="20"/>
                <w:szCs w:val="20"/>
                <w:color w:val="auto"/>
              </w:rPr>
            </w:pPr>
            <w:r>
              <w:rPr>
                <w:rFonts w:ascii="Arial" w:cs="Arial" w:eastAsia="Arial" w:hAnsi="Arial"/>
                <w:sz w:val="16"/>
                <w:szCs w:val="16"/>
                <w:color w:val="auto"/>
              </w:rPr>
              <w:t>101.SCH</w:t>
            </w:r>
          </w:p>
        </w:tc>
        <w:tc>
          <w:tcPr>
            <w:tcW w:w="568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60"/>
              <w:spacing w:after="0"/>
              <w:rPr>
                <w:sz w:val="20"/>
                <w:szCs w:val="20"/>
                <w:color w:val="auto"/>
              </w:rPr>
            </w:pPr>
            <w:r>
              <w:rPr>
                <w:rFonts w:ascii="Arial" w:cs="Arial" w:eastAsia="Arial" w:hAnsi="Arial"/>
                <w:sz w:val="16"/>
                <w:szCs w:val="16"/>
                <w:color w:val="auto"/>
              </w:rPr>
              <w:t>101.CAL</w:t>
            </w:r>
          </w:p>
        </w:tc>
        <w:tc>
          <w:tcPr>
            <w:tcW w:w="568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60"/>
              <w:spacing w:after="0"/>
              <w:rPr>
                <w:sz w:val="20"/>
                <w:szCs w:val="20"/>
                <w:color w:val="auto"/>
              </w:rPr>
            </w:pPr>
            <w:r>
              <w:rPr>
                <w:rFonts w:ascii="Arial" w:cs="Arial" w:eastAsia="Arial" w:hAnsi="Arial"/>
                <w:sz w:val="16"/>
                <w:szCs w:val="16"/>
                <w:color w:val="auto"/>
              </w:rPr>
              <w:t>101.DEF</w:t>
            </w:r>
          </w:p>
        </w:tc>
        <w:tc>
          <w:tcPr>
            <w:tcW w:w="568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60"/>
              <w:spacing w:after="0"/>
              <w:rPr>
                <w:sz w:val="20"/>
                <w:szCs w:val="20"/>
                <w:color w:val="auto"/>
              </w:rPr>
            </w:pPr>
            <w:r>
              <w:rPr>
                <w:rFonts w:ascii="Arial" w:cs="Arial" w:eastAsia="Arial" w:hAnsi="Arial"/>
                <w:sz w:val="16"/>
                <w:szCs w:val="16"/>
                <w:color w:val="auto"/>
              </w:rPr>
              <w:t>101.LAB</w:t>
            </w:r>
          </w:p>
        </w:tc>
        <w:tc>
          <w:tcPr>
            <w:tcW w:w="568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80"/>
              <w:spacing w:after="0"/>
              <w:rPr>
                <w:sz w:val="20"/>
                <w:szCs w:val="20"/>
                <w:color w:val="auto"/>
              </w:rPr>
            </w:pPr>
            <w:r>
              <w:rPr>
                <w:rFonts w:ascii="Arial" w:cs="Arial" w:eastAsia="Arial" w:hAnsi="Arial"/>
                <w:sz w:val="16"/>
                <w:szCs w:val="16"/>
                <w:color w:val="auto"/>
              </w:rPr>
              <w:t>101.PRE</w:t>
            </w:r>
          </w:p>
        </w:tc>
        <w:tc>
          <w:tcPr>
            <w:tcW w:w="568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cover page from the Company’s Quarterly Report on Form 10-Q for the quarter</w:t>
      </w:r>
    </w:p>
    <w:p>
      <w:pPr>
        <w:spacing w:after="0" w:line="22" w:lineRule="exact"/>
        <w:rPr>
          <w:sz w:val="20"/>
          <w:szCs w:val="20"/>
          <w:color w:val="auto"/>
        </w:rPr>
      </w:pPr>
    </w:p>
    <w:p>
      <w:pPr>
        <w:ind w:left="940" w:hanging="601"/>
        <w:spacing w:after="0"/>
        <w:tabs>
          <w:tab w:leader="none" w:pos="9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ended September 30, 2023, has been formatted in Inline XBRL.</w:t>
      </w:r>
    </w:p>
    <w:p>
      <w:pPr>
        <w:spacing w:after="0" w:line="50" w:lineRule="exact"/>
        <w:rPr>
          <w:rFonts w:ascii="Arial" w:cs="Arial" w:eastAsia="Arial" w:hAnsi="Arial"/>
          <w:sz w:val="16"/>
          <w:szCs w:val="16"/>
          <w:color w:val="auto"/>
        </w:rPr>
      </w:pPr>
    </w:p>
    <w:p>
      <w:pPr>
        <w:ind w:left="160" w:hanging="152"/>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ind w:firstLine="8"/>
        <w:spacing w:after="0" w:line="250" w:lineRule="auto"/>
        <w:tabs>
          <w:tab w:leader="none" w:pos="1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TEMPEST THERAPEUTICS, INC.</w:t>
      </w:r>
    </w:p>
    <w:p>
      <w:pPr>
        <w:spacing w:after="0" w:line="279" w:lineRule="exact"/>
        <w:rPr>
          <w:sz w:val="20"/>
          <w:szCs w:val="20"/>
          <w:color w:val="auto"/>
        </w:rPr>
      </w:pPr>
    </w:p>
    <w:p>
      <w:pPr>
        <w:ind w:left="598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Stephen Brady</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22" w:lineRule="exact"/>
        <w:rPr>
          <w:sz w:val="20"/>
          <w:szCs w:val="20"/>
          <w:color w:val="auto"/>
        </w:rPr>
      </w:pPr>
    </w:p>
    <w:p>
      <w:pPr>
        <w:ind w:left="598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Nicholas Maestas</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Vice-President, Strategy and Finance (Principal Financial Officer)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10.1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empest</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jc w:val="center"/>
        <w:spacing w:after="0" w:line="230" w:lineRule="auto"/>
        <w:rPr>
          <w:sz w:val="20"/>
          <w:szCs w:val="20"/>
          <w:color w:val="auto"/>
        </w:rPr>
      </w:pPr>
      <w:r>
        <w:rPr>
          <w:rFonts w:ascii="Arial" w:cs="Arial" w:eastAsia="Arial" w:hAnsi="Arial"/>
          <w:sz w:val="22"/>
          <w:szCs w:val="22"/>
          <w:color w:val="auto"/>
        </w:rPr>
        <w:t>2000 Sierra Point Parkway, Suite 400</w:t>
      </w:r>
    </w:p>
    <w:p>
      <w:pPr>
        <w:jc w:val="center"/>
        <w:spacing w:after="0" w:line="231" w:lineRule="auto"/>
        <w:rPr>
          <w:sz w:val="20"/>
          <w:szCs w:val="20"/>
          <w:color w:val="auto"/>
        </w:rPr>
      </w:pPr>
      <w:r>
        <w:rPr>
          <w:rFonts w:ascii="Arial" w:cs="Arial" w:eastAsia="Arial" w:hAnsi="Arial"/>
          <w:sz w:val="22"/>
          <w:szCs w:val="22"/>
          <w:color w:val="auto"/>
        </w:rPr>
        <w:t>Brisbane, CA 94005</w:t>
      </w:r>
    </w:p>
    <w:p>
      <w:pPr>
        <w:spacing w:after="0"/>
        <w:rPr>
          <w:sz w:val="20"/>
          <w:szCs w:val="20"/>
          <w:color w:val="auto"/>
        </w:rPr>
      </w:pPr>
      <w:r>
        <w:rPr>
          <w:rFonts w:ascii="Arial" w:cs="Arial" w:eastAsia="Arial" w:hAnsi="Arial"/>
          <w:sz w:val="22"/>
          <w:szCs w:val="22"/>
          <w:color w:val="auto"/>
        </w:rPr>
        <w:t>September 15, 2023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Via Email Only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[Redacted]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Tom Dubensky, Ph.D.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SEPARATION AND CONSULTING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Tom:</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This letter sets forth the substance of the separation and consulting agreement (the “</w:t>
      </w:r>
      <w:r>
        <w:rPr>
          <w:rFonts w:ascii="Arial" w:cs="Arial" w:eastAsia="Arial" w:hAnsi="Arial"/>
          <w:sz w:val="19"/>
          <w:szCs w:val="19"/>
          <w:b w:val="1"/>
          <w:bCs w:val="1"/>
          <w:color w:val="auto"/>
        </w:rPr>
        <w:t>Agreement</w:t>
      </w:r>
      <w:r>
        <w:rPr>
          <w:rFonts w:ascii="Arial" w:cs="Arial" w:eastAsia="Arial" w:hAnsi="Arial"/>
          <w:sz w:val="19"/>
          <w:szCs w:val="19"/>
          <w:color w:val="auto"/>
        </w:rPr>
        <w:t>”) that Tempest Therapeutics, Inc.</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 is offering to you to aid in your employment transition.</w:t>
      </w:r>
    </w:p>
    <w:p>
      <w:pPr>
        <w:spacing w:after="0" w:line="182" w:lineRule="exact"/>
        <w:rPr>
          <w:sz w:val="20"/>
          <w:szCs w:val="20"/>
          <w:color w:val="auto"/>
        </w:rPr>
      </w:pPr>
    </w:p>
    <w:p>
      <w:pPr>
        <w:ind w:firstLine="757"/>
        <w:spacing w:after="0" w:line="256" w:lineRule="auto"/>
        <w:tabs>
          <w:tab w:leader="none" w:pos="1018"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Separation</w:t>
      </w:r>
      <w:r>
        <w:rPr>
          <w:rFonts w:ascii="Arial" w:cs="Arial" w:eastAsia="Arial" w:hAnsi="Arial"/>
          <w:sz w:val="22"/>
          <w:szCs w:val="22"/>
          <w:color w:val="auto"/>
        </w:rPr>
        <w:t>. Your last day of work with the Company and your employment termination date will be September 15,</w:t>
      </w:r>
      <w:r>
        <w:rPr>
          <w:rFonts w:ascii="Arial" w:cs="Arial" w:eastAsia="Arial" w:hAnsi="Arial"/>
          <w:sz w:val="22"/>
          <w:szCs w:val="22"/>
          <w:b w:val="1"/>
          <w:bCs w:val="1"/>
          <w:color w:val="auto"/>
        </w:rPr>
        <w:t xml:space="preserve"> </w:t>
      </w:r>
      <w:r>
        <w:rPr>
          <w:rFonts w:ascii="Arial" w:cs="Arial" w:eastAsia="Arial" w:hAnsi="Arial"/>
          <w:sz w:val="22"/>
          <w:szCs w:val="22"/>
          <w:color w:val="auto"/>
        </w:rPr>
        <w:t>2023 (the “</w:t>
      </w:r>
      <w:r>
        <w:rPr>
          <w:rFonts w:ascii="Arial" w:cs="Arial" w:eastAsia="Arial" w:hAnsi="Arial"/>
          <w:sz w:val="22"/>
          <w:szCs w:val="22"/>
          <w:b w:val="1"/>
          <w:bCs w:val="1"/>
          <w:color w:val="auto"/>
        </w:rPr>
        <w:t>Separation Date</w:t>
      </w:r>
      <w:r>
        <w:rPr>
          <w:rFonts w:ascii="Arial" w:cs="Arial" w:eastAsia="Arial" w:hAnsi="Arial"/>
          <w:sz w:val="22"/>
          <w:szCs w:val="22"/>
          <w:color w:val="auto"/>
        </w:rPr>
        <w:t>”).</w:t>
      </w:r>
    </w:p>
    <w:p>
      <w:pPr>
        <w:spacing w:after="0" w:line="162" w:lineRule="exact"/>
        <w:rPr>
          <w:rFonts w:ascii="Arial" w:cs="Arial" w:eastAsia="Arial" w:hAnsi="Arial"/>
          <w:sz w:val="22"/>
          <w:szCs w:val="22"/>
          <w:b w:val="1"/>
          <w:bCs w:val="1"/>
          <w:color w:val="auto"/>
        </w:rPr>
      </w:pPr>
    </w:p>
    <w:p>
      <w:pPr>
        <w:jc w:val="both"/>
        <w:ind w:firstLine="757"/>
        <w:spacing w:after="0" w:line="254" w:lineRule="auto"/>
        <w:tabs>
          <w:tab w:leader="none" w:pos="1018"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Accrued Salary and Paid Time Off</w:t>
      </w:r>
      <w:r>
        <w:rPr>
          <w:rFonts w:ascii="Arial" w:cs="Arial" w:eastAsia="Arial" w:hAnsi="Arial"/>
          <w:sz w:val="21"/>
          <w:szCs w:val="21"/>
          <w:color w:val="auto"/>
        </w:rPr>
        <w:t>. On the Separation Date, the Company will pay you all accrued salary earned</w:t>
      </w:r>
      <w:r>
        <w:rPr>
          <w:rFonts w:ascii="Arial" w:cs="Arial" w:eastAsia="Arial" w:hAnsi="Arial"/>
          <w:sz w:val="21"/>
          <w:szCs w:val="21"/>
          <w:b w:val="1"/>
          <w:bCs w:val="1"/>
          <w:color w:val="auto"/>
        </w:rPr>
        <w:t xml:space="preserve"> </w:t>
      </w:r>
      <w:r>
        <w:rPr>
          <w:rFonts w:ascii="Arial" w:cs="Arial" w:eastAsia="Arial" w:hAnsi="Arial"/>
          <w:sz w:val="21"/>
          <w:szCs w:val="21"/>
          <w:color w:val="auto"/>
        </w:rPr>
        <w:t>through the Separation Date, subject to standard payroll deductions and withholdings. You are entitled to this payment by law. Because you are part of the Company’s nonaccrual PTO policy for certain executives, you do not have any accrued vacation or other paid time off and thus will not be paid out for any accrued vacation or other paid time off.</w:t>
      </w:r>
    </w:p>
    <w:p>
      <w:pPr>
        <w:spacing w:after="0" w:line="165" w:lineRule="exact"/>
        <w:rPr>
          <w:rFonts w:ascii="Arial" w:cs="Arial" w:eastAsia="Arial" w:hAnsi="Arial"/>
          <w:sz w:val="21"/>
          <w:szCs w:val="21"/>
          <w:b w:val="1"/>
          <w:bCs w:val="1"/>
          <w:color w:val="auto"/>
        </w:rPr>
      </w:pPr>
    </w:p>
    <w:p>
      <w:pPr>
        <w:jc w:val="both"/>
        <w:ind w:firstLine="757"/>
        <w:spacing w:after="0" w:line="247" w:lineRule="auto"/>
        <w:tabs>
          <w:tab w:leader="none" w:pos="1018"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Health Insurance. </w:t>
      </w:r>
      <w:r>
        <w:rPr>
          <w:rFonts w:ascii="Arial" w:cs="Arial" w:eastAsia="Arial" w:hAnsi="Arial"/>
          <w:sz w:val="21"/>
          <w:szCs w:val="21"/>
          <w:color w:val="auto"/>
        </w:rPr>
        <w:t>Unless you follow the procedures set forth in this paragraph, your participation in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group health insurance plan will end on the last day of the month in which the Separation Date occurs. To the extent provided by the federal COBRA law or, if applicable, state insurance laws, and by the Company’s current group health insurance policies, you will be eligible to continue your group health insurance benefits at your own expense following the Separation Date after the period set forth in Exhibit A. Later, you may be able to convert to an individual policy through the provider of the Company’s health insurance, if you wish. You will be provided with a separate notice describing your rights and obligations under COBRA and a form for electing COBRA coverage.</w:t>
      </w:r>
    </w:p>
    <w:p>
      <w:pPr>
        <w:spacing w:after="0" w:line="177" w:lineRule="exact"/>
        <w:rPr>
          <w:rFonts w:ascii="Arial" w:cs="Arial" w:eastAsia="Arial" w:hAnsi="Arial"/>
          <w:sz w:val="21"/>
          <w:szCs w:val="21"/>
          <w:b w:val="1"/>
          <w:bCs w:val="1"/>
          <w:color w:val="auto"/>
        </w:rPr>
      </w:pPr>
    </w:p>
    <w:p>
      <w:pPr>
        <w:jc w:val="both"/>
        <w:ind w:firstLine="757"/>
        <w:spacing w:after="0" w:line="280" w:lineRule="auto"/>
        <w:tabs>
          <w:tab w:leader="none" w:pos="1018"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Consulting Period. </w:t>
      </w:r>
      <w:r>
        <w:rPr>
          <w:rFonts w:ascii="Arial" w:cs="Arial" w:eastAsia="Arial" w:hAnsi="Arial"/>
          <w:sz w:val="19"/>
          <w:szCs w:val="19"/>
          <w:color w:val="auto"/>
        </w:rPr>
        <w:t>If you sign and do not revoke this Agreement, then as a severance benefit, the Company will</w:t>
      </w:r>
      <w:r>
        <w:rPr>
          <w:rFonts w:ascii="Arial" w:cs="Arial" w:eastAsia="Arial" w:hAnsi="Arial"/>
          <w:sz w:val="19"/>
          <w:szCs w:val="19"/>
          <w:b w:val="1"/>
          <w:bCs w:val="1"/>
          <w:color w:val="auto"/>
        </w:rPr>
        <w:t xml:space="preserve"> </w:t>
      </w:r>
      <w:r>
        <w:rPr>
          <w:rFonts w:ascii="Arial" w:cs="Arial" w:eastAsia="Arial" w:hAnsi="Arial"/>
          <w:sz w:val="19"/>
          <w:szCs w:val="19"/>
          <w:color w:val="auto"/>
        </w:rPr>
        <w:t>retain you as a consultant under the terms specified below. The consulting relationship will commence on the Separation Date and continue through December 31, 2023, unless terminated earlier pursuant to the terms set forth below or extended by mutual written agreement (the “</w:t>
      </w:r>
      <w:r>
        <w:rPr>
          <w:rFonts w:ascii="Arial" w:cs="Arial" w:eastAsia="Arial" w:hAnsi="Arial"/>
          <w:sz w:val="19"/>
          <w:szCs w:val="19"/>
          <w:b w:val="1"/>
          <w:bCs w:val="1"/>
          <w:color w:val="auto"/>
        </w:rPr>
        <w:t>Consulting Period</w:t>
      </w:r>
      <w:r>
        <w:rPr>
          <w:rFonts w:ascii="Arial" w:cs="Arial" w:eastAsia="Arial" w:hAnsi="Arial"/>
          <w:sz w:val="19"/>
          <w:szCs w:val="19"/>
          <w:color w:val="auto"/>
        </w:rPr>
        <w:t>”). You acknowledge and agree that prior to entering into this Agreement, the Company is under no obligation to retain your services as a consultant after the Separation Date and therefore this Consulting Period constitutes sufficient consideration for your obligations as specified herein.</w:t>
      </w:r>
    </w:p>
    <w:p>
      <w:pPr>
        <w:spacing w:after="0" w:line="144" w:lineRule="exact"/>
        <w:rPr>
          <w:rFonts w:ascii="Arial" w:cs="Arial" w:eastAsia="Arial" w:hAnsi="Arial"/>
          <w:sz w:val="19"/>
          <w:szCs w:val="19"/>
          <w:b w:val="1"/>
          <w:bCs w:val="1"/>
          <w:color w:val="auto"/>
        </w:rPr>
      </w:pPr>
    </w:p>
    <w:p>
      <w:pPr>
        <w:ind w:right="20" w:firstLine="1595"/>
        <w:spacing w:after="0" w:line="256" w:lineRule="auto"/>
        <w:tabs>
          <w:tab w:leader="none" w:pos="2037" w:val="left"/>
        </w:tabs>
        <w:numPr>
          <w:ilvl w:val="1"/>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Consulting Services. </w:t>
      </w:r>
      <w:r>
        <w:rPr>
          <w:rFonts w:ascii="Arial" w:cs="Arial" w:eastAsia="Arial" w:hAnsi="Arial"/>
          <w:sz w:val="22"/>
          <w:szCs w:val="22"/>
          <w:color w:val="auto"/>
        </w:rPr>
        <w:t>During the Consulting Period, you will use your best efforts to provide consulting</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as may be requested by the Company in the areas of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jc w:val="both"/>
        <w:spacing w:after="0" w:line="243" w:lineRule="auto"/>
        <w:rPr>
          <w:sz w:val="20"/>
          <w:szCs w:val="20"/>
          <w:color w:val="auto"/>
        </w:rPr>
      </w:pPr>
      <w:r>
        <w:rPr>
          <w:rFonts w:ascii="Arial" w:cs="Arial" w:eastAsia="Arial" w:hAnsi="Arial"/>
          <w:sz w:val="22"/>
          <w:szCs w:val="22"/>
          <w:color w:val="auto"/>
        </w:rPr>
        <w:t>experience and expertise in exchange for certain fees as set forth in more detail on Exhibit A (the “</w:t>
      </w:r>
      <w:r>
        <w:rPr>
          <w:rFonts w:ascii="Arial" w:cs="Arial" w:eastAsia="Arial" w:hAnsi="Arial"/>
          <w:sz w:val="22"/>
          <w:szCs w:val="22"/>
          <w:b w:val="1"/>
          <w:bCs w:val="1"/>
          <w:color w:val="auto"/>
        </w:rPr>
        <w:t>Consulting Services</w:t>
      </w:r>
      <w:r>
        <w:rPr>
          <w:rFonts w:ascii="Arial" w:cs="Arial" w:eastAsia="Arial" w:hAnsi="Arial"/>
          <w:sz w:val="22"/>
          <w:szCs w:val="22"/>
          <w:color w:val="auto"/>
        </w:rPr>
        <w:t>”). The Company anticipates that you will provide services at the request of, and subject to the direction of, the Company’s President &amp; CEO.</w:t>
      </w:r>
    </w:p>
    <w:p>
      <w:pPr>
        <w:spacing w:after="0" w:line="177" w:lineRule="exact"/>
        <w:rPr>
          <w:sz w:val="20"/>
          <w:szCs w:val="20"/>
          <w:color w:val="auto"/>
        </w:rPr>
      </w:pPr>
    </w:p>
    <w:p>
      <w:pPr>
        <w:jc w:val="both"/>
        <w:ind w:firstLine="1595"/>
        <w:spacing w:after="0" w:line="243" w:lineRule="auto"/>
        <w:tabs>
          <w:tab w:leader="none" w:pos="203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Provision of Consulting Services</w:t>
      </w:r>
      <w:r>
        <w:rPr>
          <w:rFonts w:ascii="Arial" w:cs="Arial" w:eastAsia="Arial" w:hAnsi="Arial"/>
          <w:sz w:val="22"/>
          <w:szCs w:val="22"/>
          <w:color w:val="auto"/>
        </w:rPr>
        <w:t>. You agree to exercise the highest degree of professionalism and utilize</w:t>
      </w:r>
      <w:r>
        <w:rPr>
          <w:rFonts w:ascii="Arial" w:cs="Arial" w:eastAsia="Arial" w:hAnsi="Arial"/>
          <w:sz w:val="22"/>
          <w:szCs w:val="22"/>
          <w:b w:val="1"/>
          <w:bCs w:val="1"/>
          <w:color w:val="auto"/>
        </w:rPr>
        <w:t xml:space="preserve"> </w:t>
      </w:r>
      <w:r>
        <w:rPr>
          <w:rFonts w:ascii="Arial" w:cs="Arial" w:eastAsia="Arial" w:hAnsi="Arial"/>
          <w:sz w:val="22"/>
          <w:szCs w:val="22"/>
          <w:color w:val="auto"/>
        </w:rPr>
        <w:t>your expertise and creative talents in performing these services. You shall abide by the Company’s applicable policies and procedures during the Consulting Period.</w:t>
      </w:r>
    </w:p>
    <w:p>
      <w:pPr>
        <w:spacing w:after="0" w:line="176" w:lineRule="exact"/>
        <w:rPr>
          <w:rFonts w:ascii="Arial" w:cs="Arial" w:eastAsia="Arial" w:hAnsi="Arial"/>
          <w:sz w:val="22"/>
          <w:szCs w:val="22"/>
          <w:b w:val="1"/>
          <w:bCs w:val="1"/>
          <w:color w:val="auto"/>
        </w:rPr>
      </w:pPr>
    </w:p>
    <w:p>
      <w:pPr>
        <w:jc w:val="both"/>
        <w:ind w:firstLine="1595"/>
        <w:spacing w:after="0" w:line="249" w:lineRule="auto"/>
        <w:tabs>
          <w:tab w:leader="none" w:pos="2037"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Equity Awards. </w:t>
      </w:r>
      <w:r>
        <w:rPr>
          <w:rFonts w:ascii="Arial" w:cs="Arial" w:eastAsia="Arial" w:hAnsi="Arial"/>
          <w:sz w:val="21"/>
          <w:szCs w:val="21"/>
          <w:color w:val="auto"/>
        </w:rPr>
        <w:t>Because your service as an employee and a consultant will be continuous, your</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will not constitute a termination of service for purposes of the Company’s applicable stock or equity plan (the “</w:t>
      </w:r>
      <w:r>
        <w:rPr>
          <w:rFonts w:ascii="Arial" w:cs="Arial" w:eastAsia="Arial" w:hAnsi="Arial"/>
          <w:sz w:val="21"/>
          <w:szCs w:val="21"/>
          <w:b w:val="1"/>
          <w:bCs w:val="1"/>
          <w:color w:val="auto"/>
        </w:rPr>
        <w:t>Plan</w:t>
      </w:r>
      <w:r>
        <w:rPr>
          <w:rFonts w:ascii="Arial" w:cs="Arial" w:eastAsia="Arial" w:hAnsi="Arial"/>
          <w:sz w:val="21"/>
          <w:szCs w:val="21"/>
          <w:color w:val="auto"/>
        </w:rPr>
        <w:t>”). Thus, vesting of your outstanding stock options and other equity awards (the “</w:t>
      </w:r>
      <w:r>
        <w:rPr>
          <w:rFonts w:ascii="Arial" w:cs="Arial" w:eastAsia="Arial" w:hAnsi="Arial"/>
          <w:sz w:val="21"/>
          <w:szCs w:val="21"/>
          <w:b w:val="1"/>
          <w:bCs w:val="1"/>
          <w:color w:val="auto"/>
        </w:rPr>
        <w:t>Equity Awards</w:t>
      </w:r>
      <w:r>
        <w:rPr>
          <w:rFonts w:ascii="Arial" w:cs="Arial" w:eastAsia="Arial" w:hAnsi="Arial"/>
          <w:sz w:val="21"/>
          <w:szCs w:val="21"/>
          <w:color w:val="auto"/>
        </w:rPr>
        <w:t>”) will not cease as of the Separation Date and will continue for the duration of the Consulting Period. Your Equity Awards shall continue to be governed by the Plan and all applicable grant notices and agreements. As set forth therein, you will have a set number of days following the end of the Consulting Period to exercise shares.</w:t>
      </w:r>
    </w:p>
    <w:p>
      <w:pPr>
        <w:spacing w:after="0" w:line="170" w:lineRule="exact"/>
        <w:rPr>
          <w:rFonts w:ascii="Arial" w:cs="Arial" w:eastAsia="Arial" w:hAnsi="Arial"/>
          <w:sz w:val="21"/>
          <w:szCs w:val="21"/>
          <w:b w:val="1"/>
          <w:bCs w:val="1"/>
          <w:color w:val="auto"/>
        </w:rPr>
      </w:pPr>
    </w:p>
    <w:p>
      <w:pPr>
        <w:jc w:val="both"/>
        <w:ind w:firstLine="1595"/>
        <w:spacing w:after="0" w:line="251" w:lineRule="auto"/>
        <w:tabs>
          <w:tab w:leader="none" w:pos="2037"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Independent Contractor Relationship. </w:t>
      </w:r>
      <w:r>
        <w:rPr>
          <w:rFonts w:ascii="Arial" w:cs="Arial" w:eastAsia="Arial" w:hAnsi="Arial"/>
          <w:sz w:val="21"/>
          <w:szCs w:val="21"/>
          <w:color w:val="auto"/>
        </w:rPr>
        <w:t>During the Consulting Period, your relationship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will be that of an independent contractor, and nothing in this Agreement is intended to, or should be construed to, create a partnership, agency, joint venture or employment relationship after the Separation Date. Except as expressly provided in this Agreement, you will not be entitled to, and will not receive, any benefits which the Company may make available to its employees, including but not limited to, group health or life insurance, profit-sharing or retirement benefits.</w:t>
      </w:r>
    </w:p>
    <w:p>
      <w:pPr>
        <w:spacing w:after="0" w:line="168" w:lineRule="exact"/>
        <w:rPr>
          <w:rFonts w:ascii="Arial" w:cs="Arial" w:eastAsia="Arial" w:hAnsi="Arial"/>
          <w:sz w:val="21"/>
          <w:szCs w:val="21"/>
          <w:b w:val="1"/>
          <w:bCs w:val="1"/>
          <w:color w:val="auto"/>
        </w:rPr>
      </w:pPr>
    </w:p>
    <w:p>
      <w:pPr>
        <w:jc w:val="both"/>
        <w:ind w:firstLine="1595"/>
        <w:spacing w:after="0" w:line="234" w:lineRule="auto"/>
        <w:tabs>
          <w:tab w:leader="none" w:pos="203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and Withholding. </w:t>
      </w:r>
      <w:r>
        <w:rPr>
          <w:rFonts w:ascii="Arial" w:cs="Arial" w:eastAsia="Arial" w:hAnsi="Arial"/>
          <w:sz w:val="22"/>
          <w:szCs w:val="22"/>
          <w:color w:val="auto"/>
        </w:rPr>
        <w:t>As an independent contractor, the Company will not withhold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Consulting Fees any amount for taxes, social security or other payroll deductions. The Company will issue you a Form 1099 with respect to your Consulting Fees. You acknowledge that you will be entirely responsible for payment of any such taxes, and you hereby indemnify, defend and save harmless the Company, and its officers and directors in their individual capacity, from any liability for any taxes, penalties or interest that may be assessed by any taxing authority with respect to all compensation you receive under this Agreement, with the exception of the employer’s share of social security, if any. Any compensation relating to your time as an employee of the Company shall be subject to withholdings and the Company will issue you a W-2 for such income.</w:t>
      </w:r>
    </w:p>
    <w:p>
      <w:pPr>
        <w:spacing w:after="0" w:line="186" w:lineRule="exact"/>
        <w:rPr>
          <w:rFonts w:ascii="Arial" w:cs="Arial" w:eastAsia="Arial" w:hAnsi="Arial"/>
          <w:sz w:val="22"/>
          <w:szCs w:val="22"/>
          <w:b w:val="1"/>
          <w:bCs w:val="1"/>
          <w:color w:val="auto"/>
        </w:rPr>
      </w:pPr>
    </w:p>
    <w:p>
      <w:pPr>
        <w:jc w:val="both"/>
        <w:ind w:firstLine="1595"/>
        <w:spacing w:after="0" w:line="237" w:lineRule="auto"/>
        <w:tabs>
          <w:tab w:leader="none" w:pos="203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Authority. </w:t>
      </w:r>
      <w:r>
        <w:rPr>
          <w:rFonts w:ascii="Arial" w:cs="Arial" w:eastAsia="Arial" w:hAnsi="Arial"/>
          <w:sz w:val="22"/>
          <w:szCs w:val="22"/>
          <w:color w:val="auto"/>
        </w:rPr>
        <w:t>During the Consulting Period, you will have no responsibilities or authority as</w:t>
      </w:r>
      <w:r>
        <w:rPr>
          <w:rFonts w:ascii="Arial" w:cs="Arial" w:eastAsia="Arial" w:hAnsi="Arial"/>
          <w:sz w:val="22"/>
          <w:szCs w:val="22"/>
          <w:b w:val="1"/>
          <w:bCs w:val="1"/>
          <w:color w:val="auto"/>
        </w:rPr>
        <w:t xml:space="preserve"> </w:t>
      </w:r>
      <w:r>
        <w:rPr>
          <w:rFonts w:ascii="Arial" w:cs="Arial" w:eastAsia="Arial" w:hAnsi="Arial"/>
          <w:sz w:val="22"/>
          <w:szCs w:val="22"/>
          <w:color w:val="auto"/>
        </w:rPr>
        <w:t>a consultant to the Company other than as provided above. You will have no authority to bind the Company to any contractual obligations, whether written, oral or implied, except with the prior written authorization of an officer of the Company. You agree not to represent or purport to represent the Company in any manner whatsoever to any third party unless authorized in advance by the Company, in writing, to do so.</w:t>
      </w:r>
    </w:p>
    <w:p>
      <w:pPr>
        <w:spacing w:after="0" w:line="181" w:lineRule="exact"/>
        <w:rPr>
          <w:rFonts w:ascii="Arial" w:cs="Arial" w:eastAsia="Arial" w:hAnsi="Arial"/>
          <w:sz w:val="22"/>
          <w:szCs w:val="22"/>
          <w:b w:val="1"/>
          <w:bCs w:val="1"/>
          <w:color w:val="auto"/>
        </w:rPr>
      </w:pPr>
    </w:p>
    <w:p>
      <w:pPr>
        <w:jc w:val="both"/>
        <w:ind w:firstLine="1595"/>
        <w:spacing w:after="0" w:line="239" w:lineRule="auto"/>
        <w:tabs>
          <w:tab w:leader="none" w:pos="203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 Information and Inventions. </w:t>
      </w:r>
      <w:r>
        <w:rPr>
          <w:rFonts w:ascii="Arial" w:cs="Arial" w:eastAsia="Arial" w:hAnsi="Arial"/>
          <w:sz w:val="22"/>
          <w:szCs w:val="22"/>
          <w:color w:val="auto"/>
        </w:rPr>
        <w:t>You agree that, during the Consulting Period and thereafter,</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not use or disclose, in any manner that is not authorized by the Company or essential to your performance of specifically requested Consulting Services, any confidential or proprietary information or materials of the Company that you obtain or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4" w:name="page85"/>
    <w:bookmarkEnd w:id="84"/>
    <w:p>
      <w:pPr>
        <w:jc w:val="both"/>
        <w:spacing w:after="0" w:line="246" w:lineRule="auto"/>
        <w:rPr>
          <w:sz w:val="20"/>
          <w:szCs w:val="20"/>
          <w:color w:val="auto"/>
        </w:rPr>
      </w:pPr>
      <w:r>
        <w:rPr>
          <w:rFonts w:ascii="Arial" w:cs="Arial" w:eastAsia="Arial" w:hAnsi="Arial"/>
          <w:sz w:val="21"/>
          <w:szCs w:val="21"/>
          <w:color w:val="auto"/>
        </w:rPr>
        <w:t xml:space="preserve">in the course of performing the Consulting Services. Any and all work product you create in the course of performing the Consulting Services will be the sole and exclusive property of the Company. As set forth in your At-will Employment, Confidential Information, Invention Assignment, and Arbitration Agreement dated October 24, 2017 (the “PIIA”) with the Company, and subject to the limitations set forth therein, you hereby assign to the Company all right, title, and interest in all inventions, techniques, processes, materials, and other intellectual property developed in the course of performing the Consulting Services. You further acknowledge and reaffirm your continuing obligations, both during the Consulting Period and thereafter (as applicable), under the PIIA entered into between you and the Company, a copy of which is attached hereto as </w:t>
      </w:r>
      <w:r>
        <w:rPr>
          <w:rFonts w:ascii="Arial" w:cs="Arial" w:eastAsia="Arial" w:hAnsi="Arial"/>
          <w:sz w:val="21"/>
          <w:szCs w:val="21"/>
          <w:b w:val="1"/>
          <w:bCs w:val="1"/>
          <w:color w:val="auto"/>
        </w:rPr>
        <w:t>Exhibit B</w:t>
      </w:r>
      <w:r>
        <w:rPr>
          <w:rFonts w:ascii="Arial" w:cs="Arial" w:eastAsia="Arial" w:hAnsi="Arial"/>
          <w:sz w:val="21"/>
          <w:szCs w:val="21"/>
          <w:color w:val="auto"/>
        </w:rPr>
        <w:t xml:space="preserve"> and incorporated herein by reference.</w:t>
      </w:r>
    </w:p>
    <w:p>
      <w:pPr>
        <w:spacing w:after="0" w:line="174" w:lineRule="exact"/>
        <w:rPr>
          <w:sz w:val="20"/>
          <w:szCs w:val="20"/>
          <w:color w:val="auto"/>
        </w:rPr>
      </w:pPr>
    </w:p>
    <w:p>
      <w:pPr>
        <w:jc w:val="both"/>
        <w:ind w:firstLine="1595"/>
        <w:spacing w:after="0" w:line="234" w:lineRule="auto"/>
        <w:tabs>
          <w:tab w:leader="none" w:pos="2037"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Work Activities. </w:t>
      </w:r>
      <w:r>
        <w:rPr>
          <w:rFonts w:ascii="Arial" w:cs="Arial" w:eastAsia="Arial" w:hAnsi="Arial"/>
          <w:sz w:val="22"/>
          <w:szCs w:val="22"/>
          <w:color w:val="auto"/>
        </w:rPr>
        <w:t>Throughout the Consulting Period, you shall have the right to engage in</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consulting, or other work relationships in addition to your work for the Company. The Company will make arrangements to enable you to perform your work for the Company at such times and in such a manner so that it will not unreasonably interfere with other activities in which you may engage. In order to protect the trade secrets and confidential and proprietary information of the Company, you agree that, during the Consulting Period, you will notify the Company in writing, and obtain the Company’s written consent, before you obtain employment with, or perform competitive work for, any business entity that is competitive with the Company, or engage in any other work activity, or preparation for work activity, competitive with the Company.</w:t>
      </w:r>
    </w:p>
    <w:p>
      <w:pPr>
        <w:spacing w:after="0" w:line="186" w:lineRule="exact"/>
        <w:rPr>
          <w:rFonts w:ascii="Arial" w:cs="Arial" w:eastAsia="Arial" w:hAnsi="Arial"/>
          <w:sz w:val="22"/>
          <w:szCs w:val="22"/>
          <w:b w:val="1"/>
          <w:bCs w:val="1"/>
          <w:color w:val="auto"/>
        </w:rPr>
      </w:pPr>
    </w:p>
    <w:p>
      <w:pPr>
        <w:ind w:left="2040" w:hanging="445"/>
        <w:spacing w:after="0"/>
        <w:tabs>
          <w:tab w:leader="none" w:pos="204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Consulting Period. </w:t>
      </w:r>
      <w:r>
        <w:rPr>
          <w:rFonts w:ascii="Arial" w:cs="Arial" w:eastAsia="Arial" w:hAnsi="Arial"/>
          <w:sz w:val="19"/>
          <w:szCs w:val="19"/>
          <w:color w:val="auto"/>
        </w:rPr>
        <w:t>The Consulting Period shall end on the</w:t>
      </w:r>
      <w:r>
        <w:rPr>
          <w:rFonts w:ascii="Arial" w:cs="Arial" w:eastAsia="Arial" w:hAnsi="Arial"/>
          <w:sz w:val="19"/>
          <w:szCs w:val="19"/>
          <w:b w:val="1"/>
          <w:bCs w:val="1"/>
          <w:color w:val="auto"/>
        </w:rPr>
        <w:t xml:space="preserve"> earliest </w:t>
      </w:r>
      <w:r>
        <w:rPr>
          <w:rFonts w:ascii="Arial" w:cs="Arial" w:eastAsia="Arial" w:hAnsi="Arial"/>
          <w:sz w:val="19"/>
          <w:szCs w:val="19"/>
          <w:color w:val="auto"/>
        </w:rPr>
        <w:t>to occur of the</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following:</w:t>
      </w:r>
    </w:p>
    <w:p>
      <w:pPr>
        <w:spacing w:after="0" w:line="182" w:lineRule="exact"/>
        <w:rPr>
          <w:sz w:val="20"/>
          <w:szCs w:val="20"/>
          <w:color w:val="auto"/>
        </w:rPr>
      </w:pPr>
    </w:p>
    <w:p>
      <w:pPr>
        <w:ind w:left="244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9"/>
          <w:szCs w:val="19"/>
          <w:color w:val="auto"/>
        </w:rPr>
        <w:t>December 31, 2023, unless the Consulting Period is extended by mutual written agreement by both</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you and the Company; or</w:t>
      </w:r>
    </w:p>
    <w:p>
      <w:pPr>
        <w:spacing w:after="0" w:line="182" w:lineRule="exact"/>
        <w:rPr>
          <w:sz w:val="20"/>
          <w:szCs w:val="20"/>
          <w:color w:val="auto"/>
        </w:rPr>
      </w:pPr>
    </w:p>
    <w:p>
      <w:pPr>
        <w:ind w:left="2440"/>
        <w:spacing w:after="0"/>
        <w:rPr>
          <w:sz w:val="20"/>
          <w:szCs w:val="20"/>
          <w:color w:val="auto"/>
        </w:rPr>
      </w:pPr>
      <w:r>
        <w:rPr>
          <w:rFonts w:ascii="Arial" w:cs="Arial" w:eastAsia="Arial" w:hAnsi="Arial"/>
          <w:sz w:val="19"/>
          <w:szCs w:val="19"/>
          <w:b w:val="1"/>
          <w:bCs w:val="1"/>
          <w:color w:val="auto"/>
        </w:rPr>
        <w:t>ii.</w:t>
      </w:r>
      <w:r>
        <w:rPr>
          <w:rFonts w:ascii="Arial" w:cs="Arial" w:eastAsia="Arial" w:hAnsi="Arial"/>
          <w:sz w:val="19"/>
          <w:szCs w:val="19"/>
          <w:color w:val="auto"/>
        </w:rPr>
        <w:t>Thirty (30) days after you provide written notice that you are terminating the Consulting Period for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any reason; or</w:t>
      </w:r>
    </w:p>
    <w:p>
      <w:pPr>
        <w:spacing w:after="0" w:line="182" w:lineRule="exact"/>
        <w:rPr>
          <w:sz w:val="20"/>
          <w:szCs w:val="20"/>
          <w:color w:val="auto"/>
        </w:rPr>
      </w:pPr>
    </w:p>
    <w:p>
      <w:pPr>
        <w:jc w:val="both"/>
        <w:ind w:firstLine="2441"/>
        <w:spacing w:after="0" w:line="256" w:lineRule="auto"/>
        <w:rPr>
          <w:sz w:val="20"/>
          <w:szCs w:val="20"/>
          <w:color w:val="auto"/>
        </w:rPr>
      </w:pPr>
      <w:r>
        <w:rPr>
          <w:rFonts w:ascii="Arial" w:cs="Arial" w:eastAsia="Arial" w:hAnsi="Arial"/>
          <w:sz w:val="22"/>
          <w:szCs w:val="22"/>
          <w:b w:val="1"/>
          <w:bCs w:val="1"/>
          <w:color w:val="auto"/>
        </w:rPr>
        <w:t>iii.</w:t>
      </w:r>
      <w:r>
        <w:rPr>
          <w:rFonts w:ascii="Arial" w:cs="Arial" w:eastAsia="Arial" w:hAnsi="Arial"/>
          <w:sz w:val="22"/>
          <w:szCs w:val="22"/>
          <w:color w:val="auto"/>
        </w:rPr>
        <w:t>Immediately upon the Company’s written notice to you that you have breached any of your</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hereunder or have breached any of your obligations under the PIIA.</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the Consulting Period ends pursuant to Section 4(i)(ii) or (iii), you will be entitled to all Consulting Fees (or pro rata portion thereof) and equity vesting earned through the last date that you provide Consulting Services, but you shall not receive any Consulting Fees or compensation through December 15, 2023.</w:t>
      </w:r>
    </w:p>
    <w:p>
      <w:pPr>
        <w:spacing w:after="0" w:line="180" w:lineRule="exact"/>
        <w:rPr>
          <w:sz w:val="20"/>
          <w:szCs w:val="20"/>
          <w:color w:val="auto"/>
        </w:rPr>
      </w:pPr>
    </w:p>
    <w:p>
      <w:pPr>
        <w:jc w:val="both"/>
        <w:ind w:firstLine="757"/>
        <w:spacing w:after="0" w:line="289" w:lineRule="auto"/>
        <w:tabs>
          <w:tab w:leader="none" w:pos="1018"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Compensation or Benefits. </w:t>
      </w:r>
      <w:r>
        <w:rPr>
          <w:rFonts w:ascii="Arial" w:cs="Arial" w:eastAsia="Arial" w:hAnsi="Arial"/>
          <w:sz w:val="19"/>
          <w:szCs w:val="19"/>
          <w:color w:val="auto"/>
        </w:rPr>
        <w:t>You acknowledge that, except as expressly provided in this Agreement, you have</w:t>
      </w:r>
      <w:r>
        <w:rPr>
          <w:rFonts w:ascii="Arial" w:cs="Arial" w:eastAsia="Arial" w:hAnsi="Arial"/>
          <w:sz w:val="19"/>
          <w:szCs w:val="19"/>
          <w:b w:val="1"/>
          <w:bCs w:val="1"/>
          <w:color w:val="auto"/>
        </w:rPr>
        <w:t xml:space="preserve"> </w:t>
      </w:r>
      <w:r>
        <w:rPr>
          <w:rFonts w:ascii="Arial" w:cs="Arial" w:eastAsia="Arial" w:hAnsi="Arial"/>
          <w:sz w:val="19"/>
          <w:szCs w:val="19"/>
          <w:color w:val="auto"/>
        </w:rPr>
        <w:t>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or any vested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5" w:name="page86"/>
    <w:bookmarkEnd w:id="85"/>
    <w:p>
      <w:pPr>
        <w:jc w:val="both"/>
        <w:ind w:firstLine="757"/>
        <w:spacing w:after="0" w:line="239" w:lineRule="auto"/>
        <w:tabs>
          <w:tab w:leader="none" w:pos="101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Expense Reimbursements. </w:t>
      </w:r>
      <w:r>
        <w:rPr>
          <w:rFonts w:ascii="Arial" w:cs="Arial" w:eastAsia="Arial" w:hAnsi="Arial"/>
          <w:sz w:val="22"/>
          <w:szCs w:val="22"/>
          <w:color w:val="auto"/>
        </w:rPr>
        <w:t>You agree that, within thirty (30) days after the Separation Date, you will submit your</w:t>
      </w:r>
      <w:r>
        <w:rPr>
          <w:rFonts w:ascii="Arial" w:cs="Arial" w:eastAsia="Arial" w:hAnsi="Arial"/>
          <w:sz w:val="22"/>
          <w:szCs w:val="22"/>
          <w:b w:val="1"/>
          <w:bCs w:val="1"/>
          <w:color w:val="auto"/>
        </w:rPr>
        <w:t xml:space="preserve"> </w:t>
      </w:r>
      <w:r>
        <w:rPr>
          <w:rFonts w:ascii="Arial" w:cs="Arial" w:eastAsia="Arial" w:hAnsi="Arial"/>
          <w:sz w:val="22"/>
          <w:szCs w:val="22"/>
          <w:color w:val="auto"/>
        </w:rPr>
        <w:t>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80" w:lineRule="exact"/>
        <w:rPr>
          <w:rFonts w:ascii="Arial" w:cs="Arial" w:eastAsia="Arial" w:hAnsi="Arial"/>
          <w:sz w:val="22"/>
          <w:szCs w:val="22"/>
          <w:b w:val="1"/>
          <w:bCs w:val="1"/>
          <w:color w:val="auto"/>
        </w:rPr>
      </w:pPr>
    </w:p>
    <w:p>
      <w:pPr>
        <w:jc w:val="both"/>
        <w:ind w:firstLine="757"/>
        <w:spacing w:after="0" w:line="270" w:lineRule="auto"/>
        <w:tabs>
          <w:tab w:leader="none" w:pos="1018"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Return of Company Property</w:t>
      </w:r>
      <w:r>
        <w:rPr>
          <w:rFonts w:ascii="Arial" w:cs="Arial" w:eastAsia="Arial" w:hAnsi="Arial"/>
          <w:sz w:val="19"/>
          <w:szCs w:val="19"/>
          <w:color w:val="auto"/>
        </w:rPr>
        <w:t>. You agree that, within 45 days of the expiration or earlier termination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you will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and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within ten (10) days after the expiration or earlier termination of this Agreement,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Arial" w:cs="Arial" w:eastAsia="Arial" w:hAnsi="Arial"/>
          <w:sz w:val="19"/>
          <w:szCs w:val="19"/>
          <w:b w:val="1"/>
          <w:bCs w:val="1"/>
          <w:color w:val="auto"/>
        </w:rPr>
        <w:t>Your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timely compliance with this paragraph is a condition to your receipt of the severance benefits provided under this Agreement. </w:t>
      </w:r>
      <w:r>
        <w:rPr>
          <w:rFonts w:ascii="Arial" w:cs="Arial" w:eastAsia="Arial" w:hAnsi="Arial"/>
          <w:sz w:val="19"/>
          <w:szCs w:val="19"/>
          <w:color w:val="auto"/>
        </w:rPr>
        <w:t>Notwithstanding the foregoing, you may retain any Company property, documents, or information necessary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your Consulting Services hereunder and must return any such retained property upon termination of the Consulting Period.</w:t>
      </w:r>
    </w:p>
    <w:p>
      <w:pPr>
        <w:spacing w:after="0" w:line="200" w:lineRule="exact"/>
        <w:rPr>
          <w:rFonts w:ascii="Arial" w:cs="Arial" w:eastAsia="Arial" w:hAnsi="Arial"/>
          <w:sz w:val="19"/>
          <w:szCs w:val="19"/>
          <w:b w:val="1"/>
          <w:bCs w:val="1"/>
          <w:color w:val="auto"/>
        </w:rPr>
      </w:pPr>
    </w:p>
    <w:p>
      <w:pPr>
        <w:spacing w:after="0" w:line="208" w:lineRule="exact"/>
        <w:rPr>
          <w:rFonts w:ascii="Arial" w:cs="Arial" w:eastAsia="Arial" w:hAnsi="Arial"/>
          <w:sz w:val="19"/>
          <w:szCs w:val="19"/>
          <w:b w:val="1"/>
          <w:bCs w:val="1"/>
          <w:color w:val="auto"/>
        </w:rPr>
      </w:pPr>
    </w:p>
    <w:p>
      <w:pPr>
        <w:jc w:val="both"/>
        <w:ind w:firstLine="757"/>
        <w:spacing w:after="0" w:line="247" w:lineRule="auto"/>
        <w:tabs>
          <w:tab w:leader="none" w:pos="1018"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Non-disparagement. </w:t>
      </w:r>
      <w:r>
        <w:rPr>
          <w:rFonts w:ascii="Arial" w:cs="Arial" w:eastAsia="Arial" w:hAnsi="Arial"/>
          <w:sz w:val="21"/>
          <w:szCs w:val="21"/>
          <w:color w:val="auto"/>
        </w:rPr>
        <w:t>You agree not to disparage the Company, its officers, directors, employees, shareholders,</w:t>
      </w:r>
      <w:r>
        <w:rPr>
          <w:rFonts w:ascii="Arial" w:cs="Arial" w:eastAsia="Arial" w:hAnsi="Arial"/>
          <w:sz w:val="21"/>
          <w:szCs w:val="21"/>
          <w:b w:val="1"/>
          <w:bCs w:val="1"/>
          <w:color w:val="auto"/>
        </w:rPr>
        <w:t xml:space="preserve"> </w:t>
      </w:r>
      <w:r>
        <w:rPr>
          <w:rFonts w:ascii="Arial" w:cs="Arial" w:eastAsia="Arial" w:hAnsi="Arial"/>
          <w:sz w:val="21"/>
          <w:szCs w:val="21"/>
          <w:color w:val="auto"/>
        </w:rPr>
        <w:t>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is intended to prohibit or restrain you in any manner from making disclosures protected under the whistleblower provisions of federal or state law or regulation or other applicable law or regulation, nor prevent you from disclosing information about unlawful acts in the workplace, including, but not limited to, sexual harassment.</w:t>
      </w:r>
    </w:p>
    <w:p>
      <w:pPr>
        <w:spacing w:after="0" w:line="177" w:lineRule="exact"/>
        <w:rPr>
          <w:rFonts w:ascii="Arial" w:cs="Arial" w:eastAsia="Arial" w:hAnsi="Arial"/>
          <w:sz w:val="21"/>
          <w:szCs w:val="21"/>
          <w:b w:val="1"/>
          <w:bCs w:val="1"/>
          <w:color w:val="auto"/>
        </w:rPr>
      </w:pPr>
    </w:p>
    <w:p>
      <w:pPr>
        <w:ind w:left="1020" w:hanging="263"/>
        <w:spacing w:after="0"/>
        <w:tabs>
          <w:tab w:leader="none" w:pos="10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10.No Voluntary Adverse Action. </w:t>
      </w:r>
      <w:r>
        <w:rPr>
          <w:rFonts w:ascii="Arial" w:cs="Arial" w:eastAsia="Arial" w:hAnsi="Arial"/>
          <w:sz w:val="22"/>
          <w:szCs w:val="22"/>
          <w:color w:val="auto"/>
        </w:rPr>
        <w:t>You agree that you will not voluntarily (except in response to legal compulsion or as</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under the Protected Activities section below) assist any person in bringing or pursuing any proposed or pending litigation, arbitration,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511175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6" w:name="page87"/>
    <w:bookmarkEnd w:id="86"/>
    <w:p>
      <w:pPr>
        <w:spacing w:after="0" w:line="250" w:lineRule="auto"/>
        <w:rPr>
          <w:sz w:val="20"/>
          <w:szCs w:val="20"/>
          <w:color w:val="auto"/>
        </w:rPr>
      </w:pPr>
      <w:r>
        <w:rPr>
          <w:rFonts w:ascii="Arial" w:cs="Arial" w:eastAsia="Arial" w:hAnsi="Arial"/>
          <w:sz w:val="22"/>
          <w:szCs w:val="22"/>
          <w:color w:val="auto"/>
        </w:rPr>
        <w:t>claim or other formal proceeding against the Company, its parent or subsidiary entities, affiliates, officers, directors, employees or agents.</w:t>
      </w:r>
    </w:p>
    <w:p>
      <w:pPr>
        <w:spacing w:after="0" w:line="169" w:lineRule="exact"/>
        <w:rPr>
          <w:sz w:val="20"/>
          <w:szCs w:val="20"/>
          <w:color w:val="auto"/>
        </w:rPr>
      </w:pPr>
    </w:p>
    <w:p>
      <w:pPr>
        <w:jc w:val="both"/>
        <w:ind w:firstLine="757"/>
        <w:spacing w:after="0" w:line="297" w:lineRule="auto"/>
        <w:tabs>
          <w:tab w:leader="none" w:pos="101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You agree to cooperate fully with the Company in connection with its actual or contemplated defense,</w:t>
      </w:r>
      <w:r>
        <w:rPr>
          <w:rFonts w:ascii="Arial" w:cs="Arial" w:eastAsia="Arial" w:hAnsi="Arial"/>
          <w:sz w:val="18"/>
          <w:szCs w:val="18"/>
          <w:b w:val="1"/>
          <w:bCs w:val="1"/>
          <w:color w:val="auto"/>
        </w:rPr>
        <w:t xml:space="preserve"> </w:t>
      </w:r>
      <w:r>
        <w:rPr>
          <w:rFonts w:ascii="Arial" w:cs="Arial" w:eastAsia="Arial" w:hAnsi="Arial"/>
          <w:sz w:val="18"/>
          <w:szCs w:val="18"/>
          <w:color w:val="auto"/>
        </w:rPr>
        <w:t>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3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12.No Admissions. </w:t>
      </w:r>
      <w:r>
        <w:rPr>
          <w:rFonts w:ascii="Arial" w:cs="Arial" w:eastAsia="Arial" w:hAnsi="Arial"/>
          <w:sz w:val="22"/>
          <w:szCs w:val="22"/>
          <w:color w:val="auto"/>
        </w:rPr>
        <w:t>You understand and agree that the promises and payments in consideration of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construed to be an admission of any liability or obligation by the Company to you or to any other person, and that the Company makes no such admission.</w:t>
      </w:r>
    </w:p>
    <w:p>
      <w:pPr>
        <w:spacing w:after="0" w:line="17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b w:val="1"/>
          <w:bCs w:val="1"/>
          <w:color w:val="auto"/>
        </w:rPr>
        <w:t>13.Release of Claims</w:t>
      </w:r>
      <w:r>
        <w:rPr>
          <w:rFonts w:ascii="Arial" w:cs="Arial" w:eastAsia="Arial" w:hAnsi="Arial"/>
          <w:sz w:val="19"/>
          <w:szCs w:val="19"/>
          <w:color w:val="auto"/>
        </w:rPr>
        <w:t>. In exchange for the consideration provided to you under this Agreement to which you would not</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 This general release includes, but is not limited to: (a) all claims arising from or in any way related to your employment with the Company or the termination of that employment; (b) all claims related to your compensation or benefits from the Company, including salary, bonuses, commissions, vacation pay, expense reimbursements, severance pay, fringe benefits, stock, stock options, or any other ownership, equity, or profits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w:t>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and the California Fair Employment and Housing Act (as amended). Notwithstanding the foregoing, you are not releasing the Company hereby from: (i) any obligation to indemnify you pursuant to the Articles and Bylaws of the Company, any valid fully executed indemnification agreement with the Company, applicable law, or applicable directors and officers liability insurance; (ii) any claims that cannot be waived by law; or (iii) any claims for breach of this Agreement.</w:t>
      </w:r>
    </w:p>
    <w:p>
      <w:pPr>
        <w:spacing w:after="0" w:line="165"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14.ADEA Release. </w:t>
      </w:r>
      <w:r>
        <w:rPr>
          <w:rFonts w:ascii="Arial" w:cs="Arial" w:eastAsia="Arial" w:hAnsi="Arial"/>
          <w:sz w:val="19"/>
          <w:szCs w:val="19"/>
          <w:color w:val="auto"/>
        </w:rPr>
        <w:t>You acknowledge that you are knowingly and voluntarily waiving and releasing any rights you have</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ADEA, and that the consideration given for the waiver and releases you have given in this Agreement is in addition to anything of value to which you were already entitled. You further acknowledge that you have been advised, as required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7" w:name="page88"/>
    <w:bookmarkEnd w:id="87"/>
    <w:p>
      <w:pPr>
        <w:jc w:val="both"/>
        <w:spacing w:after="0" w:line="279" w:lineRule="auto"/>
        <w:rPr>
          <w:sz w:val="20"/>
          <w:szCs w:val="20"/>
          <w:color w:val="auto"/>
        </w:rPr>
      </w:pPr>
      <w:r>
        <w:rPr>
          <w:rFonts w:ascii="Arial" w:cs="Arial" w:eastAsia="Arial" w:hAnsi="Arial"/>
          <w:sz w:val="19"/>
          <w:szCs w:val="19"/>
          <w:color w:val="auto"/>
        </w:rPr>
        <w:t>ADEA, that: (a) your waiver and release does not apply to any rights or claims arising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 (7) days following the date you sign this Agreement to revoke this Agreement (in a written revocation sent to the Company); and (e) this Agreement will not be effective until the date upon which the revocation period has expired, which will be the eighth day after you sign this Agreement provided that you do not revoke it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44"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b w:val="1"/>
          <w:bCs w:val="1"/>
          <w:color w:val="auto"/>
        </w:rPr>
        <w:t xml:space="preserve">15.Section 1542 Waiver. </w:t>
      </w:r>
      <w:r>
        <w:rPr>
          <w:rFonts w:ascii="Arial" w:cs="Arial" w:eastAsia="Arial" w:hAnsi="Arial"/>
          <w:sz w:val="19"/>
          <w:szCs w:val="19"/>
          <w:color w:val="auto"/>
        </w:rPr>
        <w:t>In giving the release herein, which includes claims which may be unknown to you at present,</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that you have read and understand Section 1542 of the California Civil Code, which reads as follows:</w:t>
      </w:r>
    </w:p>
    <w:p>
      <w:pPr>
        <w:spacing w:after="0" w:line="94" w:lineRule="exact"/>
        <w:rPr>
          <w:sz w:val="20"/>
          <w:szCs w:val="20"/>
          <w:color w:val="auto"/>
        </w:rPr>
      </w:pPr>
    </w:p>
    <w:p>
      <w:pPr>
        <w:jc w:val="both"/>
        <w:ind w:left="760" w:right="760"/>
        <w:spacing w:after="0" w:line="300" w:lineRule="auto"/>
        <w:rPr>
          <w:sz w:val="20"/>
          <w:szCs w:val="20"/>
          <w:color w:val="auto"/>
        </w:rPr>
      </w:pPr>
      <w:r>
        <w:rPr>
          <w:rFonts w:ascii="Arial" w:cs="Arial" w:eastAsia="Arial" w:hAnsi="Arial"/>
          <w:sz w:val="19"/>
          <w:szCs w:val="19"/>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3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14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color w:val="auto"/>
        </w:rPr>
        <w:t xml:space="preserve">16.Protected Rights. </w:t>
      </w:r>
      <w:r>
        <w:rPr>
          <w:rFonts w:ascii="Arial" w:cs="Arial" w:eastAsia="Arial" w:hAnsi="Arial"/>
          <w:sz w:val="19"/>
          <w:szCs w:val="19"/>
          <w:color w:val="auto"/>
        </w:rPr>
        <w:t>You understand that nothing in this Agreement limits your ability to file a charge or complaint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Arial" w:cs="Arial" w:eastAsia="Arial" w:hAnsi="Arial"/>
          <w:sz w:val="19"/>
          <w:szCs w:val="19"/>
          <w:b w:val="1"/>
          <w:bCs w:val="1"/>
          <w:color w:val="auto"/>
        </w:rPr>
        <w:t>Government Agencies</w:t>
      </w:r>
      <w:r>
        <w:rPr>
          <w:rFonts w:ascii="Arial" w:cs="Arial" w:eastAsia="Arial" w:hAnsi="Arial"/>
          <w:sz w:val="19"/>
          <w:szCs w:val="19"/>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152" w:lineRule="exact"/>
        <w:rPr>
          <w:sz w:val="20"/>
          <w:szCs w:val="20"/>
          <w:color w:val="auto"/>
        </w:rPr>
      </w:pPr>
    </w:p>
    <w:p>
      <w:pPr>
        <w:jc w:val="both"/>
        <w:ind w:right="20" w:firstLine="749"/>
        <w:spacing w:after="0" w:line="239" w:lineRule="auto"/>
        <w:rPr>
          <w:sz w:val="20"/>
          <w:szCs w:val="20"/>
          <w:color w:val="auto"/>
        </w:rPr>
      </w:pPr>
      <w:r>
        <w:rPr>
          <w:rFonts w:ascii="Arial" w:cs="Arial" w:eastAsia="Arial" w:hAnsi="Arial"/>
          <w:sz w:val="22"/>
          <w:szCs w:val="22"/>
          <w:b w:val="1"/>
          <w:bCs w:val="1"/>
          <w:color w:val="auto"/>
        </w:rPr>
        <w:t xml:space="preserve">17.Representations. </w:t>
      </w:r>
      <w:r>
        <w:rPr>
          <w:rFonts w:ascii="Arial" w:cs="Arial" w:eastAsia="Arial" w:hAnsi="Arial"/>
          <w:sz w:val="22"/>
          <w:szCs w:val="22"/>
          <w:color w:val="auto"/>
        </w:rPr>
        <w:t>You hereby represent that you have: been paid all compensation owed and for all hours worked;</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all leave and leave benefits and protections for which you are eligible pursuant to the Family and Medical Leave Act, the California Family Rights Act, or otherwise; and not suffered any on-the-job injury for which you have not already filed a workers’ compensation claim.</w:t>
      </w:r>
    </w:p>
    <w:p>
      <w:pPr>
        <w:spacing w:after="0" w:line="18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 xml:space="preserve">18.Dispute Resolution. </w:t>
      </w:r>
      <w:r>
        <w:rPr>
          <w:rFonts w:ascii="Arial" w:cs="Arial" w:eastAsia="Arial" w:hAnsi="Arial"/>
          <w:sz w:val="21"/>
          <w:szCs w:val="21"/>
          <w:color w:val="auto"/>
        </w:rPr>
        <w:t>You and the Company agree that any and all disputes, claims, or controversies of any nature</w:t>
      </w:r>
      <w:r>
        <w:rPr>
          <w:rFonts w:ascii="Arial" w:cs="Arial" w:eastAsia="Arial" w:hAnsi="Arial"/>
          <w:sz w:val="21"/>
          <w:szCs w:val="21"/>
          <w:b w:val="1"/>
          <w:bCs w:val="1"/>
          <w:color w:val="auto"/>
        </w:rPr>
        <w:t xml:space="preserve"> </w:t>
      </w:r>
      <w:r>
        <w:rPr>
          <w:rFonts w:ascii="Arial" w:cs="Arial" w:eastAsia="Arial" w:hAnsi="Arial"/>
          <w:sz w:val="21"/>
          <w:szCs w:val="21"/>
          <w:color w:val="auto"/>
        </w:rPr>
        <w:t>whatsoever arising from, or relating to, this Agreement or its interpretation, enforcement, breach, performance or execution, your employment or the termination of such employment, your consulting relationship or the termination of such consulting relationship (including, but not limited to, any statutory claims) (collectively, “</w:t>
      </w:r>
      <w:r>
        <w:rPr>
          <w:rFonts w:ascii="Arial" w:cs="Arial" w:eastAsia="Arial" w:hAnsi="Arial"/>
          <w:sz w:val="21"/>
          <w:szCs w:val="21"/>
          <w:b w:val="1"/>
          <w:bCs w:val="1"/>
          <w:i w:val="1"/>
          <w:iCs w:val="1"/>
          <w:color w:val="auto"/>
        </w:rPr>
        <w:t>Claims</w:t>
      </w:r>
      <w:r>
        <w:rPr>
          <w:rFonts w:ascii="Arial" w:cs="Arial" w:eastAsia="Arial" w:hAnsi="Arial"/>
          <w:sz w:val="21"/>
          <w:szCs w:val="21"/>
          <w:color w:val="auto"/>
        </w:rPr>
        <w:t>”, each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8" w:name="page89"/>
    <w:bookmarkEnd w:id="88"/>
    <w:p>
      <w:pPr>
        <w:jc w:val="both"/>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shall be resolved, pursuant to the Federal Arbitration Act, 9 U.S.C. §1-16, and to the fullest extent permitted by law, by final, binding and confidential arbitration in San Francisco, California (or another mutually acceptable location) conducted before a single neutral arbitrator by JAMS,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xml:space="preserve">”) or its successor, under the then applicable JAMS Arbitration Rules and Procedures for Employment Disputes (available at http://www.jamsadr.com/rules-employment-arbitration/). </w:t>
      </w:r>
      <w:r>
        <w:rPr>
          <w:rFonts w:ascii="Arial" w:cs="Arial" w:eastAsia="Arial" w:hAnsi="Arial"/>
          <w:sz w:val="19"/>
          <w:szCs w:val="19"/>
          <w:b w:val="1"/>
          <w:bCs w:val="1"/>
          <w:color w:val="auto"/>
        </w:rPr>
        <w:t>By agreeing to this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arbitration procedure, both you and the Company waive the right to have any Claim resolved through a trial by jury or judge or an administrative proceeding. </w:t>
      </w:r>
      <w:r>
        <w:rPr>
          <w:rFonts w:ascii="Arial" w:cs="Arial" w:eastAsia="Arial" w:hAnsi="Arial"/>
          <w:sz w:val="19"/>
          <w:szCs w:val="19"/>
          <w:color w:val="auto"/>
        </w:rPr>
        <w:t>You will have the right to be represented by legal counsel at any 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 at your own expense. This paragraph shall not apply to any action or claim that cannot be subject to mandatory arbitration as a matter of law, including, without limitation, claims brought pursuant to the California Private Attorneys General Act of 2004, as amended, to the extent such claims are not permitted by applicable law to be submitted to mandatory arbitration and the applicable law(s) are not preempted by the Federal Arbitration Act or otherwise invalid (collectively, the “</w:t>
      </w:r>
      <w:r>
        <w:rPr>
          <w:rFonts w:ascii="Arial" w:cs="Arial" w:eastAsia="Arial" w:hAnsi="Arial"/>
          <w:sz w:val="19"/>
          <w:szCs w:val="19"/>
          <w:b w:val="1"/>
          <w:bCs w:val="1"/>
          <w:i w:val="1"/>
          <w:iCs w:val="1"/>
          <w:color w:val="auto"/>
        </w:rPr>
        <w:t>Excluded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In the event you intend to bring multiple claims, including one of the Excluded Claims listed above, the Excluded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Claims may be publicly filed with a court, while any other claims will remain subject to mandatory arbitration.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fees. Nothing in this Agreement shall prevent you or the Company from obtaining injunctive relief in court to prevent irreparable harm pending the conclusion of any arbitration. Any awards or orders in such arbitrations may be entered and enforced as judgments in the federal and state courts of any competent jurisdiction.</w:t>
      </w:r>
    </w:p>
    <w:p>
      <w:pPr>
        <w:spacing w:after="0" w:line="15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19.Miscellaneous. </w:t>
      </w:r>
      <w:r>
        <w:rPr>
          <w:rFonts w:ascii="Arial" w:cs="Arial" w:eastAsia="Arial" w:hAnsi="Arial"/>
          <w:sz w:val="19"/>
          <w:szCs w:val="19"/>
          <w:color w:val="auto"/>
        </w:rPr>
        <w:t>This Agreement, including Exhibit A, constitutes the complete, final and exclusive embodiment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9" w:name="page90"/>
    <w:bookmarkEnd w:id="89"/>
    <w:p>
      <w:pPr>
        <w:jc w:val="both"/>
        <w:spacing w:after="0" w:line="238" w:lineRule="auto"/>
        <w:rPr>
          <w:sz w:val="20"/>
          <w:szCs w:val="20"/>
          <w:color w:val="auto"/>
        </w:rPr>
      </w:pPr>
      <w:r>
        <w:rPr>
          <w:rFonts w:ascii="Arial" w:cs="Arial" w:eastAsia="Arial" w:hAnsi="Arial"/>
          <w:sz w:val="22"/>
          <w:szCs w:val="22"/>
          <w:color w:val="auto"/>
        </w:rPr>
        <w:t>If this Agreement is acceptable to you, please sign below and return the original to me. You agree you have been offered at least twenty-one (21) calendar days to decide whether to accept this Agreement, and that you may choose to waive that period and sign earlier at your discretion. The Company’s offer contained herein will automatically expire if you do not sign and return it by October 6, 2023.</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We wish you the best in your future endeavors.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1391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ind w:left="760"/>
        <w:spacing w:after="0" w:line="238" w:lineRule="auto"/>
        <w:rPr>
          <w:sz w:val="20"/>
          <w:szCs w:val="20"/>
          <w:color w:val="auto"/>
        </w:rPr>
      </w:pPr>
      <w:r>
        <w:rPr>
          <w:rFonts w:ascii="Arial" w:cs="Arial" w:eastAsia="Arial" w:hAnsi="Arial"/>
          <w:sz w:val="22"/>
          <w:szCs w:val="22"/>
          <w:b w:val="1"/>
          <w:bCs w:val="1"/>
          <w:color w:val="auto"/>
        </w:rPr>
        <w:t>Stephen Brady</w:t>
      </w:r>
    </w:p>
    <w:p>
      <w:pPr>
        <w:ind w:left="760"/>
        <w:spacing w:after="0"/>
        <w:rPr>
          <w:sz w:val="20"/>
          <w:szCs w:val="20"/>
          <w:color w:val="auto"/>
        </w:rPr>
      </w:pPr>
      <w:r>
        <w:rPr>
          <w:rFonts w:ascii="Arial" w:cs="Arial" w:eastAsia="Arial" w:hAnsi="Arial"/>
          <w:sz w:val="22"/>
          <w:szCs w:val="22"/>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4"/>
          <w:szCs w:val="14"/>
          <w:b w:val="1"/>
          <w:bCs w:val="1"/>
          <w:color w:val="auto"/>
        </w:rPr>
        <w:t>have read</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understand and agree fully to the foregoing</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/s/ Tom Dubensky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972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Tom Dubensky, Ph.D.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9/13/2023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229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 AND COMPENSATION</w:t>
      </w:r>
    </w:p>
    <w:p>
      <w:pPr>
        <w:spacing w:after="0" w:line="206"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Services. </w:t>
      </w:r>
      <w:r>
        <w:rPr>
          <w:rFonts w:ascii="Arial" w:cs="Arial" w:eastAsia="Arial" w:hAnsi="Arial"/>
          <w:sz w:val="22"/>
          <w:szCs w:val="22"/>
          <w:color w:val="auto"/>
        </w:rPr>
        <w:t>Consultant will render to the Company the following “Services:”</w:t>
      </w:r>
    </w:p>
    <w:p>
      <w:pPr>
        <w:spacing w:after="0" w:line="212" w:lineRule="exact"/>
        <w:rPr>
          <w:rFonts w:ascii="Arial" w:cs="Arial" w:eastAsia="Arial" w:hAnsi="Arial"/>
          <w:sz w:val="22"/>
          <w:szCs w:val="22"/>
          <w:color w:val="auto"/>
        </w:rPr>
      </w:pPr>
    </w:p>
    <w:p>
      <w:pPr>
        <w:jc w:val="both"/>
        <w:ind w:left="1500" w:hanging="369"/>
        <w:spacing w:after="0"/>
        <w:tabs>
          <w:tab w:leader="none" w:pos="15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Attend the remaining Project Team (PTM) and TREX Team meetings for the month of September, and as requested by the Company from time to time, additional meetings thereafter during the Term and if reasonably possible given Consultant’s schedule;</w:t>
      </w:r>
    </w:p>
    <w:p>
      <w:pPr>
        <w:spacing w:after="0" w:line="186" w:lineRule="exact"/>
        <w:rPr>
          <w:rFonts w:ascii="Arial" w:cs="Arial" w:eastAsia="Arial" w:hAnsi="Arial"/>
          <w:sz w:val="22"/>
          <w:szCs w:val="22"/>
          <w:color w:val="auto"/>
        </w:rPr>
      </w:pPr>
    </w:p>
    <w:p>
      <w:pPr>
        <w:ind w:left="1500" w:hanging="369"/>
        <w:spacing w:after="0" w:line="250" w:lineRule="auto"/>
        <w:tabs>
          <w:tab w:leader="none" w:pos="15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As requested by the Company and if reasonably possible given Consultant’s schedule, participate in investor and/or business development meetings;</w:t>
      </w:r>
    </w:p>
    <w:p>
      <w:pPr>
        <w:spacing w:after="0" w:line="174" w:lineRule="exact"/>
        <w:rPr>
          <w:rFonts w:ascii="Arial" w:cs="Arial" w:eastAsia="Arial" w:hAnsi="Arial"/>
          <w:sz w:val="22"/>
          <w:szCs w:val="22"/>
          <w:color w:val="auto"/>
        </w:rPr>
      </w:pPr>
    </w:p>
    <w:p>
      <w:pPr>
        <w:ind w:left="1500" w:hanging="369"/>
        <w:spacing w:after="0" w:line="250" w:lineRule="auto"/>
        <w:tabs>
          <w:tab w:leader="none" w:pos="15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 xml:space="preserve">Be reasonably available for </w:t>
      </w:r>
      <w:r>
        <w:rPr>
          <w:rFonts w:ascii="Arial" w:cs="Arial" w:eastAsia="Arial" w:hAnsi="Arial"/>
          <w:sz w:val="22"/>
          <w:szCs w:val="22"/>
          <w:i w:val="1"/>
          <w:iCs w:val="1"/>
          <w:color w:val="auto"/>
        </w:rPr>
        <w:t>ad hoc</w:t>
      </w:r>
      <w:r>
        <w:rPr>
          <w:rFonts w:ascii="Arial" w:cs="Arial" w:eastAsia="Arial" w:hAnsi="Arial"/>
          <w:sz w:val="22"/>
          <w:szCs w:val="22"/>
          <w:color w:val="auto"/>
        </w:rPr>
        <w:t xml:space="preserve"> discussions on a variety of topics, such as intellectual property, strategic matters, and program plans; and</w:t>
      </w:r>
    </w:p>
    <w:p>
      <w:pPr>
        <w:spacing w:after="0" w:line="174" w:lineRule="exact"/>
        <w:rPr>
          <w:rFonts w:ascii="Arial" w:cs="Arial" w:eastAsia="Arial" w:hAnsi="Arial"/>
          <w:sz w:val="22"/>
          <w:szCs w:val="22"/>
          <w:color w:val="auto"/>
        </w:rPr>
      </w:pPr>
    </w:p>
    <w:p>
      <w:pPr>
        <w:ind w:left="1500" w:hanging="369"/>
        <w:spacing w:after="0"/>
        <w:tabs>
          <w:tab w:leader="none" w:pos="15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Miscellaneous advisory Services as reasonably requested by the Company.</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manner and means that Consultant chooses to complete the Services are in Consultant’s sole discretion and control. Consultant agrees to provide Consultant’s own equipment, tools, and other materials at Consultant’s own expense; however, the Company will make its facilities and equipment available to Consultant as appropriate.</w:t>
      </w:r>
    </w:p>
    <w:p>
      <w:pPr>
        <w:spacing w:after="0" w:line="180" w:lineRule="exact"/>
        <w:rPr>
          <w:sz w:val="20"/>
          <w:szCs w:val="20"/>
          <w:color w:val="auto"/>
        </w:rPr>
      </w:pPr>
    </w:p>
    <w:p>
      <w:pPr>
        <w:ind w:left="760" w:hanging="378"/>
        <w:spacing w:after="0"/>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Compensation.</w:t>
      </w:r>
    </w:p>
    <w:p>
      <w:pPr>
        <w:spacing w:after="0" w:line="212"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  The Company will pay Consultant a consulting fee as follows:</w:t>
      </w:r>
    </w:p>
    <w:p>
      <w:pPr>
        <w:spacing w:after="0" w:line="206" w:lineRule="exact"/>
        <w:rPr>
          <w:sz w:val="20"/>
          <w:szCs w:val="20"/>
          <w:color w:val="auto"/>
        </w:rPr>
      </w:pPr>
    </w:p>
    <w:p>
      <w:pPr>
        <w:ind w:left="2080"/>
        <w:spacing w:after="0"/>
        <w:rPr>
          <w:sz w:val="20"/>
          <w:szCs w:val="20"/>
          <w:color w:val="auto"/>
        </w:rPr>
      </w:pPr>
      <w:r>
        <w:rPr>
          <w:rFonts w:ascii="Arial" w:cs="Arial" w:eastAsia="Arial" w:hAnsi="Arial"/>
          <w:sz w:val="21"/>
          <w:szCs w:val="21"/>
          <w:color w:val="auto"/>
        </w:rPr>
        <w:t>i. A retainer of $8,000 for the period from the date of this Agreement and ending on October 15;</w:t>
      </w:r>
    </w:p>
    <w:p>
      <w:pPr>
        <w:spacing w:after="0" w:line="218" w:lineRule="exact"/>
        <w:rPr>
          <w:sz w:val="20"/>
          <w:szCs w:val="20"/>
          <w:color w:val="auto"/>
        </w:rPr>
      </w:pPr>
    </w:p>
    <w:p>
      <w:pPr>
        <w:jc w:val="both"/>
        <w:ind w:left="2260" w:hanging="179"/>
        <w:spacing w:after="0"/>
        <w:rPr>
          <w:sz w:val="20"/>
          <w:szCs w:val="20"/>
          <w:color w:val="auto"/>
        </w:rPr>
      </w:pPr>
      <w:r>
        <w:rPr>
          <w:rFonts w:ascii="Arial" w:cs="Arial" w:eastAsia="Arial" w:hAnsi="Arial"/>
          <w:sz w:val="22"/>
          <w:szCs w:val="22"/>
          <w:color w:val="auto"/>
        </w:rPr>
        <w:t>ii.For the balance of the Term, $500 per hour for Services rendered as requested by the Company; provided, that Consultant shall not incur more than five (5) hours per week with respect to providing the Services without the Company’s prior written consent; and</w:t>
      </w:r>
    </w:p>
    <w:p>
      <w:pPr>
        <w:spacing w:after="0" w:line="186" w:lineRule="exact"/>
        <w:rPr>
          <w:sz w:val="20"/>
          <w:szCs w:val="20"/>
          <w:color w:val="auto"/>
        </w:rPr>
      </w:pPr>
    </w:p>
    <w:p>
      <w:pPr>
        <w:jc w:val="both"/>
        <w:ind w:left="2300" w:right="20" w:hanging="227"/>
        <w:spacing w:after="0" w:line="250" w:lineRule="auto"/>
        <w:rPr>
          <w:sz w:val="20"/>
          <w:szCs w:val="20"/>
          <w:color w:val="auto"/>
        </w:rPr>
      </w:pPr>
      <w:r>
        <w:rPr>
          <w:rFonts w:ascii="Arial" w:cs="Arial" w:eastAsia="Arial" w:hAnsi="Arial"/>
          <w:sz w:val="22"/>
          <w:szCs w:val="22"/>
          <w:color w:val="auto"/>
        </w:rPr>
        <w:t>iii.Reimbursement of monthly COBRA coverage up to a maximum of $4,500 per month for the months of October, November and December 2023.</w:t>
      </w:r>
    </w:p>
    <w:p>
      <w:pPr>
        <w:spacing w:after="0" w:line="175" w:lineRule="exact"/>
        <w:rPr>
          <w:sz w:val="20"/>
          <w:szCs w:val="20"/>
          <w:color w:val="auto"/>
        </w:rPr>
      </w:pPr>
    </w:p>
    <w:p>
      <w:pPr>
        <w:jc w:val="both"/>
        <w:ind w:left="1500" w:hanging="369"/>
        <w:spacing w:after="0" w:line="236" w:lineRule="auto"/>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will reimburse Consultant for all reasonable travel and out-of-pocket expenses incurred by Consultant in performing the Services pursuant to this Agreement, provided that Consultant receives written consent from the Company’s Chief Executive Officer, President or other senior executive officer prior to incurring such expenses and submits receipts for such expenses to the Company in accordance with Company policy.</w:t>
      </w:r>
    </w:p>
    <w:p>
      <w:pPr>
        <w:spacing w:after="0" w:line="187" w:lineRule="exact"/>
        <w:rPr>
          <w:rFonts w:ascii="Arial" w:cs="Arial" w:eastAsia="Arial" w:hAnsi="Arial"/>
          <w:sz w:val="22"/>
          <w:szCs w:val="22"/>
          <w:color w:val="auto"/>
        </w:rPr>
      </w:pPr>
    </w:p>
    <w:p>
      <w:pPr>
        <w:ind w:left="1500" w:hanging="369"/>
        <w:spacing w:after="0" w:line="250" w:lineRule="auto"/>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Consultant shall submit to Company all statements for expenses incurred and Services performed on a monthly basis in a form prescribed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1" w:name="page92"/>
    <w:bookmarkEnd w:id="91"/>
    <w:p>
      <w:pPr>
        <w:ind w:left="380"/>
        <w:spacing w:after="0" w:line="250" w:lineRule="auto"/>
        <w:rPr>
          <w:sz w:val="20"/>
          <w:szCs w:val="20"/>
          <w:color w:val="auto"/>
        </w:rPr>
      </w:pPr>
      <w:r>
        <w:rPr>
          <w:rFonts w:ascii="Arial" w:cs="Arial" w:eastAsia="Arial" w:hAnsi="Arial"/>
          <w:sz w:val="22"/>
          <w:szCs w:val="22"/>
          <w:color w:val="auto"/>
        </w:rPr>
        <w:t>Payment of undisputed amounts set forth in such invoices shall be due within thirty (30) days of the Company’s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506095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604"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Brady, certify that:</w:t>
      </w:r>
    </w:p>
    <w:p>
      <w:pPr>
        <w:spacing w:after="0" w:line="225"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Form 10-Q of Tempest Therapeutics, Inc.;</w:t>
      </w:r>
    </w:p>
    <w:p>
      <w:pPr>
        <w:spacing w:after="0" w:line="225"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60" w:hanging="378"/>
        <w:spacing w:after="0" w:line="308" w:lineRule="auto"/>
        <w:tabs>
          <w:tab w:leader="none" w:pos="7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hanging="378"/>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8, 2023</w:t>
      </w:r>
    </w:p>
    <w:p>
      <w:pPr>
        <w:spacing w:after="0" w:line="279" w:lineRule="exact"/>
        <w:rPr>
          <w:sz w:val="20"/>
          <w:szCs w:val="20"/>
          <w:color w:val="auto"/>
        </w:rPr>
      </w:pPr>
    </w:p>
    <w:p>
      <w:pPr>
        <w:ind w:left="6980"/>
        <w:spacing w:after="0"/>
        <w:tabs>
          <w:tab w:leader="none" w:pos="7420" w:val="left"/>
        </w:tabs>
        <w:rPr>
          <w:sz w:val="20"/>
          <w:szCs w:val="20"/>
          <w:color w:val="auto"/>
        </w:rPr>
      </w:pPr>
      <w:r>
        <w:rPr>
          <w:rFonts w:ascii="Arial" w:cs="Arial" w:eastAsia="Arial" w:hAnsi="Arial"/>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23495</wp:posOffset>
            </wp:positionV>
            <wp:extent cx="24174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Stephen Brady</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Form 10-Q of Tempest Therapeutics, Inc.;</w:t>
      </w:r>
    </w:p>
    <w:p>
      <w:pPr>
        <w:spacing w:after="0" w:line="225"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60" w:hanging="378"/>
        <w:spacing w:after="0" w:line="308" w:lineRule="auto"/>
        <w:tabs>
          <w:tab w:leader="none" w:pos="7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hanging="378"/>
        <w:spacing w:after="0" w:line="277"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8, 2023</w:t>
      </w:r>
    </w:p>
    <w:p>
      <w:pPr>
        <w:spacing w:after="0" w:line="279" w:lineRule="exact"/>
        <w:rPr>
          <w:sz w:val="20"/>
          <w:szCs w:val="20"/>
          <w:color w:val="auto"/>
        </w:rPr>
      </w:pPr>
    </w:p>
    <w:p>
      <w:pPr>
        <w:ind w:left="6980"/>
        <w:spacing w:after="0"/>
        <w:tabs>
          <w:tab w:leader="none" w:pos="7420" w:val="left"/>
        </w:tabs>
        <w:rPr>
          <w:sz w:val="20"/>
          <w:szCs w:val="20"/>
          <w:color w:val="auto"/>
        </w:rPr>
      </w:pPr>
      <w:r>
        <w:rPr>
          <w:rFonts w:ascii="Arial" w:cs="Arial" w:eastAsia="Arial" w:hAnsi="Arial"/>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23495</wp:posOffset>
            </wp:positionV>
            <wp:extent cx="24174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Nicholas Maestas</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Vice-President, Strategy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49" w:lineRule="exact"/>
        <w:rPr>
          <w:sz w:val="20"/>
          <w:szCs w:val="20"/>
          <w:color w:val="auto"/>
        </w:rPr>
      </w:pPr>
    </w:p>
    <w:p>
      <w:pPr>
        <w:ind w:left="380" w:hanging="372"/>
        <w:spacing w:after="0" w:line="277"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2023, to which this Certification is attached as Exhibit 32.1 (the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420" w:firstLine="8"/>
        <w:spacing w:after="0" w:line="527" w:lineRule="auto"/>
        <w:tabs>
          <w:tab w:leader="none" w:pos="3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8,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/s/ Stephen Brady</w:t>
            </w:r>
          </w:p>
        </w:tc>
        <w:tc>
          <w:tcPr>
            <w:tcW w:w="324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/s/ Nicholas Maestas</w:t>
            </w:r>
          </w:p>
        </w:tc>
      </w:tr>
      <w:tr>
        <w:trPr>
          <w:trHeight w:val="40"/>
        </w:trPr>
        <w:tc>
          <w:tcPr>
            <w:tcW w:w="4140" w:type="dxa"/>
            <w:vAlign w:val="bottom"/>
            <w:tcBorders>
              <w:bottom w:val="single" w:sz="8" w:color="auto"/>
            </w:tcBorders>
          </w:tcPr>
          <w:p>
            <w:pPr>
              <w:spacing w:after="0"/>
              <w:rPr>
                <w:sz w:val="3"/>
                <w:szCs w:val="3"/>
                <w:color w:val="auto"/>
              </w:rPr>
            </w:pPr>
          </w:p>
        </w:tc>
        <w:tc>
          <w:tcPr>
            <w:tcW w:w="324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r>
        <w:trPr>
          <w:trHeight w:val="277"/>
        </w:trPr>
        <w:tc>
          <w:tcPr>
            <w:tcW w:w="4140" w:type="dxa"/>
            <w:vAlign w:val="bottom"/>
          </w:tcPr>
          <w:p>
            <w:pPr>
              <w:ind w:left="20"/>
              <w:spacing w:after="0"/>
              <w:rPr>
                <w:sz w:val="20"/>
                <w:szCs w:val="20"/>
                <w:color w:val="auto"/>
              </w:rPr>
            </w:pPr>
            <w:r>
              <w:rPr>
                <w:rFonts w:ascii="Arial" w:cs="Arial" w:eastAsia="Arial" w:hAnsi="Arial"/>
                <w:sz w:val="18"/>
                <w:szCs w:val="18"/>
                <w:color w:val="auto"/>
              </w:rPr>
              <w:t>Stephen Brady</w:t>
            </w:r>
          </w:p>
        </w:tc>
        <w:tc>
          <w:tcPr>
            <w:tcW w:w="324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Nicholas Maestas</w:t>
            </w:r>
          </w:p>
        </w:tc>
      </w:tr>
      <w:tr>
        <w:trPr>
          <w:trHeight w:val="324"/>
        </w:trPr>
        <w:tc>
          <w:tcPr>
            <w:tcW w:w="4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324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Vice-President, Strategy and Finance</w:t>
            </w:r>
          </w:p>
        </w:tc>
      </w:tr>
    </w:tbl>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7"/>
    </w:lvl>
  </w:abstractNum>
  <w:abstractNum w:abstractNumId="5">
    <w:nsid w:val="836C40E"/>
    <w:multiLevelType w:val="hybridMultilevel"/>
    <w:lvl w:ilvl="0">
      <w:lvlJc w:val="left"/>
      <w:lvlText w:val="%1."/>
      <w:numFmt w:val="decimal"/>
      <w:start w:val="8"/>
    </w:lvl>
  </w:abstractNum>
  <w:abstractNum w:abstractNumId="6">
    <w:nsid w:val="2901D82"/>
    <w:multiLevelType w:val="hybridMultilevel"/>
    <w:lvl w:ilvl="0">
      <w:lvlJc w:val="left"/>
      <w:lvlText w:val="%1."/>
      <w:numFmt w:val="decimal"/>
      <w:start w:val="1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lvl w:ilvl="1">
      <w:lvlJc w:val="left"/>
      <w:lvlText w:val="%2"/>
      <w:numFmt w:val="decimal"/>
      <w:start w:val="104"/>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lvl w:ilvl="1">
      <w:lvlJc w:val="left"/>
      <w:lvlText w:val="%2."/>
      <w:numFmt w:val="lowerLetter"/>
      <w:start w:val="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lowerLetter"/>
      <w:start w:val="8"/>
    </w:lvl>
  </w:abstractNum>
  <w:abstractNum w:abstractNumId="42">
    <w:nsid w:val="6DE91B18"/>
    <w:multiLevelType w:val="hybridMultilevel"/>
    <w:lvl w:ilvl="0">
      <w:lvlJc w:val="left"/>
      <w:lvlText w:val="%1."/>
      <w:numFmt w:val="decimal"/>
      <w:start w:val="5"/>
    </w:lvl>
  </w:abstractNum>
  <w:abstractNum w:abstractNumId="43">
    <w:nsid w:val="38437FDB"/>
    <w:multiLevelType w:val="hybridMultilevel"/>
    <w:lvl w:ilvl="0">
      <w:lvlJc w:val="left"/>
      <w:lvlText w:val="%1."/>
      <w:numFmt w:val="decimal"/>
      <w:start w:val="6"/>
    </w:lvl>
  </w:abstractNum>
  <w:abstractNum w:abstractNumId="44">
    <w:nsid w:val="7644A45C"/>
    <w:multiLevelType w:val="hybridMultilevel"/>
    <w:lvl w:ilvl="0">
      <w:lvlJc w:val="left"/>
      <w:lvlText w:val="%1."/>
      <w:numFmt w:val="decimal"/>
      <w:start w:val="1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2"/>
    </w:lvl>
    <w:lvl w:ilvl="1">
      <w:lvlJc w:val="left"/>
      <w:lvlText w:val="%2"/>
      <w:numFmt w:val="lowerLetter"/>
      <w:start w:val="1"/>
    </w:lvl>
  </w:abstractNum>
  <w:abstractNum w:abstractNumId="47">
    <w:nsid w:val="579478FE"/>
    <w:multiLevelType w:val="hybridMultilevel"/>
    <w:lvl w:ilvl="0">
      <w:lvlJc w:val="left"/>
      <w:lvlText w:val="%1."/>
      <w:numFmt w:val="lowerLetter"/>
      <w:start w:val="2"/>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23" Type="http://schemas.openxmlformats.org/officeDocument/2006/relationships/hyperlink" Target="https://www.sec.gov/Archives/edgar/data/1544227/000155837019005038/mlnd-20190331ex31b53fa83.htm" TargetMode="External"/><Relationship Id="rId224" Type="http://schemas.openxmlformats.org/officeDocument/2006/relationships/hyperlink" Target="https://www.sec.gov/Archives/edgar/data/1544227/000119312521201157/d196630dex31.htm" TargetMode="External"/><Relationship Id="rId225" Type="http://schemas.openxmlformats.org/officeDocument/2006/relationships/hyperlink" Target="https://www.sec.gov/Archives/edgar/data/1544227/000119312521201157/d196630dex32.htm" TargetMode="External"/><Relationship Id="rId226" Type="http://schemas.openxmlformats.org/officeDocument/2006/relationships/hyperlink" Target="https://www.sec.gov/Archives/edgar/data/1544227/000119312523253882/d547808dex31.htm" TargetMode="External"/><Relationship Id="rId227" Type="http://schemas.openxmlformats.org/officeDocument/2006/relationships/hyperlink" Target="https://www.sec.gov/Archives/edgar/data/1544227/000119312521281694/d222030dex31.htm" TargetMode="External"/><Relationship Id="rId228" Type="http://schemas.openxmlformats.org/officeDocument/2006/relationships/hyperlink" Target="https://www.sec.gov/Archives/edgar/data/1544227/000119312523253882/d54780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2023-11-08T16:46:44Z</dcterms:created>
  <dcterms:modified xsi:type="dcterms:W3CDTF">2023-11-08T16:46:44Z</dcterms:modified>
</cp:coreProperties>
</file>