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347345</wp:posOffset>
            </wp:positionH>
            <wp:positionV relativeFrom="page">
              <wp:posOffset>419735</wp:posOffset>
            </wp:positionV>
            <wp:extent cx="70034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6350"/>
                    </a:xfrm>
                    <a:prstGeom prst="rect">
                      <a:avLst/>
                    </a:prstGeom>
                    <a:noFill/>
                  </pic:spPr>
                </pic:pic>
              </a:graphicData>
            </a:graphic>
          </wp:anchor>
        </w:drawing>
        <w:drawing>
          <wp:anchor simplePos="0" relativeHeight="251657728" behindDoc="1" locked="0" layoutInCell="0" allowOverlap="1">
            <wp:simplePos x="0" y="0"/>
            <wp:positionH relativeFrom="page">
              <wp:posOffset>347345</wp:posOffset>
            </wp:positionH>
            <wp:positionV relativeFrom="page">
              <wp:posOffset>393700</wp:posOffset>
            </wp:positionV>
            <wp:extent cx="70034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6350"/>
                    </a:xfrm>
                    <a:prstGeom prst="rect">
                      <a:avLst/>
                    </a:prstGeom>
                    <a:noFill/>
                  </pic:spPr>
                </pic:pic>
              </a:graphicData>
            </a:graphic>
          </wp:anchor>
        </w:drawing>
        <w:t>UNITED STATES</w:t>
      </w:r>
    </w:p>
    <w:p>
      <w:pPr>
        <w:spacing w:after="0" w:line="19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62865</wp:posOffset>
            </wp:positionV>
            <wp:extent cx="1413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3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60960</wp:posOffset>
            </wp:positionV>
            <wp:extent cx="1413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184" w:lineRule="exact"/>
        <w:rPr>
          <w:sz w:val="24"/>
          <w:szCs w:val="24"/>
          <w:color w:val="auto"/>
        </w:rPr>
      </w:pPr>
    </w:p>
    <w:p>
      <w:pPr>
        <w:ind w:left="3640" w:hanging="401"/>
        <w:spacing w:after="0"/>
        <w:tabs>
          <w:tab w:leader="none" w:pos="3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w:t>
      </w:r>
    </w:p>
    <w:p>
      <w:pPr>
        <w:spacing w:after="0" w:line="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 w:lineRule="exact"/>
        <w:rPr>
          <w:sz w:val="24"/>
          <w:szCs w:val="24"/>
          <w:color w:val="auto"/>
        </w:rPr>
      </w:pPr>
    </w:p>
    <w:p>
      <w:pPr>
        <w:ind w:left="3640" w:hanging="401"/>
        <w:spacing w:after="0"/>
        <w:tabs>
          <w:tab w:leader="none" w:pos="36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w:t>
      </w:r>
    </w:p>
    <w:p>
      <w:pPr>
        <w:spacing w:after="0" w:line="8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 xml:space="preserve">For the transition period from to </w:t>
      </w:r>
      <w:r>
        <w:rPr>
          <w:rFonts w:ascii="Times New Roman" w:cs="Times New Roman" w:eastAsia="Times New Roman" w:hAnsi="Times New Roman"/>
          <w:sz w:val="12"/>
          <w:szCs w:val="12"/>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4025265</wp:posOffset>
            </wp:positionH>
            <wp:positionV relativeFrom="paragraph">
              <wp:posOffset>-1270</wp:posOffset>
            </wp:positionV>
            <wp:extent cx="196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85" cy="635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Commission File No. 001-35890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52705</wp:posOffset>
            </wp:positionV>
            <wp:extent cx="13747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4775" cy="6350"/>
                    </a:xfrm>
                    <a:prstGeom prst="rect">
                      <a:avLst/>
                    </a:prstGeom>
                    <a:noFill/>
                  </pic:spPr>
                </pic:pic>
              </a:graphicData>
            </a:graphic>
          </wp:anchor>
        </w:drawing>
      </w:r>
    </w:p>
    <w:p>
      <w:pPr>
        <w:spacing w:after="0" w:line="1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3"/>
          <w:szCs w:val="33"/>
          <w:b w:val="1"/>
          <w:bCs w:val="1"/>
          <w:color w:val="auto"/>
        </w:rPr>
        <w:t>Tempest Therapeutics, Inc.</w:t>
      </w:r>
    </w:p>
    <w:p>
      <w:pPr>
        <w:spacing w:after="0" w:line="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56515</wp:posOffset>
            </wp:positionV>
            <wp:extent cx="10179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7905" cy="6350"/>
                    </a:xfrm>
                    <a:prstGeom prst="rect">
                      <a:avLst/>
                    </a:prstGeom>
                    <a:noFill/>
                  </pic:spPr>
                </pic:pic>
              </a:graphicData>
            </a:graphic>
          </wp:anchor>
        </w:drawing>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3180" w:type="dxa"/>
            <w:vAlign w:val="bottom"/>
          </w:tcPr>
          <w:p>
            <w:pPr>
              <w:spacing w:after="0"/>
              <w:rPr>
                <w:sz w:val="15"/>
                <w:szCs w:val="15"/>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820" w:type="dxa"/>
            <w:vAlign w:val="bottom"/>
            <w:gridSpan w:val="2"/>
          </w:tcPr>
          <w:p>
            <w:pPr>
              <w:jc w:val="right"/>
              <w:ind w:right="2642"/>
              <w:spacing w:after="0"/>
              <w:rPr>
                <w:sz w:val="20"/>
                <w:szCs w:val="20"/>
                <w:color w:val="auto"/>
              </w:rPr>
            </w:pPr>
            <w:r>
              <w:rPr>
                <w:rFonts w:ascii="Times New Roman" w:cs="Times New Roman" w:eastAsia="Times New Roman" w:hAnsi="Times New Roman"/>
                <w:sz w:val="14"/>
                <w:szCs w:val="14"/>
                <w:b w:val="1"/>
                <w:bCs w:val="1"/>
                <w:color w:val="auto"/>
              </w:rPr>
              <w:t>45-1472564</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3820" w:type="dxa"/>
            <w:vAlign w:val="bottom"/>
            <w:gridSpan w:val="2"/>
          </w:tcPr>
          <w:p>
            <w:pPr>
              <w:jc w:val="center"/>
              <w:ind w:right="2182"/>
              <w:spacing w:after="0"/>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3820" w:type="dxa"/>
            <w:vAlign w:val="bottom"/>
            <w:gridSpan w:val="2"/>
          </w:tcPr>
          <w:p>
            <w:pPr>
              <w:jc w:val="center"/>
              <w:ind w:right="2202"/>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3000" w:type="dxa"/>
            <w:vAlign w:val="bottom"/>
            <w:gridSpan w:val="2"/>
          </w:tcPr>
          <w:p>
            <w:pPr>
              <w:jc w:val="center"/>
              <w:ind w:right="981"/>
              <w:spacing w:after="0"/>
              <w:rPr>
                <w:sz w:val="20"/>
                <w:szCs w:val="20"/>
                <w:color w:val="auto"/>
              </w:rPr>
            </w:pPr>
            <w:r>
              <w:rPr>
                <w:rFonts w:ascii="Times New Roman" w:cs="Times New Roman" w:eastAsia="Times New Roman" w:hAnsi="Times New Roman"/>
                <w:sz w:val="14"/>
                <w:szCs w:val="14"/>
                <w:b w:val="1"/>
                <w:bCs w:val="1"/>
                <w:color w:val="auto"/>
                <w:w w:val="97"/>
              </w:rPr>
              <w:t>7000 Shoreline Court, Suite 275</w:t>
            </w:r>
          </w:p>
        </w:tc>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w w:val="97"/>
              </w:rPr>
              <w:t>South San Francisco, California</w:t>
            </w:r>
          </w:p>
        </w:tc>
        <w:tc>
          <w:tcPr>
            <w:tcW w:w="3820" w:type="dxa"/>
            <w:vAlign w:val="bottom"/>
            <w:gridSpan w:val="2"/>
          </w:tcPr>
          <w:p>
            <w:pPr>
              <w:jc w:val="right"/>
              <w:ind w:right="2802"/>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Times New Roman" w:cs="Times New Roman" w:eastAsia="Times New Roman" w:hAnsi="Times New Roman"/>
                <w:sz w:val="11"/>
                <w:szCs w:val="11"/>
                <w:color w:val="auto"/>
                <w:w w:val="99"/>
              </w:rPr>
              <w:t>(Address of Principal Executive Offices)</w:t>
            </w:r>
          </w:p>
        </w:tc>
        <w:tc>
          <w:tcPr>
            <w:tcW w:w="540" w:type="dxa"/>
            <w:vAlign w:val="bottom"/>
          </w:tcPr>
          <w:p>
            <w:pPr>
              <w:spacing w:after="0"/>
              <w:rPr>
                <w:sz w:val="14"/>
                <w:szCs w:val="14"/>
                <w:color w:val="auto"/>
              </w:rPr>
            </w:pPr>
          </w:p>
        </w:tc>
        <w:tc>
          <w:tcPr>
            <w:tcW w:w="3280" w:type="dxa"/>
            <w:vAlign w:val="bottom"/>
          </w:tcPr>
          <w:p>
            <w:pPr>
              <w:jc w:val="center"/>
              <w:ind w:right="2742"/>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253"/>
        </w:trPr>
        <w:tc>
          <w:tcPr>
            <w:tcW w:w="3180" w:type="dxa"/>
            <w:vAlign w:val="bottom"/>
          </w:tcPr>
          <w:p>
            <w:pPr>
              <w:spacing w:after="0"/>
              <w:rPr>
                <w:sz w:val="22"/>
                <w:szCs w:val="22"/>
                <w:color w:val="auto"/>
              </w:rPr>
            </w:pPr>
          </w:p>
        </w:tc>
        <w:tc>
          <w:tcPr>
            <w:tcW w:w="6820" w:type="dxa"/>
            <w:vAlign w:val="bottom"/>
            <w:gridSpan w:val="4"/>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 (415) 798-8589</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6820" w:type="dxa"/>
            <w:vAlign w:val="bottom"/>
            <w:gridSpan w:val="4"/>
          </w:tcPr>
          <w:p>
            <w:pPr>
              <w:jc w:val="center"/>
              <w:ind w:right="1982"/>
              <w:spacing w:after="0"/>
              <w:rPr>
                <w:sz w:val="20"/>
                <w:szCs w:val="20"/>
                <w:color w:val="auto"/>
              </w:rPr>
            </w:pPr>
            <w:r>
              <w:rPr>
                <w:rFonts w:ascii="Times New Roman" w:cs="Times New Roman" w:eastAsia="Times New Roman" w:hAnsi="Times New Roman"/>
                <w:sz w:val="11"/>
                <w:szCs w:val="11"/>
                <w:b w:val="1"/>
                <w:bCs w:val="1"/>
                <w:color w:val="auto"/>
                <w:w w:val="98"/>
              </w:rPr>
              <w:t>(Former Name, Former Address and Former Fiscal Year, if Changed Since Last Report)</w:t>
            </w:r>
          </w:p>
        </w:tc>
        <w:tc>
          <w:tcPr>
            <w:tcW w:w="0" w:type="dxa"/>
            <w:vAlign w:val="bottom"/>
          </w:tcPr>
          <w:p>
            <w:pPr>
              <w:spacing w:after="0"/>
              <w:rPr>
                <w:sz w:val="1"/>
                <w:szCs w:val="1"/>
                <w:color w:val="auto"/>
              </w:rPr>
            </w:pPr>
          </w:p>
        </w:tc>
      </w:tr>
      <w:tr>
        <w:trPr>
          <w:trHeight w:val="70"/>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Securities registered pursuant to Section 12(b) of the Act:</w:t>
            </w:r>
          </w:p>
        </w:tc>
        <w:tc>
          <w:tcPr>
            <w:tcW w:w="17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8"/>
        </w:trPr>
        <w:tc>
          <w:tcPr>
            <w:tcW w:w="31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540" w:type="dxa"/>
            <w:vAlign w:val="bottom"/>
          </w:tcPr>
          <w:p>
            <w:pPr>
              <w:spacing w:after="0"/>
              <w:rPr>
                <w:sz w:val="20"/>
                <w:szCs w:val="20"/>
                <w:color w:val="auto"/>
              </w:rPr>
            </w:pPr>
          </w:p>
        </w:tc>
        <w:tc>
          <w:tcPr>
            <w:tcW w:w="3280" w:type="dxa"/>
            <w:vAlign w:val="bottom"/>
          </w:tcPr>
          <w:p>
            <w:pPr>
              <w:jc w:val="center"/>
              <w:ind w:left="582"/>
              <w:spacing w:after="0"/>
              <w:rPr>
                <w:sz w:val="20"/>
                <w:szCs w:val="20"/>
                <w:color w:val="auto"/>
              </w:rPr>
            </w:pPr>
            <w:r>
              <w:rPr>
                <w:rFonts w:ascii="Times New Roman" w:cs="Times New Roman" w:eastAsia="Times New Roman" w:hAnsi="Times New Roman"/>
                <w:sz w:val="11"/>
                <w:szCs w:val="11"/>
                <w:b w:val="1"/>
                <w:bCs w:val="1"/>
                <w:color w:val="auto"/>
                <w:w w:val="98"/>
              </w:rPr>
              <w:t>Name of each exchange</w:t>
            </w:r>
          </w:p>
        </w:tc>
        <w:tc>
          <w:tcPr>
            <w:tcW w:w="0" w:type="dxa"/>
            <w:vAlign w:val="bottom"/>
          </w:tcPr>
          <w:p>
            <w:pPr>
              <w:spacing w:after="0"/>
              <w:rPr>
                <w:sz w:val="1"/>
                <w:szCs w:val="1"/>
                <w:color w:val="auto"/>
              </w:rPr>
            </w:pPr>
          </w:p>
        </w:tc>
      </w:tr>
      <w:tr>
        <w:trPr>
          <w:trHeight w:val="245"/>
        </w:trPr>
        <w:tc>
          <w:tcPr>
            <w:tcW w:w="3180" w:type="dxa"/>
            <w:vAlign w:val="bottom"/>
          </w:tcPr>
          <w:p>
            <w:pPr>
              <w:ind w:left="14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7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Symbol(s)</w:t>
            </w:r>
          </w:p>
        </w:tc>
        <w:tc>
          <w:tcPr>
            <w:tcW w:w="540" w:type="dxa"/>
            <w:vAlign w:val="bottom"/>
          </w:tcPr>
          <w:p>
            <w:pPr>
              <w:spacing w:after="0"/>
              <w:rPr>
                <w:sz w:val="21"/>
                <w:szCs w:val="21"/>
                <w:color w:val="auto"/>
              </w:rPr>
            </w:pPr>
          </w:p>
        </w:tc>
        <w:tc>
          <w:tcPr>
            <w:tcW w:w="3280" w:type="dxa"/>
            <w:vAlign w:val="bottom"/>
          </w:tcPr>
          <w:p>
            <w:pPr>
              <w:jc w:val="center"/>
              <w:ind w:left="562"/>
              <w:spacing w:after="0"/>
              <w:rPr>
                <w:sz w:val="20"/>
                <w:szCs w:val="20"/>
                <w:color w:val="auto"/>
              </w:rPr>
            </w:pPr>
            <w:r>
              <w:rPr>
                <w:rFonts w:ascii="Times New Roman" w:cs="Times New Roman" w:eastAsia="Times New Roman" w:hAnsi="Times New Roman"/>
                <w:sz w:val="11"/>
                <w:szCs w:val="11"/>
                <w:b w:val="1"/>
                <w:bCs w:val="1"/>
                <w:color w:val="auto"/>
                <w:w w:val="97"/>
              </w:rPr>
              <w:t>on which registered</w:t>
            </w:r>
          </w:p>
        </w:tc>
        <w:tc>
          <w:tcPr>
            <w:tcW w:w="0" w:type="dxa"/>
            <w:vAlign w:val="bottom"/>
          </w:tcPr>
          <w:p>
            <w:pPr>
              <w:spacing w:after="0"/>
              <w:rPr>
                <w:sz w:val="1"/>
                <w:szCs w:val="1"/>
                <w:color w:val="auto"/>
              </w:rPr>
            </w:pPr>
          </w:p>
        </w:tc>
      </w:tr>
      <w:tr>
        <w:trPr>
          <w:trHeight w:val="29"/>
        </w:trPr>
        <w:tc>
          <w:tcPr>
            <w:tcW w:w="3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740" w:type="dxa"/>
            <w:vAlign w:val="bottom"/>
          </w:tcPr>
          <w:p>
            <w:pPr>
              <w:spacing w:after="0"/>
              <w:rPr>
                <w:sz w:val="15"/>
                <w:szCs w:val="15"/>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TPST</w:t>
            </w:r>
          </w:p>
        </w:tc>
        <w:tc>
          <w:tcPr>
            <w:tcW w:w="540" w:type="dxa"/>
            <w:vAlign w:val="bottom"/>
          </w:tcPr>
          <w:p>
            <w:pPr>
              <w:spacing w:after="0"/>
              <w:rPr>
                <w:sz w:val="15"/>
                <w:szCs w:val="15"/>
                <w:color w:val="auto"/>
              </w:rPr>
            </w:pPr>
          </w:p>
        </w:tc>
        <w:tc>
          <w:tcPr>
            <w:tcW w:w="3280" w:type="dxa"/>
            <w:vAlign w:val="bottom"/>
          </w:tcPr>
          <w:p>
            <w:pPr>
              <w:jc w:val="center"/>
              <w:ind w:left="562"/>
              <w:spacing w:after="0"/>
              <w:rPr>
                <w:sz w:val="20"/>
                <w:szCs w:val="20"/>
                <w:color w:val="auto"/>
              </w:rPr>
            </w:pPr>
            <w:r>
              <w:rPr>
                <w:rFonts w:ascii="Times New Roman" w:cs="Times New Roman" w:eastAsia="Times New Roman" w:hAnsi="Times New Roman"/>
                <w:sz w:val="14"/>
                <w:szCs w:val="14"/>
                <w:color w:val="auto"/>
                <w:w w:val="96"/>
              </w:rPr>
              <w:t>The Nasdaq Capital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left="80" w:right="2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80" w:right="320"/>
        <w:spacing w:after="0" w:line="17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left="80" w:right="300"/>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36" w:lineRule="exact"/>
        <w:rPr>
          <w:sz w:val="24"/>
          <w:szCs w:val="24"/>
          <w:color w:val="auto"/>
        </w:rPr>
      </w:pPr>
    </w:p>
    <w:p>
      <w:pPr>
        <w:ind w:left="80" w:right="24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tabs>
          <w:tab w:leader="none" w:pos="5720" w:val="left"/>
          <w:tab w:leader="none" w:pos="6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August 10, 2022 was 10,418,856.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370840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71589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130175</wp:posOffset>
            </wp:positionV>
            <wp:extent cx="71589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6350"/>
                    </a:xfrm>
                    <a:prstGeom prst="rect">
                      <a:avLst/>
                    </a:prstGeom>
                    <a:noFill/>
                  </pic:spPr>
                </pic:pic>
              </a:graphicData>
            </a:graphic>
          </wp:anchor>
        </w:drawing>
      </w:r>
    </w:p>
    <w:p>
      <w:pPr>
        <w:sectPr>
          <w:pgSz w:w="11900" w:h="16838" w:orient="portrait"/>
          <w:cols w:equalWidth="0" w:num="1">
            <w:col w:w="11340"/>
          </w:cols>
          <w:pgMar w:left="300" w:top="71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700"/>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INDEX TO FORM 10-Q</w:t>
            </w:r>
          </w:p>
        </w:tc>
        <w:tc>
          <w:tcPr>
            <w:tcW w:w="26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164"/>
        </w:trPr>
        <w:tc>
          <w:tcPr>
            <w:tcW w:w="20" w:type="dxa"/>
            <w:vAlign w:val="bottom"/>
          </w:tcPr>
          <w:p>
            <w:pPr>
              <w:spacing w:after="0"/>
              <w:rPr>
                <w:sz w:val="14"/>
                <w:szCs w:val="14"/>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2"/>
                <w:szCs w:val="12"/>
                <w:color w:val="0000FF"/>
              </w:rPr>
              <w:t>Special Note Regarding Forward-Looking Statements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80" w:type="dxa"/>
            <w:vAlign w:val="bottom"/>
            <w:gridSpan w:val="11"/>
          </w:tcPr>
          <w:p>
            <w:pPr>
              <w:spacing w:after="0"/>
              <w:rPr>
                <w:sz w:val="20"/>
                <w:szCs w:val="20"/>
                <w:color w:val="auto"/>
              </w:rPr>
            </w:pPr>
            <w:r>
              <w:rPr>
                <w:rFonts w:ascii="Times New Roman" w:cs="Times New Roman" w:eastAsia="Times New Roman" w:hAnsi="Times New Roman"/>
                <w:sz w:val="12"/>
                <w:szCs w:val="12"/>
                <w:color w:val="0000FF"/>
              </w:rPr>
              <w:t>PART I — FINANCIAL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w:t>
            </w: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Financial Statements (unaudited):</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rPr>
              <w:t>Condensed Consolidated Balance Sheets as of June 30, 2022 and December 31, 2021</w:t>
            </w:r>
          </w:p>
        </w:tc>
        <w:tc>
          <w:tcPr>
            <w:tcW w:w="4680" w:type="dxa"/>
            <w:vAlign w:val="bottom"/>
            <w:gridSpan w:val="5"/>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Condensed Consolidated Statements of Operations for the Three and Six Months Ended June 30, 2022 and 2021</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Condensed Consolidated Statements of Stockholders’ Equity for the Three and Six Months Ended June 30, 2022 and 2021</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7</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Statements of Cash Flows for the Six Months Ended June 30, 2022 and 2021</w:t>
            </w:r>
          </w:p>
        </w:tc>
        <w:tc>
          <w:tcPr>
            <w:tcW w:w="980" w:type="dxa"/>
            <w:vAlign w:val="bottom"/>
            <w:tcBorders>
              <w:top w:val="single" w:sz="8" w:color="0000FF"/>
            </w:tcBorders>
            <w:gridSpan w:val="2"/>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9</w:t>
            </w: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rPr>
              <w:t>Notes to Condensed Consolidated Financial Statements</w:t>
            </w:r>
          </w:p>
        </w:tc>
        <w:tc>
          <w:tcPr>
            <w:tcW w:w="6140" w:type="dxa"/>
            <w:vAlign w:val="bottom"/>
            <w:gridSpan w:val="9"/>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10</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19</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3.</w:t>
            </w:r>
          </w:p>
        </w:tc>
        <w:tc>
          <w:tcPr>
            <w:tcW w:w="43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rPr>
              <w:t>Controls and Procedures</w:t>
            </w:r>
          </w:p>
        </w:tc>
        <w:tc>
          <w:tcPr>
            <w:tcW w:w="4480" w:type="dxa"/>
            <w:vAlign w:val="bottom"/>
            <w:gridSpan w:val="4"/>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24</w:t>
            </w:r>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gridSpan w:val="12"/>
          </w:tcPr>
          <w:p>
            <w:pPr>
              <w:spacing w:after="0"/>
              <w:rPr>
                <w:sz w:val="20"/>
                <w:szCs w:val="20"/>
                <w:color w:val="auto"/>
              </w:rPr>
            </w:pPr>
            <w:r>
              <w:rPr>
                <w:rFonts w:ascii="Times New Roman" w:cs="Times New Roman" w:eastAsia="Times New Roman" w:hAnsi="Times New Roman"/>
                <w:sz w:val="12"/>
                <w:szCs w:val="12"/>
                <w:color w:val="0000FF"/>
              </w:rPr>
              <w:t>PART II — OTHER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340" w:type="dxa"/>
            <w:vAlign w:val="bottom"/>
            <w:gridSpan w:val="2"/>
          </w:tcPr>
          <w:p>
            <w:pPr>
              <w:spacing w:after="0"/>
              <w:rPr>
                <w:sz w:val="14"/>
                <w:szCs w:val="14"/>
                <w:color w:val="auto"/>
              </w:rPr>
            </w:pPr>
          </w:p>
        </w:tc>
        <w:tc>
          <w:tcPr>
            <w:tcW w:w="1880" w:type="dxa"/>
            <w:vAlign w:val="bottom"/>
            <w:tcBorders>
              <w:top w:val="single" w:sz="8" w:color="0000FF"/>
            </w:tcBorders>
            <w:gridSpan w:val="5"/>
          </w:tcPr>
          <w:p>
            <w:pPr>
              <w:spacing w:after="0"/>
              <w:rPr>
                <w:sz w:val="14"/>
                <w:szCs w:val="14"/>
                <w:color w:val="auto"/>
              </w:rPr>
            </w:pPr>
          </w:p>
        </w:tc>
        <w:tc>
          <w:tcPr>
            <w:tcW w:w="5740" w:type="dxa"/>
            <w:vAlign w:val="bottom"/>
            <w:gridSpan w:val="7"/>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1A.</w:t>
            </w: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Risk Factors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2.</w:t>
            </w:r>
          </w:p>
        </w:tc>
        <w:tc>
          <w:tcPr>
            <w:tcW w:w="2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rPr>
              <w:t>Unregistered Sales of Equity Securities and Use of Proceeds</w:t>
            </w:r>
          </w:p>
        </w:tc>
        <w:tc>
          <w:tcPr>
            <w:tcW w:w="5900" w:type="dxa"/>
            <w:vAlign w:val="bottom"/>
            <w:gridSpan w:val="8"/>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3.</w:t>
            </w:r>
          </w:p>
        </w:tc>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rPr>
              <w:t>Defaults Upon Senior Securities</w:t>
            </w:r>
          </w:p>
        </w:tc>
        <w:tc>
          <w:tcPr>
            <w:tcW w:w="7220" w:type="dxa"/>
            <w:vAlign w:val="bottom"/>
            <w:gridSpan w:val="10"/>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4.</w:t>
            </w: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9"/>
              </w:rPr>
              <w:t>Mine Safety Disclosures</w:t>
            </w:r>
          </w:p>
        </w:tc>
        <w:tc>
          <w:tcPr>
            <w:tcW w:w="7660" w:type="dxa"/>
            <w:vAlign w:val="bottom"/>
            <w:gridSpan w:val="13"/>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5.</w:t>
            </w:r>
          </w:p>
        </w:tc>
        <w:tc>
          <w:tcPr>
            <w:tcW w:w="886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Other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64</w:t>
            </w: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Item 6.</w:t>
            </w:r>
          </w:p>
        </w:tc>
        <w:tc>
          <w:tcPr>
            <w:tcW w:w="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rPr>
              <w:t>Exhibits</w:t>
            </w:r>
          </w:p>
        </w:tc>
        <w:tc>
          <w:tcPr>
            <w:tcW w:w="7980" w:type="dxa"/>
            <w:vAlign w:val="bottom"/>
            <w:gridSpan w:val="15"/>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80</w:t>
            </w:r>
          </w:p>
        </w:tc>
      </w:tr>
      <w:tr>
        <w:trPr>
          <w:trHeight w:val="164"/>
        </w:trPr>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8"/>
              </w:rPr>
              <w:t>Signatures</w:t>
            </w:r>
          </w:p>
        </w:tc>
        <w:tc>
          <w:tcPr>
            <w:tcW w:w="480" w:type="dxa"/>
            <w:vAlign w:val="bottom"/>
            <w:gridSpan w:val="2"/>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81</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140"/>
          </w:cols>
          <w:pgMar w:left="540" w:top="308" w:right="1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2"/>
          <w:szCs w:val="12"/>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Forward-looking statements contained in this Quarterly Report on Form 10-Q include, but are not limited to, statements about:</w:t>
      </w:r>
    </w:p>
    <w:p>
      <w:pPr>
        <w:spacing w:after="0" w:line="186" w:lineRule="exact"/>
        <w:rPr>
          <w:sz w:val="20"/>
          <w:szCs w:val="20"/>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future growth and our ability to manage such growth;</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obtain regulatory approval for and commercialize TPST-1495 and TPST-1120 and our future product candidates;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regulatory approval, efficacy and commercialization of competing products;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sales and marketing capabilities or enter into agreements with third parties to market and sell our product candidates;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regulatory approval for our product candidates or future product candidates in the United States and in any foreign countries in which we make seek to do business;</w:t>
      </w:r>
    </w:p>
    <w:p>
      <w:pPr>
        <w:spacing w:after="0" w:line="209" w:lineRule="exact"/>
        <w:rPr>
          <w:rFonts w:ascii="Times New Roman" w:cs="Times New Roman" w:eastAsia="Times New Roman" w:hAnsi="Times New Roman"/>
          <w:sz w:val="12"/>
          <w:szCs w:val="12"/>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our board of directors, senior management, or operational personnel;</w:t>
      </w:r>
    </w:p>
    <w:p>
      <w:pPr>
        <w:spacing w:after="0" w:line="186" w:lineRule="exact"/>
        <w:rPr>
          <w:rFonts w:ascii="Times New Roman" w:cs="Times New Roman" w:eastAsia="Times New Roman" w:hAnsi="Times New Roman"/>
          <w:sz w:val="14"/>
          <w:szCs w:val="14"/>
          <w:color w:val="auto"/>
        </w:rPr>
      </w:pPr>
    </w:p>
    <w:p>
      <w:pPr>
        <w:ind w:left="740" w:hanging="243"/>
        <w:spacing w:after="0" w:line="264" w:lineRule="auto"/>
        <w:tabs>
          <w:tab w:leader="none" w:pos="7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integrate TempestTx, Inc. and Millendo Therapeutics, Inc. (now the Company) successfully and realize the anticipated benefits of the merger of the two entities, which closed in July 2021;</w:t>
      </w:r>
    </w:p>
    <w:p>
      <w:pPr>
        <w:spacing w:after="0" w:line="15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the period during which we will qualify as a smaller reporting company under the federal securities laws;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740" w:hanging="243"/>
        <w:spacing w:after="0" w:line="264" w:lineRule="auto"/>
        <w:tabs>
          <w:tab w:leader="none" w:pos="7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remediate our existing material weakness and to design and maintain an effective system of internal controls;</w:t>
      </w:r>
    </w:p>
    <w:p>
      <w:pPr>
        <w:spacing w:after="0" w:line="15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capital requirements; and</w:t>
      </w:r>
    </w:p>
    <w:p>
      <w:pPr>
        <w:spacing w:after="0" w:line="186" w:lineRule="exact"/>
        <w:rPr>
          <w:rFonts w:ascii="Times New Roman" w:cs="Times New Roman" w:eastAsia="Times New Roman" w:hAnsi="Times New Roman"/>
          <w:sz w:val="14"/>
          <w:szCs w:val="14"/>
          <w:color w:val="auto"/>
        </w:rPr>
      </w:pPr>
    </w:p>
    <w:p>
      <w:pPr>
        <w:ind w:left="740" w:hanging="243"/>
        <w:spacing w:after="0" w:line="264" w:lineRule="auto"/>
        <w:tabs>
          <w:tab w:leader="none" w:pos="7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Unless the context suggests otherwise, references in this Quarterly Report on Form 10-Q to “Tempest,” “the Company,” “we,” “us,” and “our” refer to Tempest Therapeutics, Inc. and, where appropriate, its subsidiaries.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3"/>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9"/>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6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recovery of legal settlement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r>
      <w:tr>
        <w:trPr>
          <w:trHeight w:val="173"/>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68,307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68,963</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4"/>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5"/>
        </w:trPr>
        <w:tc>
          <w:tcPr>
            <w:tcW w:w="77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legal settlement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loan payable</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3"/>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20,026</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discount and issuance costs of $524 and $756,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w:t>
            </w: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37,121</w:t>
            </w:r>
          </w:p>
        </w:tc>
      </w:tr>
      <w:tr>
        <w:trPr>
          <w:trHeight w:val="16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71"/>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$0.001 par value per share; 100,000,000 shares authorized at June 30, 2022 and December 31, 2021; 10,325,359 and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6,910,324 shares issued and outstanding at June 30, 2022 and December 31, 2021, respectively</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136,173</w:t>
            </w:r>
          </w:p>
        </w:tc>
      </w:tr>
      <w:tr>
        <w:trPr>
          <w:trHeight w:val="183"/>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(100,063)</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36,117</w:t>
            </w:r>
          </w:p>
        </w:tc>
      </w:tr>
      <w:tr>
        <w:trPr>
          <w:trHeight w:val="194"/>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692"/>
        </w:trPr>
        <w:tc>
          <w:tcPr>
            <w:tcW w:w="880" w:type="dxa"/>
            <w:vAlign w:val="bottom"/>
            <w:tcBorders>
              <w:top w:val="single" w:sz="8" w:color="0000FF"/>
            </w:tcBorders>
          </w:tcPr>
          <w:p>
            <w:pPr>
              <w:spacing w:after="0"/>
              <w:rPr>
                <w:sz w:val="24"/>
                <w:szCs w:val="24"/>
                <w:color w:val="auto"/>
              </w:rPr>
            </w:pPr>
          </w:p>
        </w:tc>
        <w:tc>
          <w:tcPr>
            <w:tcW w:w="3160" w:type="dxa"/>
            <w:vAlign w:val="bottom"/>
          </w:tcPr>
          <w:p>
            <w:pPr>
              <w:spacing w:after="0"/>
              <w:rPr>
                <w:sz w:val="24"/>
                <w:szCs w:val="24"/>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TEMPEST THERAPEUTICS,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3"/>
        </w:trPr>
        <w:tc>
          <w:tcPr>
            <w:tcW w:w="8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3"/>
        </w:trPr>
        <w:tc>
          <w:tcPr>
            <w:tcW w:w="8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1"/>
        </w:trPr>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9"/>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79"/>
        </w:trPr>
        <w:tc>
          <w:tcPr>
            <w:tcW w:w="8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00" w:type="dxa"/>
            <w:vAlign w:val="bottom"/>
          </w:tcPr>
          <w:p>
            <w:pPr>
              <w:spacing w:after="0"/>
              <w:rPr>
                <w:sz w:val="15"/>
                <w:szCs w:val="15"/>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660" w:type="dxa"/>
            <w:vAlign w:val="bottom"/>
          </w:tcPr>
          <w:p>
            <w:pPr>
              <w:spacing w:after="0"/>
              <w:rPr>
                <w:sz w:val="15"/>
                <w:szCs w:val="15"/>
                <w:color w:val="auto"/>
              </w:rPr>
            </w:pPr>
          </w:p>
        </w:tc>
      </w:tr>
      <w:tr>
        <w:trPr>
          <w:trHeight w:val="174"/>
        </w:trPr>
        <w:tc>
          <w:tcPr>
            <w:tcW w:w="88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183"/>
        </w:trPr>
        <w:tc>
          <w:tcPr>
            <w:tcW w:w="4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60" w:type="dxa"/>
            <w:vAlign w:val="bottom"/>
          </w:tcPr>
          <w:p>
            <w:pPr>
              <w:spacing w:after="0"/>
              <w:rPr>
                <w:sz w:val="15"/>
                <w:szCs w:val="15"/>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7,821</w:t>
            </w:r>
          </w:p>
        </w:tc>
      </w:tr>
      <w:tr>
        <w:trPr>
          <w:trHeight w:val="21"/>
        </w:trPr>
        <w:tc>
          <w:tcPr>
            <w:tcW w:w="40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4"/>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r>
      <w:tr>
        <w:trPr>
          <w:trHeight w:val="173"/>
        </w:trPr>
        <w:tc>
          <w:tcPr>
            <w:tcW w:w="4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Loss from operations</w:t>
            </w:r>
          </w:p>
        </w:tc>
        <w:tc>
          <w:tcPr>
            <w:tcW w:w="2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w:t>
            </w:r>
          </w:p>
        </w:tc>
      </w:tr>
      <w:tr>
        <w:trPr>
          <w:trHeight w:val="21"/>
        </w:trPr>
        <w:tc>
          <w:tcPr>
            <w:tcW w:w="40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 net:</w:t>
            </w:r>
          </w:p>
        </w:tc>
        <w:tc>
          <w:tcPr>
            <w:tcW w:w="2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83"/>
        </w:trPr>
        <w:tc>
          <w:tcPr>
            <w:tcW w:w="4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21"/>
        </w:trPr>
        <w:tc>
          <w:tcPr>
            <w:tcW w:w="40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4"/>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2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3"/>
        </w:trPr>
        <w:tc>
          <w:tcPr>
            <w:tcW w:w="4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2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1"/>
        </w:trPr>
        <w:tc>
          <w:tcPr>
            <w:tcW w:w="4040" w:type="dxa"/>
            <w:vAlign w:val="bottom"/>
            <w:tcBorders>
              <w:bottom w:val="single" w:sz="8" w:color="CCEEFF"/>
            </w:tcBorders>
            <w:gridSpan w:val="2"/>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(12,413)</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of common stock, basic and diluted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6"/>
              </w:rPr>
              <w:t>Weighted-average shares of common stock outstanding, basic and diluted</w:t>
            </w: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11,573,432</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925,432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9,382,515</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717,618</w:t>
            </w: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660"/>
          </w:cols>
          <w:pgMar w:left="540" w:top="308" w:right="6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7"/>
        </w:trPr>
        <w:tc>
          <w:tcPr>
            <w:tcW w:w="88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3280" w:type="dxa"/>
            <w:vAlign w:val="bottom"/>
            <w:gridSpan w:val="7"/>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rPr>
              <w:t>TEMPEST THERAPEUTICS, INC.</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500" w:type="dxa"/>
            <w:vAlign w:val="bottom"/>
            <w:gridSpan w:val="10"/>
          </w:tcPr>
          <w:p>
            <w:pPr>
              <w:jc w:val="center"/>
              <w:ind w:left="25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80" w:type="dxa"/>
            <w:vAlign w:val="bottom"/>
            <w:gridSpan w:val="7"/>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Three Months Ended June 30, 2022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99"/>
              <w:spacing w:after="0" w:line="13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1"/>
                <w:szCs w:val="11"/>
                <w:color w:val="auto"/>
              </w:rPr>
            </w:pPr>
          </w:p>
        </w:tc>
        <w:tc>
          <w:tcPr>
            <w:tcW w:w="960" w:type="dxa"/>
            <w:vAlign w:val="bottom"/>
          </w:tcPr>
          <w:p>
            <w:pPr>
              <w:jc w:val="center"/>
              <w:ind w:right="79"/>
              <w:spacing w:after="0" w:line="13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2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69"/>
        </w:trPr>
        <w:tc>
          <w:tcPr>
            <w:tcW w:w="88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March 31, 2022</w:t>
            </w:r>
          </w:p>
        </w:tc>
        <w:tc>
          <w:tcPr>
            <w:tcW w:w="2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7,173,094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137,904</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29,357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for cash, net of issuance cost of $343</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3,152,265</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7,092</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7,095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367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pre-funded warrants, net of issuance cost of $283</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7,281</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7,281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(9,168)</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(9,168)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 June 30, 2022</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10,325,359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152,644</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(117,722)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34,932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June 30, 2021</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5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8"/>
        </w:trPr>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24"/>
                <w:szCs w:val="24"/>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67"/>
        </w:trPr>
        <w:tc>
          <w:tcPr>
            <w:tcW w:w="88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7"/>
              </w:rPr>
              <w:t>Paid-In 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March 31, 2021</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514,508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3,164</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(73,951)</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6,285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early exercised stock options</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Conversion of preferred stock to common stock</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3,692,912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86,703</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86,707</w:t>
            </w: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for cash</w:t>
            </w:r>
          </w:p>
        </w:tc>
        <w:tc>
          <w:tcPr>
            <w:tcW w:w="2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1,136,849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30,010</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411</w:t>
            </w: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Reverse recapitalization transaction costs</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(6,074)</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(6,074)</w:t>
            </w:r>
          </w:p>
        </w:tc>
        <w:tc>
          <w:tcPr>
            <w:tcW w:w="0" w:type="dxa"/>
            <w:vAlign w:val="bottom"/>
          </w:tcPr>
          <w:p>
            <w:pPr>
              <w:spacing w:after="0"/>
              <w:rPr>
                <w:sz w:val="1"/>
                <w:szCs w:val="1"/>
                <w:color w:val="auto"/>
              </w:rPr>
            </w:pPr>
          </w:p>
        </w:tc>
      </w:tr>
      <w:tr>
        <w:trPr>
          <w:trHeight w:val="163"/>
        </w:trPr>
        <w:tc>
          <w:tcPr>
            <w:tcW w:w="574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Record pre-merger Millendo stockholders’ equity and elimination of Millendo historical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accumulated deficit</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1,269,446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18,001</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(7,058)</w:t>
            </w:r>
          </w:p>
        </w:tc>
        <w:tc>
          <w:tcPr>
            <w:tcW w:w="0" w:type="dxa"/>
            <w:vAlign w:val="bottom"/>
          </w:tcPr>
          <w:p>
            <w:pPr>
              <w:spacing w:after="0"/>
              <w:rPr>
                <w:sz w:val="1"/>
                <w:szCs w:val="1"/>
                <w:color w:val="auto"/>
              </w:rPr>
            </w:pPr>
          </w:p>
        </w:tc>
      </w:tr>
      <w:tr>
        <w:trPr>
          <w:trHeight w:val="18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 June 30, 2021</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6,628,314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132,281</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(84,174)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48,114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460"/>
          </w:cols>
          <w:pgMar w:left="540" w:top="308"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88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3160" w:type="dxa"/>
            <w:vAlign w:val="bottom"/>
            <w:gridSpan w:val="5"/>
          </w:tcPr>
          <w:p>
            <w:pPr>
              <w:jc w:val="center"/>
              <w:ind w:left="599"/>
              <w:spacing w:after="0"/>
              <w:rPr>
                <w:sz w:val="20"/>
                <w:szCs w:val="20"/>
                <w:color w:val="auto"/>
              </w:rPr>
            </w:pPr>
            <w:r>
              <w:rPr>
                <w:rFonts w:ascii="Times New Roman" w:cs="Times New Roman" w:eastAsia="Times New Roman" w:hAnsi="Times New Roman"/>
                <w:sz w:val="12"/>
                <w:szCs w:val="12"/>
                <w:b w:val="1"/>
                <w:bCs w:val="1"/>
                <w:color w:val="auto"/>
              </w:rPr>
              <w:t>TEMPEST THERAPEUTICS,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540" w:type="dxa"/>
            <w:vAlign w:val="bottom"/>
            <w:gridSpan w:val="10"/>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160" w:type="dxa"/>
            <w:vAlign w:val="bottom"/>
            <w:gridSpan w:val="5"/>
          </w:tcPr>
          <w:p>
            <w:pPr>
              <w:jc w:val="center"/>
              <w:ind w:left="599"/>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Six Months Ended June 30, 2022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24"/>
                <w:szCs w:val="24"/>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67"/>
        </w:trPr>
        <w:tc>
          <w:tcPr>
            <w:tcW w:w="88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December 31, 2021</w:t>
            </w:r>
          </w:p>
        </w:tc>
        <w:tc>
          <w:tcPr>
            <w:tcW w:w="2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6,910,324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136,173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for cash, net of issuance cost of $387</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3,415,035</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8,495</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pre-funded warrants, net of issuance cost of $283</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7,281</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(17,659)</w:t>
            </w: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(17,659)</w:t>
            </w:r>
          </w:p>
        </w:tc>
        <w:tc>
          <w:tcPr>
            <w:tcW w:w="0" w:type="dxa"/>
            <w:vAlign w:val="bottom"/>
          </w:tcPr>
          <w:p>
            <w:pPr>
              <w:spacing w:after="0"/>
              <w:rPr>
                <w:sz w:val="1"/>
                <w:szCs w:val="1"/>
                <w:color w:val="auto"/>
              </w:rPr>
            </w:pPr>
          </w:p>
        </w:tc>
      </w:tr>
      <w:tr>
        <w:trPr>
          <w:trHeight w:val="18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 June 30, 2022</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10,325,359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152,644</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(117,722)</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Six Months Ended June 30, 2021</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5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8"/>
        </w:trPr>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24"/>
                <w:szCs w:val="24"/>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7"/>
              </w:rPr>
              <w:t>Total Stockholders'</w:t>
            </w:r>
          </w:p>
        </w:tc>
        <w:tc>
          <w:tcPr>
            <w:tcW w:w="0" w:type="dxa"/>
            <w:vAlign w:val="bottom"/>
          </w:tcPr>
          <w:p>
            <w:pPr>
              <w:spacing w:after="0"/>
              <w:rPr>
                <w:sz w:val="1"/>
                <w:szCs w:val="1"/>
                <w:color w:val="auto"/>
              </w:rPr>
            </w:pPr>
          </w:p>
        </w:tc>
      </w:tr>
      <w:tr>
        <w:trPr>
          <w:trHeight w:val="167"/>
        </w:trPr>
        <w:tc>
          <w:tcPr>
            <w:tcW w:w="88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December 31, 2020</w:t>
            </w:r>
          </w:p>
        </w:tc>
        <w:tc>
          <w:tcPr>
            <w:tcW w:w="2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498,224</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2,967</w:t>
            </w:r>
          </w:p>
        </w:tc>
        <w:tc>
          <w:tcPr>
            <w:tcW w:w="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10,654</w:t>
            </w:r>
          </w:p>
        </w:tc>
        <w:tc>
          <w:tcPr>
            <w:tcW w:w="540" w:type="dxa"/>
            <w:vAlign w:val="bottom"/>
          </w:tcPr>
          <w:p>
            <w:pPr>
              <w:spacing w:after="0"/>
              <w:rPr>
                <w:sz w:val="15"/>
                <w:szCs w:val="15"/>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Vesting of early exercised stock options</w:t>
            </w:r>
          </w:p>
        </w:tc>
        <w:tc>
          <w:tcPr>
            <w:tcW w:w="2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20,229</w:t>
            </w:r>
          </w:p>
        </w:tc>
        <w:tc>
          <w:tcPr>
            <w:tcW w:w="5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Conversion of preferred stock to common stock</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3,692,912</w:t>
            </w: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86,703</w:t>
            </w:r>
          </w:p>
        </w:tc>
        <w:tc>
          <w:tcPr>
            <w:tcW w:w="16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for cash</w:t>
            </w:r>
          </w:p>
        </w:tc>
        <w:tc>
          <w:tcPr>
            <w:tcW w:w="2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1,136,849</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30,009</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5"/>
                <w:szCs w:val="15"/>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16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Reverse recapitalization transaction costs</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(6,074)</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94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Record pre-merger Millendo stockholders’ equity and elimination of Millendo historical</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accumulated deficit</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1,269,446</w:t>
            </w:r>
          </w:p>
        </w:tc>
        <w:tc>
          <w:tcPr>
            <w:tcW w:w="5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w:t>
            </w:r>
          </w:p>
        </w:tc>
        <w:tc>
          <w:tcPr>
            <w:tcW w:w="16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 June 30, 2021</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6,628,314</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132,281</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(84,174)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3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340"/>
          </w:cols>
          <w:pgMar w:left="540" w:top="308"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32"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1"/>
          <w:szCs w:val="11"/>
          <w:b w:val="1"/>
          <w:bCs w:val="1"/>
          <w:color w:val="auto"/>
        </w:rPr>
        <w:t>For The Six Months</w:t>
      </w:r>
    </w:p>
    <w:p>
      <w:pPr>
        <w:spacing w:after="0" w:line="17"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1"/>
          <w:szCs w:val="11"/>
          <w:b w:val="1"/>
          <w:bCs w:val="1"/>
          <w:color w:val="auto"/>
        </w:rPr>
        <w:t>Ended June 30,</w:t>
      </w:r>
    </w:p>
    <w:p>
      <w:pPr>
        <w:spacing w:after="0" w:line="16"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7320" w:type="dxa"/>
            <w:vAlign w:val="bottom"/>
          </w:tcPr>
          <w:p>
            <w:pPr>
              <w:spacing w:after="0"/>
              <w:rPr>
                <w:sz w:val="13"/>
                <w:szCs w:val="13"/>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9"/>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12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interest and other expense, net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3"/>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83"/>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83"/>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73"/>
        </w:trPr>
        <w:tc>
          <w:tcPr>
            <w:tcW w:w="73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7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30,010</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pre-funded warrants, net of issuance costs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on loan payable</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loan issuance costs</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acquired in connection with reverse recapitalization</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reverse recapitalization transaction costs</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option exercises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3"/>
        </w:trPr>
        <w:tc>
          <w:tcPr>
            <w:tcW w:w="73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55,905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49,638</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Non-cash operating activities: </w:t>
            </w:r>
            <w:r>
              <w:rPr>
                <w:rFonts w:ascii="Times New Roman" w:cs="Times New Roman" w:eastAsia="Times New Roman" w:hAnsi="Times New Roman"/>
                <w:sz w:val="14"/>
                <w:szCs w:val="14"/>
                <w:color w:val="auto"/>
              </w:rPr>
              <w:t>Lease modification</w:t>
            </w: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Non-cash investing activities: </w:t>
            </w:r>
            <w:r>
              <w:rPr>
                <w:rFonts w:ascii="Times New Roman" w:cs="Times New Roman" w:eastAsia="Times New Roman" w:hAnsi="Times New Roman"/>
                <w:sz w:val="14"/>
                <w:szCs w:val="14"/>
                <w:color w:val="auto"/>
              </w:rPr>
              <w:t>Property and equipment in accounts payable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Vesting of early exercise stock options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660"/>
          </w:cols>
          <w:pgMar w:left="540" w:top="312"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TEMPEST THERAPEUTICS,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are in thousands, except share and per share data)</w:t>
      </w:r>
    </w:p>
    <w:p>
      <w:pPr>
        <w:spacing w:after="0" w:line="169" w:lineRule="exact"/>
        <w:rPr>
          <w:sz w:val="20"/>
          <w:szCs w:val="20"/>
          <w:color w:val="auto"/>
        </w:rPr>
      </w:pPr>
    </w:p>
    <w:p>
      <w:pPr>
        <w:ind w:left="260" w:hanging="253"/>
        <w:spacing w:after="0"/>
        <w:tabs>
          <w:tab w:leader="none" w:pos="2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DESCRIPTION OF THE BUSINESS</w:t>
      </w:r>
    </w:p>
    <w:p>
      <w:pPr>
        <w:spacing w:after="0" w:line="18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2"/>
          <w:szCs w:val="12"/>
          <w:b w:val="1"/>
          <w:bCs w:val="1"/>
          <w:color w:val="auto"/>
        </w:rPr>
        <w:t>Description of Business</w:t>
      </w:r>
      <w:r>
        <w:rPr>
          <w:rFonts w:ascii="Times New Roman" w:cs="Times New Roman" w:eastAsia="Times New Roman" w:hAnsi="Times New Roman"/>
          <w:sz w:val="12"/>
          <w:szCs w:val="12"/>
          <w:color w:val="auto"/>
        </w:rPr>
        <w:t>—Tempest Therapeutics, Inc. (“Tempest” or the “Company”) is a clinical-stage oncology company advancing small molecules that combine both tumor-targeted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immune-mediated mechanisms with the potential to treat a wide range of tumors. The Company’s two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 available inhibitor of TREX-1 designed to activate, selectively, the cGAS/STING pathway, an innate immune response pathway, important for the development of anti-tumor immunity. Tempest is headquartered in South San Francisco, California.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with Millendo</w:t>
      </w:r>
      <w:r>
        <w:rPr>
          <w:rFonts w:ascii="Times New Roman" w:cs="Times New Roman" w:eastAsia="Times New Roman" w:hAnsi="Times New Roman"/>
          <w:sz w:val="14"/>
          <w:szCs w:val="14"/>
          <w:color w:val="auto"/>
        </w:rPr>
        <w:t>—On March 29, 2021, TempestTx, Inc. (“Private Tempest”) entered into an Agreement and Plan of Merger (the “Merger Agreement”) with Millendo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(“Millendo”).</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w:t>
      </w:r>
    </w:p>
    <w:p>
      <w:pPr>
        <w:spacing w:after="0" w:line="1" w:lineRule="exact"/>
        <w:rPr>
          <w:sz w:val="20"/>
          <w:szCs w:val="20"/>
          <w:color w:val="auto"/>
        </w:rPr>
      </w:pPr>
    </w:p>
    <w:p>
      <w:pPr>
        <w:ind w:firstLine="7"/>
        <w:spacing w:after="0" w:line="247" w:lineRule="auto"/>
        <w:tabs>
          <w:tab w:leader="none" w:pos="1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Liquidity and Management Plans</w:t>
      </w:r>
      <w:r>
        <w:rPr>
          <w:rFonts w:ascii="Times New Roman" w:cs="Times New Roman" w:eastAsia="Times New Roman" w:hAnsi="Times New Roman"/>
          <w:sz w:val="14"/>
          <w:szCs w:val="14"/>
          <w:color w:val="auto"/>
        </w:rPr>
        <w:t>—The accompanying financial statements have been prepared assuming the Company will continue as a going concern. The Company has incurred operating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losses since inception. The Company’s ultimate success depends on the outcome of the ongoing research and development activities. The Company has not yet generated product sales and as a result has experienced operating losses since inception. The Company expects to incur additional losses in the future to conduct research and development and will need to raise additional capital to fully implement management’s business plan. The Company intends to raise such capital through the issuance of additional equity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61595</wp:posOffset>
            </wp:positionV>
            <wp:extent cx="719137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potentially through borrowings, strategic alliances with partner companies and other licensing transactions. However, if such financing is not available at adequate levels, the Company may need to reevaluate its operating plans. Management believes that its cash and cash equivalents as of June 30, 2022 will be sufficient to fund the Company’s cash requirements for the next 12 months following the issuance of these financial statements.</w:t>
      </w:r>
    </w:p>
    <w:p>
      <w:pPr>
        <w:spacing w:after="0" w:line="163"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(the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6" w:lineRule="exact"/>
        <w:rPr>
          <w:sz w:val="20"/>
          <w:szCs w:val="20"/>
          <w:color w:val="auto"/>
        </w:rPr>
      </w:pPr>
    </w:p>
    <w:p>
      <w:pPr>
        <w:jc w:val="both"/>
        <w:ind w:left="24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Significant Accounting Policies -- </w:t>
      </w:r>
      <w:r>
        <w:rPr>
          <w:rFonts w:ascii="Times New Roman" w:cs="Times New Roman" w:eastAsia="Times New Roman" w:hAnsi="Times New Roman"/>
          <w:sz w:val="14"/>
          <w:szCs w:val="14"/>
          <w:color w:val="auto"/>
        </w:rPr>
        <w:t>The Company’s significant accounting policies are described in Note 2, “Summary of Significant Accounting Policies,” in the Company’s Annual Report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 10-K filed with the U.S. Securities and Exchange Commission (“SEC”) on March 29, 2022. There have been no material changes to the significant accounting policies during the period ended June 30, 2022.</w:t>
      </w:r>
    </w:p>
    <w:p>
      <w:pPr>
        <w:spacing w:after="0" w:line="157"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4"/>
          <w:szCs w:val="14"/>
          <w:b w:val="1"/>
          <w:bCs w:val="1"/>
          <w:color w:val="auto"/>
        </w:rPr>
        <w:t>Basis of Presentation</w:t>
      </w:r>
      <w:r>
        <w:rPr>
          <w:rFonts w:ascii="Times New Roman" w:cs="Times New Roman" w:eastAsia="Times New Roman" w:hAnsi="Times New Roman"/>
          <w:sz w:val="14"/>
          <w:szCs w:val="14"/>
          <w:color w:val="auto"/>
        </w:rPr>
        <w:t>—The unaudited interim Condensed Consolidated Financial Statements have been prepared pursuant to the rules and regulations of the U.S. Securities and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Commission. Accordingly, certain information and footnote disclosures normally included in annual financial statements prepared in accordance with GAAP have been omitted. These unaudited interim Condensed Consolidated Financial Statements should be read in conjunction with the Company’s audited consolidated financial statements and notes included in the company’s Annual Report on Form 10-K for the year ended December 31, 2021.</w:t>
      </w:r>
    </w:p>
    <w:p>
      <w:pPr>
        <w:spacing w:after="0" w:line="165"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59" w:lineRule="exact"/>
        <w:rPr>
          <w:sz w:val="20"/>
          <w:szCs w:val="20"/>
          <w:color w:val="auto"/>
        </w:rPr>
      </w:pPr>
    </w:p>
    <w:p>
      <w:pPr>
        <w:jc w:val="both"/>
        <w:ind w:left="240"/>
        <w:spacing w:after="0" w:line="249" w:lineRule="auto"/>
        <w:rPr>
          <w:sz w:val="20"/>
          <w:szCs w:val="20"/>
          <w:color w:val="auto"/>
        </w:rPr>
      </w:pPr>
      <w:r>
        <w:rPr>
          <w:rFonts w:ascii="Times New Roman" w:cs="Times New Roman" w:eastAsia="Times New Roman" w:hAnsi="Times New Roman"/>
          <w:sz w:val="14"/>
          <w:szCs w:val="14"/>
          <w:b w:val="1"/>
          <w:bCs w:val="1"/>
          <w:color w:val="auto"/>
        </w:rPr>
        <w:t>Use of Estimates</w:t>
      </w: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liabilities,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MILLENDO MERGER</w:t>
      </w:r>
    </w:p>
    <w:p>
      <w:pPr>
        <w:spacing w:after="0" w:line="190"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Condensed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169" w:lineRule="exact"/>
        <w:rPr>
          <w:sz w:val="20"/>
          <w:szCs w:val="20"/>
          <w:color w:val="auto"/>
        </w:rPr>
      </w:pPr>
    </w:p>
    <w:p>
      <w:pPr>
        <w:jc w:val="both"/>
        <w:ind w:left="240"/>
        <w:spacing w:after="0" w:line="250" w:lineRule="auto"/>
        <w:rPr>
          <w:sz w:val="20"/>
          <w:szCs w:val="20"/>
          <w:color w:val="auto"/>
        </w:rPr>
      </w:pPr>
      <w:r>
        <w:rPr>
          <w:rFonts w:ascii="Times New Roman" w:cs="Times New Roman" w:eastAsia="Times New Roman" w:hAnsi="Times New Roman"/>
          <w:sz w:val="14"/>
          <w:szCs w:val="14"/>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the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has since wound down the legacy Millendo operations.</w:t>
      </w: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719137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incurred transaction costs of approximately $6.4 million and this amount is recorded in additional paid-in capital in the Condensed Consolidated Statements of Stockholders’ Equity for the year ended December 31,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Company’s fair value hierarchy for assets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6"/>
          </w:tcPr>
          <w:p>
            <w:pPr>
              <w:ind w:left="540"/>
              <w:spacing w:after="0"/>
              <w:rPr>
                <w:sz w:val="20"/>
                <w:szCs w:val="20"/>
                <w:color w:val="auto"/>
              </w:rPr>
            </w:pPr>
            <w:r>
              <w:rPr>
                <w:rFonts w:ascii="Times New Roman" w:cs="Times New Roman" w:eastAsia="Times New Roman" w:hAnsi="Times New Roman"/>
                <w:sz w:val="11"/>
                <w:szCs w:val="11"/>
                <w:b w:val="1"/>
                <w:bCs w:val="1"/>
                <w:color w:val="auto"/>
                <w:w w:val="96"/>
              </w:rPr>
              <w:t>June 30, 2022</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1"/>
                <w:szCs w:val="11"/>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51,621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3"/>
            <w:shd w:val="clear" w:color="auto" w:fill="CCEEFF"/>
          </w:tcPr>
          <w:p>
            <w:pPr>
              <w:jc w:val="center"/>
              <w:ind w:left="396"/>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51,621</w:t>
            </w: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51,621</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center"/>
              <w:ind w:left="516"/>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gridSpan w:val="2"/>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51,621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7"/>
          </w:tcPr>
          <w:p>
            <w:pPr>
              <w:ind w:left="4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1"/>
                <w:szCs w:val="11"/>
                <w:color w:val="auto"/>
              </w:rPr>
            </w:pPr>
          </w:p>
        </w:tc>
        <w:tc>
          <w:tcPr>
            <w:tcW w:w="920" w:type="dxa"/>
            <w:vAlign w:val="bottom"/>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3"/>
            <w:shd w:val="clear" w:color="auto" w:fill="CCEEFF"/>
          </w:tcPr>
          <w:p>
            <w:pPr>
              <w:jc w:val="center"/>
              <w:ind w:left="396"/>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51,829</w:t>
            </w: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center"/>
              <w:ind w:left="516"/>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gridSpan w:val="2"/>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51,829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gridSpan w:val="3"/>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research and development costs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603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778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4"/>
                <w:szCs w:val="14"/>
                <w:color w:val="auto"/>
              </w:rPr>
              <w:t>1,686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gridSpan w:val="3"/>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 equipment</w:t>
            </w: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1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w w:val="97"/>
              </w:rPr>
              <w:t>(1,044)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Depreciation expense for the three and six months ended June 30, 2022 were $112 and $220, respectively. Depreciation expense for the three and six months ended June 30, 2021 were $86 and $165,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liabilities consist of the following: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820" w:type="dxa"/>
            <w:vAlign w:val="bottom"/>
          </w:tcPr>
          <w:p>
            <w:pPr>
              <w:spacing w:after="0"/>
              <w:rPr>
                <w:sz w:val="12"/>
                <w:szCs w:val="1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74"/>
        </w:trPr>
        <w:tc>
          <w:tcPr>
            <w:tcW w:w="6820" w:type="dxa"/>
            <w:vAlign w:val="bottom"/>
          </w:tcPr>
          <w:p>
            <w:pPr>
              <w:spacing w:after="0"/>
              <w:rPr>
                <w:sz w:val="15"/>
                <w:szCs w:val="15"/>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6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liabilities</w:t>
            </w:r>
          </w:p>
        </w:tc>
        <w:tc>
          <w:tcPr>
            <w:tcW w:w="104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clinical trial liabilities</w:t>
            </w: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21"/>
        </w:trPr>
        <w:tc>
          <w:tcPr>
            <w:tcW w:w="6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COMMITMENTS AND CONTINGENCIES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Facilities Lease Agreements</w:t>
      </w:r>
      <w:r>
        <w:rPr>
          <w:rFonts w:ascii="Times New Roman" w:cs="Times New Roman" w:eastAsia="Times New Roman" w:hAnsi="Times New Roman"/>
          <w:sz w:val="14"/>
          <w:szCs w:val="14"/>
          <w:color w:val="auto"/>
        </w:rPr>
        <w:t>—In February 2019, the Company entered into a 5-year office lease agreement for a 9,780 square feet facility in South San Francisco, California (“SSF Lease”).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a result of the merger with Millendo, the Company assumed Millendo’s noncancelable operating leases for office space which have remaining lease terms of approximately 1.8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June 30, 2022.</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30, 2022 and December 31, 2021, the balance of the operating lease right-of-use assets were $1,553 and $3,051, respectively, and the related operating lease liabilities were $1,745 and $3,468 respectively, as shown in the accompanying Condensed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Rent expense was $345 and $704 for the three and six months ended June 30, 2022, respectively. Rent expense was $161 and $322 for the three and six months ended June 30, 2021,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2022, future minimum lease payments under the SSF Lease and Ann Arbor Leases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w:t>
            </w:r>
          </w:p>
        </w:tc>
        <w:tc>
          <w:tcPr>
            <w:tcW w:w="200" w:type="dxa"/>
            <w:vAlign w:val="bottom"/>
          </w:tcPr>
          <w:p>
            <w:pPr>
              <w:spacing w:after="0"/>
              <w:rPr>
                <w:sz w:val="12"/>
                <w:szCs w:val="12"/>
                <w:color w:val="auto"/>
              </w:rPr>
            </w:pP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Total Commitment</w:t>
            </w:r>
          </w:p>
        </w:tc>
      </w:tr>
      <w:tr>
        <w:trPr>
          <w:trHeight w:val="29"/>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(excluding the six months ended June 30, 2022)</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183"/>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73"/>
        </w:trPr>
        <w:tc>
          <w:tcPr>
            <w:tcW w:w="8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3"/>
        </w:trPr>
        <w:tc>
          <w:tcPr>
            <w:tcW w:w="8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Present value of operating lease obligations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21"/>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94"/>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obligations</w:t>
            </w: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January 2022, the Company entered into a new 8-year office lease agreement for a 20,116 square feet facility in Brisbane, California ("Brisbane Lease"). The lease is scheduled to commence in November 2022. Future minimum lease payments for the Brisbane Lease as of June 30, 2022 are as follows: $290 (2022), $1,748 (2023), $1,809 (2024), $1,872 (2025) and $10,009 (2026 and beyond).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Related to this Brisbane Lease agreement, the Company entered into a letter of credit with a bank to deposit $368 in a separate account that is restricted cash to serve as security rent deposit. This amount is included in other noncurrent assets in the accompanying Condensed Consolidated Balance Sheets as of June 30, 2022.</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Guarantees and Indemnifications</w:t>
      </w:r>
      <w:r>
        <w:rPr>
          <w:rFonts w:ascii="Times New Roman" w:cs="Times New Roman" w:eastAsia="Times New Roman" w:hAnsi="Times New Roman"/>
          <w:sz w:val="14"/>
          <w:szCs w:val="14"/>
          <w:color w:val="auto"/>
        </w:rPr>
        <w:t>—In the normal course of business, the Company enters into agreements that contain a variety of representations and provide for general indemnification.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exposure under these agreements is unknown because it involves claims that may be made against the Company in the future. To date, the Company has not paid any claims or been required to defend any action related to its indemnification obligations. As of June 30, 2022 and December 31, 2021, the Company does not have any material indemnification claims that were probable or reasonably possible and consequently has not recorded related liabilities.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55245</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both"/>
        <w:ind w:left="240"/>
        <w:spacing w:after="0" w:line="257" w:lineRule="auto"/>
        <w:rPr>
          <w:sz w:val="20"/>
          <w:szCs w:val="20"/>
          <w:color w:val="auto"/>
        </w:rPr>
      </w:pPr>
      <w:r>
        <w:rPr>
          <w:rFonts w:ascii="Times New Roman" w:cs="Times New Roman" w:eastAsia="Times New Roman" w:hAnsi="Times New Roman"/>
          <w:sz w:val="14"/>
          <w:szCs w:val="14"/>
          <w:b w:val="1"/>
          <w:bCs w:val="1"/>
          <w:color w:val="auto"/>
        </w:rPr>
        <w:t>Legal Proceedings—</w:t>
      </w:r>
      <w:r>
        <w:rPr>
          <w:rFonts w:ascii="Times New Roman" w:cs="Times New Roman" w:eastAsia="Times New Roman" w:hAnsi="Times New Roman"/>
          <w:sz w:val="14"/>
          <w:szCs w:val="14"/>
          <w:color w:val="auto"/>
        </w:rPr>
        <w:t>Liabilities for loss contingencies arising from claims, assessments, litigation, fines, penalties, and other sources are recorded when it is probable that a liability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61" w:lineRule="exact"/>
        <w:rPr>
          <w:sz w:val="20"/>
          <w:szCs w:val="20"/>
          <w:color w:val="auto"/>
        </w:rPr>
      </w:pPr>
    </w:p>
    <w:p>
      <w:pPr>
        <w:jc w:val="both"/>
        <w:ind w:left="240"/>
        <w:spacing w:after="0" w:line="250" w:lineRule="auto"/>
        <w:rPr>
          <w:sz w:val="20"/>
          <w:szCs w:val="20"/>
          <w:color w:val="auto"/>
        </w:rPr>
      </w:pPr>
      <w:r>
        <w:rPr>
          <w:rFonts w:ascii="Times New Roman" w:cs="Times New Roman" w:eastAsia="Times New Roman" w:hAnsi="Times New Roman"/>
          <w:sz w:val="14"/>
          <w:szCs w:val="14"/>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During a July 6, 2022 scheduling conference, the Court entered a case scheduling order. Defendants’ response to the complaint is due on September 16, 2022.</w:t>
      </w:r>
    </w:p>
    <w:p>
      <w:pPr>
        <w:spacing w:after="0" w:line="167"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will be funded entirely by insurance. All defendants expressly deny liability. On April 1, 2022, the Court preliminarily approved the settlement. The settlement remains subject to final approval. The amount of $15 million was recorded as Accrued legal settlement with the offsetting Insurance recovery of legal settlement in the accompanying Condensed Consolidated Balance Sheets as of June 30, 2022 and December 31, 2021.</w:t>
      </w:r>
    </w:p>
    <w:p>
      <w:pPr>
        <w:spacing w:after="0" w:line="169" w:lineRule="exact"/>
        <w:rPr>
          <w:sz w:val="20"/>
          <w:szCs w:val="20"/>
          <w:color w:val="auto"/>
        </w:rPr>
      </w:pPr>
    </w:p>
    <w:p>
      <w:pPr>
        <w:jc w:val="both"/>
        <w:ind w:left="240"/>
        <w:spacing w:after="0" w:line="305" w:lineRule="auto"/>
        <w:rPr>
          <w:sz w:val="20"/>
          <w:szCs w:val="20"/>
          <w:color w:val="auto"/>
        </w:rPr>
      </w:pPr>
      <w:r>
        <w:rPr>
          <w:rFonts w:ascii="Times New Roman" w:cs="Times New Roman" w:eastAsia="Times New Roman" w:hAnsi="Times New Roman"/>
          <w:sz w:val="12"/>
          <w:szCs w:val="12"/>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spacing w:after="0" w:line="136"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With respect to the two OvaScience matters described above (Cima v. Dipp and Chiu v. Dipp), the Company is unable to estimate potential losses, if any. However, the Company believes the matters are without merit, and that in light of applicable insurance, any material exposure to the Company is remote.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LOAN PAYABLE</w:t>
      </w:r>
    </w:p>
    <w:p>
      <w:pPr>
        <w:spacing w:after="0" w:line="190" w:lineRule="exact"/>
        <w:rPr>
          <w:sz w:val="20"/>
          <w:szCs w:val="20"/>
          <w:color w:val="auto"/>
        </w:rPr>
      </w:pPr>
    </w:p>
    <w:p>
      <w:pPr>
        <w:jc w:val="both"/>
        <w:ind w:left="240"/>
        <w:spacing w:after="0" w:line="247" w:lineRule="auto"/>
        <w:rPr>
          <w:sz w:val="20"/>
          <w:szCs w:val="20"/>
          <w:color w:val="auto"/>
        </w:rPr>
      </w:pPr>
      <w:r>
        <w:rPr>
          <w:rFonts w:ascii="Times New Roman" w:cs="Times New Roman" w:eastAsia="Times New Roman" w:hAnsi="Times New Roman"/>
          <w:sz w:val="14"/>
          <w:szCs w:val="14"/>
          <w:color w:val="auto"/>
        </w:rPr>
        <w:t>On January 15, 2021, the Company entered into a loan agreement with a lender to borrow a term loan amount of $35,000 to be funded in three tranches. Tranche A of $15,000 was wired to the Company on January 15, 2021. Tranche B of $10,000 expired on March 31, 2022.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recorded loan discounts totaling $898 and paid $95 of debt issuance costs. These amounts would be amortized as additional interest expense over the life of the loan. As of June 30, 2022, the balance of the loan payable (net of debt issuance costs) was $15,301, of which $2,000 was classified as current and $13,301 was classified as non-current. The carrying value of the loan approximates fair value (Level 2).</w:t>
      </w:r>
    </w:p>
    <w:p>
      <w:pPr>
        <w:spacing w:after="0" w:line="170"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For the three and six months ended June 30, 2022, total interest expense was $464 and $797, respectively. For the three and six months ended June 30, 2021, total interest expense was $276 and $507, respectively.</w:t>
      </w:r>
    </w:p>
    <w:p>
      <w:pPr>
        <w:spacing w:after="0" w:line="152" w:lineRule="exact"/>
        <w:rPr>
          <w:sz w:val="20"/>
          <w:szCs w:val="20"/>
          <w:color w:val="auto"/>
        </w:rPr>
      </w:pPr>
    </w:p>
    <w:p>
      <w:pPr>
        <w:ind w:left="240" w:right="8900" w:firstLine="7"/>
        <w:spacing w:after="0" w:line="607" w:lineRule="auto"/>
        <w:tabs>
          <w:tab w:leader="none" w:pos="376"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Convertible Preferred Stock</w:t>
      </w:r>
    </w:p>
    <w:p>
      <w:pPr>
        <w:ind w:left="240"/>
        <w:spacing w:after="0" w:line="264" w:lineRule="auto"/>
        <w:rPr>
          <w:sz w:val="20"/>
          <w:szCs w:val="20"/>
          <w:color w:val="auto"/>
        </w:rPr>
      </w:pPr>
      <w:r>
        <w:rPr>
          <w:rFonts w:ascii="Times New Roman" w:cs="Times New Roman" w:eastAsia="Times New Roman" w:hAnsi="Times New Roman"/>
          <w:sz w:val="14"/>
          <w:szCs w:val="14"/>
          <w:color w:val="auto"/>
        </w:rPr>
        <w:t>Prior to the merger with Millendo on June 25, 2021, Private Tempest had issued and outstanding convertible preferred stock. The authorized, issued and outstanding shares of the convertible preferred stock and liquidation preferences of Private Tempest as of December 31, 2020 and June 24, 2021 were as follows (in thousands, except share and per share amounts):</w:t>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13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Shares Issued and</w:t>
            </w:r>
          </w:p>
        </w:tc>
        <w:tc>
          <w:tcPr>
            <w:tcW w:w="130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Per Share Liquidation</w:t>
            </w: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Aggregate Liquidation</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Proceeds Net of</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3"/>
        </w:trPr>
        <w:tc>
          <w:tcPr>
            <w:tcW w:w="2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Series</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 Authorized</w:t>
            </w: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80" w:type="dxa"/>
            <w:vAlign w:val="bottom"/>
          </w:tcPr>
          <w:p>
            <w:pPr>
              <w:spacing w:after="0"/>
              <w:rPr>
                <w:sz w:val="12"/>
                <w:szCs w:val="12"/>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24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Issuance Cost</w:t>
            </w:r>
          </w:p>
        </w:tc>
        <w:tc>
          <w:tcPr>
            <w:tcW w:w="100" w:type="dxa"/>
            <w:vAlign w:val="bottom"/>
          </w:tcPr>
          <w:p>
            <w:pPr>
              <w:spacing w:after="0"/>
              <w:rPr>
                <w:sz w:val="12"/>
                <w:szCs w:val="12"/>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6"/>
              </w:rPr>
              <w:t>Net Carrying Value</w:t>
            </w:r>
          </w:p>
        </w:tc>
      </w:tr>
      <w:tr>
        <w:trPr>
          <w:trHeight w:val="29"/>
        </w:trPr>
        <w:tc>
          <w:tcPr>
            <w:tcW w:w="28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r>
      <w:tr>
        <w:trPr>
          <w:trHeight w:val="18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28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r>
      <w:tr>
        <w:trPr>
          <w:trHeight w:val="21"/>
        </w:trPr>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93,749,993</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72,499,993</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0.80</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r>
      <w:tr>
        <w:trPr>
          <w:trHeight w:val="173"/>
        </w:trPr>
        <w:tc>
          <w:tcPr>
            <w:tcW w:w="280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135,936,731</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114,686,731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100,187</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99,414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86,706</w:t>
            </w:r>
          </w:p>
        </w:tc>
      </w:tr>
      <w:tr>
        <w:trPr>
          <w:trHeight w:val="21"/>
        </w:trPr>
        <w:tc>
          <w:tcPr>
            <w:tcW w:w="2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June 30, 2022 and December 31, 2021, the Company was authorized to issue 100,000,000 shares of common stock and 5,000,000 shares of preferred stock, each with a par value of $0.001 per share. Of the common stock shares authorized, 10,325,359 and 6,910,324 were issued and outstanding at June 30, 2022 and December 31, 2021,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 preferred stock issued nor outstanding as of June 30, 2022 and December 31, 2021.</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ATM Program</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23, 2021, the Company entered into a sales agreement with Jefferies LLC, pursuant to which the Company may sell, from time to time, up to an aggregate sales price of $100,000,000 of its common stock through Jefferies LLC (the "ATM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2022, the Company completed a PIPE financing, which included the issuance of pre-funded warrants to purchase up to 3,206,020 shares of its common stock at a price per pre-funded warrant of $2.359 to the PIPE Investors.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w:t>
      </w:r>
    </w:p>
    <w:p>
      <w:pPr>
        <w:spacing w:after="0" w:line="165" w:lineRule="exact"/>
        <w:rPr>
          <w:sz w:val="20"/>
          <w:szCs w:val="20"/>
          <w:color w:val="auto"/>
        </w:rPr>
      </w:pPr>
    </w:p>
    <w:p>
      <w:pPr>
        <w:ind w:right="8540" w:firstLine="7"/>
        <w:spacing w:after="0" w:line="520" w:lineRule="auto"/>
        <w:tabs>
          <w:tab w:leader="none" w:pos="13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Equity Plans</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2011, Private Tempest adopted the 2011 Equity Incentive Plan (the “2011 Plan), and in 2017, Private Tempest adopted the 2017 Equity Incentive Plan (the “2017 Plan”), and together with the 2011 Plan, “the Tempest Equity Plans”. Upon adoption of the 2017 Plan, the 2011 Plan was terminated.</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Board of Millendo adopted the 2019 Equity Incentive Plan (the “2019 Plan”) on April 29, 2019, subject to approval by the Company’s stockholders, and became effective with such stockholder approval on June 11, 2019. As a result of the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left="240"/>
        <w:spacing w:after="0" w:line="250" w:lineRule="auto"/>
        <w:rPr>
          <w:sz w:val="20"/>
          <w:szCs w:val="20"/>
          <w:color w:val="auto"/>
        </w:rPr>
      </w:pPr>
      <w:r>
        <w:rPr>
          <w:rFonts w:ascii="Times New Roman" w:cs="Times New Roman" w:eastAsia="Times New Roman" w:hAnsi="Times New Roman"/>
          <w:sz w:val="14"/>
          <w:szCs w:val="14"/>
          <w:color w:val="auto"/>
        </w:rPr>
        <w:t>merger, the Tempest Equity Plans were assumed by the Company. The number of shares of the Company's common stock reserved for issuance under the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of Directors. On January 1, 2022, the common stock reserved for issuance was increased by 276,412 shares.</w:t>
      </w:r>
    </w:p>
    <w:p>
      <w:pPr>
        <w:spacing w:after="0" w:line="167"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On June 17, 2022, the Company’s stockholders approved the Amended and Restated 2019 Equity Incentive Plan (the “A&amp;R 2019 Plan”), which amends and restates the 2019 Plan and will be a successor to, and replacement of, the 2019 Plan. The A&amp;R 2019 Plan had been adopted by the Company’s Board of Directors and one of the material changes was to increase the number of shares available for issuance by 1,132,252. The A&amp;R 2019 Plan still includes the annual evergreen provision of automatically increasing on January 1st of each year the number of option shares available for issuance by 4% of the total number of shares of the Company's common stock outstanding on December 31 of the preceding calendar year, or a lesser number of shares as may be determined by the Board of Directors.</w:t>
      </w:r>
    </w:p>
    <w:p>
      <w:pPr>
        <w:spacing w:after="0" w:line="169"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Both the 2017 Plan and the A&amp;R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Company measures employee and non-employee stock-based awards at grant date fair value and records compensation expense on a straight-line basis over the vesting period of the award.</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June 30, 2022, a total of 942,590 shares are available for future grant under the 2017 Plan and A&amp;R 2019 Plan.</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Employee Stock Ownership Plan</w:t>
      </w:r>
    </w:p>
    <w:p>
      <w:pPr>
        <w:spacing w:after="0" w:line="190"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The Board of Millendo adopted the 2019 Employee Stock Purchase Plan (the “2019 ESPP”) on April 29, 2019, subject to approval by the Company’s stockholders, and became effective with such stockholder approval on June 11, 2019. On June 17, 2022, the Company’s stockholders approved the Amended and Restated 2019 Employee Stock Purchase Plan (the “A&amp;R 2019 ESPP”), which amends and restates the 2019 ESPP. The A&amp;R 2019 ESPP had been adopted by the Board of Directors and includes the following material changes:</w:t>
      </w:r>
    </w:p>
    <w:p>
      <w:pPr>
        <w:spacing w:after="0" w:line="163" w:lineRule="exact"/>
        <w:rPr>
          <w:sz w:val="20"/>
          <w:szCs w:val="20"/>
          <w:color w:val="auto"/>
        </w:rPr>
      </w:pPr>
    </w:p>
    <w:p>
      <w:pPr>
        <w:ind w:left="480" w:hanging="233"/>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the number of shares available for issuance under the A&amp;R 2019 ESPP by 107,596 shares; and</w:t>
      </w:r>
    </w:p>
    <w:p>
      <w:pPr>
        <w:spacing w:after="0" w:line="14" w:lineRule="exact"/>
        <w:rPr>
          <w:rFonts w:ascii="Times New Roman" w:cs="Times New Roman" w:eastAsia="Times New Roman" w:hAnsi="Times New Roman"/>
          <w:sz w:val="14"/>
          <w:szCs w:val="14"/>
          <w:color w:val="auto"/>
        </w:rPr>
      </w:pPr>
    </w:p>
    <w:p>
      <w:pPr>
        <w:jc w:val="both"/>
        <w:ind w:left="500" w:hanging="253"/>
        <w:spacing w:after="0" w:line="243"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Modification of the calculation of the number of shares of our common stock added automatically on January 1 of each year beginning on January 1, 2023, and continuing through (and including) January 1, 2029, to be equal to the lesser of (i) 1.5% of the total number of shares of Common Stock outstanding on December 31st of the preceding calendar year or (ii) 500,000 shares of Common Stock.</w:t>
      </w:r>
    </w:p>
    <w:p>
      <w:pPr>
        <w:spacing w:after="0" w:line="1" w:lineRule="exact"/>
        <w:rPr>
          <w:sz w:val="20"/>
          <w:szCs w:val="20"/>
          <w:color w:val="auto"/>
        </w:rPr>
      </w:pPr>
    </w:p>
    <w:p>
      <w:pPr>
        <w:jc w:val="both"/>
        <w:ind w:left="240"/>
        <w:spacing w:after="0" w:line="247" w:lineRule="auto"/>
        <w:rPr>
          <w:sz w:val="20"/>
          <w:szCs w:val="20"/>
          <w:color w:val="auto"/>
        </w:rPr>
      </w:pPr>
      <w:r>
        <w:rPr>
          <w:rFonts w:ascii="Times New Roman" w:cs="Times New Roman" w:eastAsia="Times New Roman" w:hAnsi="Times New Roman"/>
          <w:sz w:val="14"/>
          <w:szCs w:val="14"/>
          <w:color w:val="auto"/>
        </w:rPr>
        <w:t>The A&amp;R 2019 ESPP enables employees to purchase shares of the Company’s common stock through offerings of rights to purchase the Company’s common stock to all eligible employees. As of June 30, 2022, 143,217 shares of common stock remained available for future issuance under the A&amp;R 2019 ESPP.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90"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63" w:lineRule="exact"/>
        <w:rPr>
          <w:sz w:val="20"/>
          <w:szCs w:val="20"/>
          <w:color w:val="auto"/>
        </w:rPr>
      </w:pPr>
    </w:p>
    <w:p>
      <w:pPr>
        <w:jc w:val="both"/>
        <w:ind w:left="240"/>
        <w:spacing w:after="0" w:line="248" w:lineRule="auto"/>
        <w:rPr>
          <w:sz w:val="20"/>
          <w:szCs w:val="20"/>
          <w:color w:val="auto"/>
        </w:rPr>
      </w:pPr>
      <w:r>
        <w:rPr>
          <w:rFonts w:ascii="Times New Roman" w:cs="Times New Roman" w:eastAsia="Times New Roman" w:hAnsi="Times New Roman"/>
          <w:sz w:val="14"/>
          <w:szCs w:val="14"/>
          <w:color w:val="auto"/>
        </w:rPr>
        <w:t>Prior to the merger, the grant date fair market value of the shares of common stock underlying stock options has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13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8"/>
        </w:trPr>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Table of Contents</w:t>
            </w:r>
          </w:p>
        </w:tc>
        <w:tc>
          <w:tcPr>
            <w:tcW w:w="4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The following shows the stock option activities for the six months ended June 30, 2022 and 2021:</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gridSpan w:val="2"/>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10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790,637</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893,527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0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gridSpan w:val="2"/>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Balance—June 30, 2022</w:t>
            </w:r>
          </w:p>
        </w:tc>
        <w:tc>
          <w:tcPr>
            <w:tcW w:w="10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1,649,461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0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452,165</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Assumed in reverse recapitalization</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186,482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10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Balance—June 30, 2021</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800,409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stock options outstanding at June 30, 2022:</w:t>
            </w: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4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2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4"/>
              </w:rPr>
              <w:t>(In Years)</w:t>
            </w:r>
          </w:p>
        </w:tc>
        <w:tc>
          <w:tcPr>
            <w:tcW w:w="2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1,649,461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1,649,461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9.03</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417,033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7.84</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six months ended June 30, 2022 and 2021, the Company granted employees and non-employees stock options to purchase 893,527 and 186,482 shares of common stock with a weighted-average grant date fair value of $2.81 and $12.70 per share, respectively. As of June 30, 2022 and 2021, total unrecognized compensation costs related to unvested employee stock options were $4,919 and $3,072, respectively. These costs are expected to be recognized over a weighted-average period of approximately 3.1 years and 1.6 years, respectively.</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stock options was estimated using the following assumptions for the six months ended June 30, 2022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60" w:type="dxa"/>
            <w:vAlign w:val="bottom"/>
          </w:tcPr>
          <w:p>
            <w:pPr>
              <w:spacing w:after="0"/>
              <w:rPr>
                <w:sz w:val="15"/>
                <w:szCs w:val="15"/>
                <w:color w:val="auto"/>
              </w:rPr>
            </w:pPr>
          </w:p>
        </w:tc>
        <w:tc>
          <w:tcPr>
            <w:tcW w:w="14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5.5 - 6.1</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6.0 - 6.1</w:t>
            </w:r>
          </w:p>
        </w:tc>
      </w:tr>
      <w:tr>
        <w:trPr>
          <w:trHeight w:val="18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- 112%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1"/>
        </w:trPr>
        <w:tc>
          <w:tcPr>
            <w:tcW w:w="6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- 3.4%</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- 1.1%</w:t>
            </w:r>
          </w:p>
        </w:tc>
      </w:tr>
      <w:tr>
        <w:trPr>
          <w:trHeight w:val="18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Expected Term</w:t>
      </w:r>
      <w:r>
        <w:rPr>
          <w:rFonts w:ascii="Times New Roman" w:cs="Times New Roman" w:eastAsia="Times New Roman" w:hAnsi="Times New Roman"/>
          <w:sz w:val="14"/>
          <w:szCs w:val="14"/>
          <w:color w:val="auto"/>
        </w:rPr>
        <w:t>—The expected term of options granted represents the period of time that the options are expected to be outstanding. Due to the lack of historical exercise history, the expected 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the Company’s employee stock options has been determined utilizing the simplified method for awards that qualify as plain-vanilla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Volatility</w:t>
      </w:r>
      <w:r>
        <w:rPr>
          <w:rFonts w:ascii="Times New Roman" w:cs="Times New Roman" w:eastAsia="Times New Roman" w:hAnsi="Times New Roman"/>
          <w:sz w:val="14"/>
          <w:szCs w:val="14"/>
          <w:color w:val="auto"/>
        </w:rPr>
        <w:t>—The expected stock price volatility assumption was determined by examining the historical volatilities for industry peers.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Risk-Free Interest Rate</w:t>
      </w:r>
      <w:r>
        <w:rPr>
          <w:rFonts w:ascii="Times New Roman" w:cs="Times New Roman" w:eastAsia="Times New Roman" w:hAnsi="Times New Roman"/>
          <w:sz w:val="14"/>
          <w:szCs w:val="14"/>
          <w:color w:val="auto"/>
        </w:rPr>
        <w:t>—The risk-free interest rate assumption is based on the U.S. Treasury instruments whose term was consistent with the expected term of the Company’s stock options.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08" w:right="55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both"/>
        <w:ind w:left="240" w:right="24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Dividends</w:t>
      </w:r>
      <w:r>
        <w:rPr>
          <w:rFonts w:ascii="Times New Roman" w:cs="Times New Roman" w:eastAsia="Times New Roman" w:hAnsi="Times New Roman"/>
          <w:sz w:val="14"/>
          <w:szCs w:val="14"/>
          <w:color w:val="auto"/>
        </w:rPr>
        <w:t>—The Company has not paid any cash dividends on common stock since inception and does not anticipate paying any dividends in the foreseeable future. Consequently, an expected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yield of zero was used.</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90" w:lineRule="exact"/>
        <w:rPr>
          <w:sz w:val="20"/>
          <w:szCs w:val="20"/>
          <w:color w:val="auto"/>
        </w:rPr>
      </w:pPr>
    </w:p>
    <w:p>
      <w:pPr>
        <w:jc w:val="both"/>
        <w:ind w:left="240" w:right="240"/>
        <w:spacing w:after="0" w:line="264" w:lineRule="auto"/>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recognized in the Company’s Condensed Consolidated Statement of Operations for the three and six months ended June 30, 2022:</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80" w:type="dxa"/>
            <w:vAlign w:val="bottom"/>
          </w:tcPr>
          <w:p>
            <w:pPr>
              <w:spacing w:after="0"/>
              <w:rPr>
                <w:sz w:val="12"/>
                <w:szCs w:val="12"/>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29"/>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35"/>
        </w:trPr>
        <w:tc>
          <w:tcPr>
            <w:tcW w:w="6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9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468</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w:t>
            </w:r>
          </w:p>
        </w:tc>
      </w:tr>
      <w:tr>
        <w:trPr>
          <w:trHeight w:val="20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367</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695</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10. RETIREMENT PLAN</w:t>
      </w:r>
    </w:p>
    <w:p>
      <w:pPr>
        <w:spacing w:after="0" w:line="190" w:lineRule="exact"/>
        <w:rPr>
          <w:sz w:val="20"/>
          <w:szCs w:val="20"/>
          <w:color w:val="auto"/>
        </w:rPr>
      </w:pPr>
    </w:p>
    <w:p>
      <w:pPr>
        <w:jc w:val="both"/>
        <w:ind w:left="240" w:right="240"/>
        <w:spacing w:after="0" w:line="254" w:lineRule="auto"/>
        <w:rPr>
          <w:sz w:val="20"/>
          <w:szCs w:val="20"/>
          <w:color w:val="auto"/>
        </w:rPr>
      </w:pPr>
      <w:r>
        <w:rPr>
          <w:rFonts w:ascii="Times New Roman" w:cs="Times New Roman" w:eastAsia="Times New Roman" w:hAnsi="Times New Roman"/>
          <w:sz w:val="14"/>
          <w:szCs w:val="14"/>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six months ended June 30, 2022, the Company contributed $37 and $61, respectively, to the 401(k) Plan. There was no contribution from the Company for the three and six months ended June 30,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NET LOSS PER SHARE</w:t>
      </w:r>
    </w:p>
    <w:p>
      <w:pPr>
        <w:spacing w:after="0" w:line="190" w:lineRule="exact"/>
        <w:rPr>
          <w:sz w:val="20"/>
          <w:szCs w:val="20"/>
          <w:color w:val="auto"/>
        </w:rPr>
      </w:pPr>
    </w:p>
    <w:p>
      <w:pPr>
        <w:jc w:val="both"/>
        <w:ind w:left="240" w:right="24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basis in diluted net loss per share for the three and six months ended June 30, 2022 and 2021 (in thousands, except share and per share amounts):</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220" w:type="dxa"/>
            <w:vAlign w:val="bottom"/>
          </w:tcPr>
          <w:p>
            <w:pPr>
              <w:spacing w:after="0"/>
              <w:rPr>
                <w:sz w:val="12"/>
                <w:szCs w:val="12"/>
                <w:color w:val="auto"/>
              </w:rPr>
            </w:pPr>
          </w:p>
        </w:tc>
        <w:tc>
          <w:tcPr>
            <w:tcW w:w="1800" w:type="dxa"/>
            <w:vAlign w:val="bottom"/>
            <w:gridSpan w:val="4"/>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29"/>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80" w:type="dxa"/>
            <w:vAlign w:val="bottom"/>
          </w:tcPr>
          <w:p>
            <w:pPr>
              <w:spacing w:after="0"/>
              <w:rPr>
                <w:sz w:val="15"/>
                <w:szCs w:val="15"/>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w:t>
            </w: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11,573,432</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937,300</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9,382,515</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733,679</w:t>
            </w: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Weighted-average unvested restricted shares and shares subject to repurchase</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and diluted net loss per share</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11,573,432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925,432</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9,382,515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717,618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stockholders—basic and diluted</w:t>
            </w:r>
          </w:p>
        </w:tc>
        <w:tc>
          <w:tcPr>
            <w:tcW w:w="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(0.79)</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(17.30)</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left="240" w:right="240"/>
        <w:spacing w:after="0" w:line="250" w:lineRule="auto"/>
        <w:rPr>
          <w:sz w:val="20"/>
          <w:szCs w:val="20"/>
          <w:color w:val="auto"/>
        </w:rPr>
      </w:pPr>
      <w:r>
        <w:rPr>
          <w:rFonts w:ascii="Times New Roman" w:cs="Times New Roman" w:eastAsia="Times New Roman" w:hAnsi="Times New Roman"/>
          <w:sz w:val="14"/>
          <w:szCs w:val="14"/>
          <w:color w:val="auto"/>
        </w:rPr>
        <w:t>As of June 30, 2022 and 2021, the Company’s potentially dilutive securities included outstanding convertible preferred stock, stock options, unvested restricted stock and stock warrants, which have been excluded from the computation of diluted net loss per share attributable to common stockholders as the effect would be anti-dilutive. Based on the amounts outstanding as of June 30, 2022 and 2021, the Company excluded the following potential common shares from the computation of diluted net loss per share attributable to common stockholders because including them would have had an anti-dilutive effect: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60" w:type="dxa"/>
            <w:vAlign w:val="bottom"/>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700" w:type="dxa"/>
            <w:vAlign w:val="bottom"/>
            <w:gridSpan w:val="2"/>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2021</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4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470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1,649,461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795,428</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470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6,036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1,655,497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15"/>
              <w:spacing w:after="0"/>
              <w:rPr>
                <w:sz w:val="20"/>
                <w:szCs w:val="20"/>
                <w:color w:val="auto"/>
              </w:rPr>
            </w:pPr>
            <w:r>
              <w:rPr>
                <w:rFonts w:ascii="Times New Roman" w:cs="Times New Roman" w:eastAsia="Times New Roman" w:hAnsi="Times New Roman"/>
                <w:sz w:val="14"/>
                <w:szCs w:val="14"/>
                <w:color w:val="auto"/>
              </w:rPr>
              <w:t>18</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our unaudited Interim Financial Statements and the notes thereto included elsewhere in this Quarterly Report on Form 10-Q.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three programs, TPST-1495, TPST-1120 and a third program targeting the three prime repair exonuclease ("TREX-1"). TPST-1495 is a dual antagonist of the EP2 and EP4 prostaglandin E2 receptors, and, to our knowledge, is the only such dual antagonist in clinical development. TPST-1495 is currently in a Phase 1 trial in solid tumors. Our second clinical program, TPST-1120, is a selective antagonist of peroxisome proliferator-activated receptor alpha (" PPARα"), and is also in a Phase 1 trial in solid tumors. Similar to TPST-1495, we believe TPST-1120 is the only PPARα antagonist in clinical development. We also have a third program in preclinical studies that could be the first to target TREX-1, a cellular enzyme that regulates the innate immune response in tumors.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from product sales. From inception to June 30, 2022, we have raised $164.4 million, through sales of common stock, convertible preferred stock and issuance of debt.</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never been profitable and has incurred operating losses in each period since inception. Our net losses were $17.7 million and $12.4 million for the six months ended June 30, 2022 and 2021, respectively. As of June 30, 2022, we had an accumulated deficit of $117.7 million. Substantially all of the operating losses resulted from expenses incurred in connection with our research and development programs and from general and administrative costs associated with our operations.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June 30, 2022, we had cash and cash equivalents of $51.6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Financing</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Limitation”); provided, however, that the holder may increase or decrease the Beneficial Ownership Limitation by giving 61 days’ notice, but not to any percentage in excess of 19.99%. We entered into a registration rights agreement (the “Registration Rights Agreement”) with the PIPE Investors pursuant to which we filed a registration statement with the SEC registering the resale of the 3,149,912 shares common stock and the 3,206,020 shares of common stock underlying the pre-funded warrants issued in the PIPE financing.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represent costs incurred to conduct research and development, such as the development of our product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all research and development costs as they are incurred. Research and development expenses consist primarily of the following:</w:t>
      </w:r>
    </w:p>
    <w:p>
      <w:pPr>
        <w:spacing w:after="0" w:line="186" w:lineRule="exact"/>
        <w:rPr>
          <w:sz w:val="20"/>
          <w:szCs w:val="20"/>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benefits and stock-based compensation;</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costs;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occupancy;</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materials and supplies;</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contracted research and manufacturing;</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consulting arrangements; and</w:t>
      </w:r>
    </w:p>
    <w:p>
      <w:pPr>
        <w:spacing w:after="0" w:line="186" w:lineRule="exact"/>
        <w:rPr>
          <w:rFonts w:ascii="Times New Roman" w:cs="Times New Roman" w:eastAsia="Times New Roman" w:hAnsi="Times New Roman"/>
          <w:sz w:val="14"/>
          <w:szCs w:val="14"/>
          <w:color w:val="auto"/>
        </w:rPr>
      </w:pPr>
    </w:p>
    <w:p>
      <w:pPr>
        <w:ind w:left="740" w:hanging="243"/>
        <w:spacing w:after="0"/>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incurred to advance our research and development activities.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9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income, net consists primarily of interest expense, interest income, and various income or expense items of a non-recurring nature.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2022 and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operating results for the three months ended June 30, 2022 and 2021:</w:t>
      </w:r>
    </w:p>
    <w:p>
      <w:pPr>
        <w:spacing w:after="0" w:line="2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17"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40" w:type="dxa"/>
            <w:vAlign w:val="bottom"/>
          </w:tcPr>
          <w:p>
            <w:pPr>
              <w:spacing w:after="0"/>
              <w:rPr>
                <w:sz w:val="13"/>
                <w:szCs w:val="13"/>
                <w:color w:val="auto"/>
              </w:rPr>
            </w:pP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7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5"/>
        </w:trPr>
        <w:tc>
          <w:tcPr>
            <w:tcW w:w="7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1"/>
                <w:szCs w:val="11"/>
                <w:color w:val="auto"/>
              </w:rPr>
            </w:pPr>
          </w:p>
        </w:tc>
      </w:tr>
      <w:tr>
        <w:trPr>
          <w:trHeight w:val="29"/>
        </w:trPr>
        <w:tc>
          <w:tcPr>
            <w:tcW w:w="7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tcPr>
          <w:p>
            <w:pPr>
              <w:spacing w:after="0"/>
              <w:rPr>
                <w:sz w:val="15"/>
                <w:szCs w:val="15"/>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w:t>
            </w:r>
          </w:p>
        </w:tc>
      </w:tr>
      <w:tr>
        <w:trPr>
          <w:trHeight w:val="21"/>
        </w:trPr>
        <w:tc>
          <w:tcPr>
            <w:tcW w:w="7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r>
      <w:tr>
        <w:trPr>
          <w:trHeight w:val="173"/>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6,785</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21"/>
        </w:trPr>
        <w:tc>
          <w:tcPr>
            <w:tcW w:w="7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research and development expenses for the three months ended June 30, 2022 and 2021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 increased by $1.5 million to $5.7 million for the three months ended June 30, 2022, compared to the prior year period. The following table summarizes our research and development expenses for the three months ended June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r>
      <w:tr>
        <w:trPr>
          <w:trHeight w:val="29"/>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35"/>
        </w:trPr>
        <w:tc>
          <w:tcPr>
            <w:tcW w:w="8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29"/>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35"/>
        </w:trPr>
        <w:tc>
          <w:tcPr>
            <w:tcW w:w="8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11"/>
                <w:szCs w:val="11"/>
                <w:color w:val="auto"/>
              </w:rPr>
            </w:pPr>
          </w:p>
        </w:tc>
      </w:tr>
      <w:tr>
        <w:trPr>
          <w:trHeight w:val="29"/>
        </w:trPr>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outside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21"/>
        </w:trPr>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21"/>
        </w:trPr>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increase in research and development expense of $1.5 million for the three months ended June 30, 2022, compared to the prior year period, was primarily attributable to expanded research and development efforts incurred from contract research organizations and third-party vendors, as well as compensation expenses due to an increase in employee headcount.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General and administrative expenses increased by $0.5 million to $3.1 million for the three months ended June 30, 2022, compared to the prior year period. </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he increase was primarily due to an increase of $0.3 million in insurance expense, as a result of operating as a publicly traded company.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three months ended June 30, 2022 and 2021, other (expense) income, net consisted of total interest expense of $464 thousand and $276 thousand, respectively, related to the Oxford Loan, and interest income of $70 thousand and $3 thousand,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2022 and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operating results for the six months ended June 30, 2022 and 2021:</w:t>
      </w:r>
    </w:p>
    <w:p>
      <w:pPr>
        <w:spacing w:after="0" w:line="2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1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4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5"/>
        </w:trPr>
        <w:tc>
          <w:tcPr>
            <w:tcW w:w="7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3"/>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1"/>
                <w:szCs w:val="11"/>
                <w:color w:val="auto"/>
              </w:rPr>
            </w:pPr>
          </w:p>
        </w:tc>
      </w:tr>
      <w:tr>
        <w:trPr>
          <w:trHeight w:val="29"/>
        </w:trPr>
        <w:tc>
          <w:tcPr>
            <w:tcW w:w="7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80" w:type="dxa"/>
            <w:vAlign w:val="bottom"/>
          </w:tcPr>
          <w:p>
            <w:pPr>
              <w:spacing w:after="0"/>
              <w:rPr>
                <w:sz w:val="15"/>
                <w:szCs w:val="15"/>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7,821</w:t>
            </w:r>
          </w:p>
        </w:tc>
      </w:tr>
      <w:tr>
        <w:trPr>
          <w:trHeight w:val="21"/>
        </w:trPr>
        <w:tc>
          <w:tcPr>
            <w:tcW w:w="7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r>
      <w:tr>
        <w:trPr>
          <w:trHeight w:val="173"/>
        </w:trPr>
        <w:tc>
          <w:tcPr>
            <w:tcW w:w="7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(11,912)</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21"/>
        </w:trPr>
        <w:tc>
          <w:tcPr>
            <w:tcW w:w="7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research and development expenses for the six months ended June 30, 2022 and 2021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 increased by $3.0 million to $10.8 million for the six months ended June 30, 2022. The following table summarizes our research and development expenses for the six months ended June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20" w:type="dxa"/>
            <w:vAlign w:val="bottom"/>
          </w:tcPr>
          <w:p>
            <w:pPr>
              <w:spacing w:after="0"/>
              <w:rPr>
                <w:sz w:val="12"/>
                <w:szCs w:val="12"/>
                <w:color w:val="auto"/>
              </w:rPr>
            </w:pPr>
          </w:p>
        </w:tc>
        <w:tc>
          <w:tcPr>
            <w:tcW w:w="1420" w:type="dxa"/>
            <w:vAlign w:val="bottom"/>
            <w:gridSpan w:val="5"/>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29"/>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35"/>
        </w:trPr>
        <w:tc>
          <w:tcPr>
            <w:tcW w:w="8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r>
      <w:tr>
        <w:trPr>
          <w:trHeight w:val="135"/>
        </w:trPr>
        <w:tc>
          <w:tcPr>
            <w:tcW w:w="8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4"/>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9"/>
        </w:trPr>
        <w:tc>
          <w:tcPr>
            <w:tcW w:w="8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outside services</w:t>
            </w: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r>
      <w:tr>
        <w:trPr>
          <w:trHeight w:val="18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1"/>
        </w:trPr>
        <w:tc>
          <w:tcPr>
            <w:tcW w:w="8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1"/>
        </w:trPr>
        <w:tc>
          <w:tcPr>
            <w:tcW w:w="8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4"/>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7,821</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increase in research and development expense of $3.0 million for the six months ended June 30, 2022, compared to the prior year period, was primarily attributable to expanded research and development efforts incurred from contract research organizations and third-party vendors, as well as compensation expenses due to an increase in employee headcount.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General and administrative expenses increased by $2.1 million to $6.2 million for the six months ended June 30, 2022, compared to the prior year period. </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he increase was primarily due to an increase of $1.2 million in professional and consulting fees and an increase of $0.6 million in insurance expense, as a result of operating as a publicly traded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income, net</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six months ended June 30, 2022 and 2021, other (expense) income, net consisted of total interest expense of $797 thousand and $507 thousand, respectively, related to the Oxford Loan, and interest income of $73 thousand and $6 thousand,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Since inception through June 30, 2022, our operations have been financed primarily by net cash proceeds from the sale of common stock, pre-funded warrants to purchase common stock, convertible preferred stock and issuance of debt. As of June 30, 2022, we had $51.6 million in cash and cash equivalents and an accumulated deficit of $117.7 million. We expect that our research and development and general and administrative expenses will increase, and, as a result, we anticipate that we will continue to incur increasing losses in the foreseeable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cash and cash equivalents as of June 30, 2022 will fund our ongoing working capital, investing, and financing requirements for at least the next 12 months.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January 15, 2021, we entered into a loan and security agreement with Oxford to borrow a term loan amount of $35.0 million to be funded in three tranches. Tranche A of $15.0 million was funded on January 15, 2021. Tranche B of $10.0 million expired on March 31, 2022. Tranche C of $10,000 is available at lender’s option. The term loan matures on August 1, 2025 and has an annual floating interest rate of 7.15% which is an index rate plus 7%. The index rate is the greater of (i) 30-day US LIBOR or (ii) 0.15%. As of June 30, 2022, the balance of the loan payable (net of debt issuance costs) was $15,301, of which $2,000 was classified as current and $13,301 was classified as non-current.</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23, 2021, we entered into a sales agreement with Jefferies LLC, pursuant to which we may sell, from time to time, up to an aggregate sales price of $100.0 million of our common stock through the Agent in a series of one or more ATM equity offerings (the “ATM Program”).</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2022, the Company completed a PIPE financing, which included the issuance of pre-funded warrants to purchase up to 3,206,020 shares of its common stock at a price per pre-funded warrant of $2.359 to the PIPE Investors. Net proceeds from the PIPE financings totaled approximately $14.5 million, after deducting offering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20" w:type="dxa"/>
            <w:vAlign w:val="bottom"/>
          </w:tcPr>
          <w:p>
            <w:pPr>
              <w:spacing w:after="0"/>
              <w:rPr>
                <w:sz w:val="12"/>
                <w:szCs w:val="12"/>
                <w:color w:val="auto"/>
              </w:rPr>
            </w:pPr>
          </w:p>
        </w:tc>
        <w:tc>
          <w:tcPr>
            <w:tcW w:w="2100" w:type="dxa"/>
            <w:vAlign w:val="bottom"/>
            <w:gridSpan w:val="4"/>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560" w:type="dxa"/>
            <w:vAlign w:val="bottom"/>
          </w:tcPr>
          <w:p>
            <w:pPr>
              <w:spacing w:after="0"/>
              <w:rPr>
                <w:sz w:val="12"/>
                <w:szCs w:val="12"/>
                <w:color w:val="auto"/>
              </w:rPr>
            </w:pPr>
          </w:p>
        </w:tc>
      </w:tr>
      <w:tr>
        <w:trPr>
          <w:trHeight w:val="29"/>
        </w:trPr>
        <w:tc>
          <w:tcPr>
            <w:tcW w:w="7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35"/>
        </w:trPr>
        <w:tc>
          <w:tcPr>
            <w:tcW w:w="74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Pr>
          <w:p>
            <w:pPr>
              <w:spacing w:after="0"/>
              <w:rPr>
                <w:sz w:val="11"/>
                <w:szCs w:val="11"/>
                <w:color w:val="auto"/>
              </w:rPr>
            </w:pPr>
          </w:p>
        </w:tc>
      </w:tr>
      <w:tr>
        <w:trPr>
          <w:trHeight w:val="29"/>
        </w:trPr>
        <w:tc>
          <w:tcPr>
            <w:tcW w:w="7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7"/>
        </w:trPr>
        <w:tc>
          <w:tcPr>
            <w:tcW w:w="7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ind w:right="336"/>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60" w:type="dxa"/>
            <w:vAlign w:val="bottom"/>
          </w:tcPr>
          <w:p>
            <w:pPr>
              <w:spacing w:after="0"/>
              <w:rPr>
                <w:sz w:val="14"/>
                <w:szCs w:val="14"/>
                <w:color w:val="auto"/>
              </w:rPr>
            </w:pPr>
          </w:p>
        </w:tc>
      </w:tr>
      <w:tr>
        <w:trPr>
          <w:trHeight w:val="19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7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(6,183)</w:t>
            </w:r>
          </w:p>
        </w:tc>
      </w:tr>
      <w:tr>
        <w:trPr>
          <w:trHeight w:val="18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1"/>
        </w:trPr>
        <w:tc>
          <w:tcPr>
            <w:tcW w:w="7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15,779</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55,905</w:t>
            </w:r>
          </w:p>
        </w:tc>
      </w:tr>
      <w:tr>
        <w:trPr>
          <w:trHeight w:val="194"/>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7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49,638</w:t>
            </w:r>
          </w:p>
        </w:tc>
      </w:tr>
      <w:tr>
        <w:trPr>
          <w:trHeight w:val="20"/>
        </w:trPr>
        <w:tc>
          <w:tcPr>
            <w:tcW w:w="7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Cash used in operating activities for the six months ended June 30, 2022 was $15.5 million, consisting of a net loss of $17.7 million, add back of non-cash adjustments for depreciation, stock-based compensation, non-cash operating lease expense and other non-cash items totaling $1.8 million, plus changes in operating assets and liabilities of $0.4 million.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Cash used in operating activities for the six months ended June 30, 2021 was $6.2 million consisting of a net loss of $12.4 million, add back of non-cash adjustments for depreciation, stock-based compensation, non-cash operating lease expense and other non-cash items totaling $1.2 million, plus changes in operating assets and liabilities of $5.0 million.</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90"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Cash used in investing activities for the six months ended June 30, 2022 and 2021 was related to purchases of property and equipment, primarily related to office, laboratory and computer equipment.</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90"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Cash provided by financing activities for the six months ended June 30, 2022 was $15.8 million, primarily related to proceeds from the issuance of common stock of $1.3 million from the ATM program, and issuance of common stock of $7.2 million and pre-funded warrants of $7.3 million related to the PIPE financing.</w:t>
      </w:r>
    </w:p>
    <w:p>
      <w:pPr>
        <w:spacing w:after="0" w:line="156"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Cash provided by financing activities for the six months period ended June 30, 2021 was $55.9 million consisting of (i) proceeds from Oxford Loan of $14.9 million (net of issuance costs), (ii) issuance of common stock of $30.0 million concurrent with closing of the merger with Millendo and (iii) cash brought over by Millendo as a result of the merger, offset by payment of reverse recapitalization costs of $6.1 million.</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190"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spacing w:after="0" w:line="163" w:lineRule="exact"/>
        <w:rPr>
          <w:sz w:val="20"/>
          <w:szCs w:val="20"/>
          <w:color w:val="auto"/>
        </w:rPr>
      </w:pPr>
    </w:p>
    <w:p>
      <w:pPr>
        <w:jc w:val="both"/>
        <w:ind w:left="240"/>
        <w:spacing w:after="0" w:line="310" w:lineRule="auto"/>
        <w:rPr>
          <w:sz w:val="20"/>
          <w:szCs w:val="20"/>
          <w:color w:val="auto"/>
        </w:rPr>
      </w:pPr>
      <w:r>
        <w:rPr>
          <w:rFonts w:ascii="Times New Roman" w:cs="Times New Roman" w:eastAsia="Times New Roman" w:hAnsi="Times New Roman"/>
          <w:sz w:val="14"/>
          <w:szCs w:val="14"/>
          <w:color w:val="auto"/>
        </w:rPr>
        <w:t>Our material cash requirements as of June 30, 2022 primarily relate to the maturities of the principal obligations under our long term debt, operating leases for office space, trade payables, and accrued expenses. As of June 30, 2022, we have $22.4 million payable within 12 months.</w:t>
      </w:r>
    </w:p>
    <w:p>
      <w:pPr>
        <w:spacing w:after="0" w:line="125" w:lineRule="exact"/>
        <w:rPr>
          <w:sz w:val="20"/>
          <w:szCs w:val="20"/>
          <w:color w:val="auto"/>
        </w:rPr>
      </w:pPr>
    </w:p>
    <w:p>
      <w:pPr>
        <w:jc w:val="both"/>
        <w:ind w:left="240"/>
        <w:spacing w:after="0" w:line="246" w:lineRule="auto"/>
        <w:rPr>
          <w:sz w:val="20"/>
          <w:szCs w:val="20"/>
          <w:color w:val="auto"/>
        </w:rPr>
      </w:pPr>
      <w:r>
        <w:rPr>
          <w:rFonts w:ascii="Times New Roman" w:cs="Times New Roman" w:eastAsia="Times New Roman" w:hAnsi="Times New Roman"/>
          <w:sz w:val="14"/>
          <w:szCs w:val="14"/>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See Note 2 to our Condensed Consolidated Financial Statements for a description of recent accounting pronouncements applicable to our Condensed Consolidated Financial Statements.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Smaller Reporting Company Status</w:t>
      </w:r>
    </w:p>
    <w:p>
      <w:pPr>
        <w:spacing w:after="0" w:line="109" w:lineRule="exact"/>
        <w:rPr>
          <w:sz w:val="20"/>
          <w:szCs w:val="20"/>
          <w:color w:val="auto"/>
        </w:rPr>
      </w:pPr>
    </w:p>
    <w:p>
      <w:pPr>
        <w:jc w:val="both"/>
        <w:ind w:left="240"/>
        <w:spacing w:after="0" w:line="250"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Controls and Procedures</w:t>
      </w:r>
    </w:p>
    <w:p>
      <w:pPr>
        <w:spacing w:after="0" w:line="3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137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June 30, 2022. Based on the evaluation of our disclosure controls and procedures as of June 30, 2022,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we have made improvements with respect to addressing such material weaknesses and will continue to execute on an existing plan to remedy them.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Control Over Financial Reporting</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preparing the financial statements as of and for the year ended December 31, 2020, our management identified material weaknesses in its internal control over financial reporting. The material weaknesses identified were as follows:</w:t>
      </w:r>
    </w:p>
    <w:p>
      <w:pPr>
        <w:spacing w:after="0" w:line="156" w:lineRule="exact"/>
        <w:rPr>
          <w:sz w:val="20"/>
          <w:szCs w:val="20"/>
          <w:color w:val="auto"/>
        </w:rPr>
      </w:pPr>
    </w:p>
    <w:p>
      <w:pPr>
        <w:ind w:left="260" w:hanging="8"/>
        <w:spacing w:after="0" w:line="264" w:lineRule="auto"/>
        <w:tabs>
          <w:tab w:leader="none" w:pos="44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spacing w:after="0" w:line="156" w:lineRule="exact"/>
        <w:rPr>
          <w:sz w:val="20"/>
          <w:szCs w:val="20"/>
          <w:color w:val="auto"/>
        </w:rPr>
      </w:pPr>
    </w:p>
    <w:p>
      <w:pPr>
        <w:jc w:val="both"/>
        <w:ind w:left="260"/>
        <w:spacing w:after="0" w:line="254" w:lineRule="auto"/>
        <w:rPr>
          <w:sz w:val="20"/>
          <w:szCs w:val="20"/>
          <w:color w:val="auto"/>
        </w:rPr>
      </w:pPr>
      <w:r>
        <w:rPr>
          <w:rFonts w:ascii="Times New Roman" w:cs="Times New Roman" w:eastAsia="Times New Roman" w:hAnsi="Times New Roman"/>
          <w:sz w:val="14"/>
          <w:szCs w:val="14"/>
          <w:color w:val="auto"/>
        </w:rPr>
        <w:t>(ii) There was a material weakness in our internal control activities due to a failure in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actual of our clinical trial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of Material Weaknesses in Internal Control over Financial Reporting</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under the supervision of our Chief Executive Officer, has undertaken a plan to remediate the material weaknesses identified above, including adjustment to the methodology used to reflect clinical trial expenses in our financial statements and leveraging additional accounting resources. The additional efforts summarized below are intended to finalize the remediation. Significant progress has been made towards implementing these initiatives and our management expects to complete these efforts in the third quarter of 2022.</w:t>
      </w:r>
    </w:p>
    <w:p>
      <w:pPr>
        <w:spacing w:after="0" w:line="163" w:lineRule="exact"/>
        <w:rPr>
          <w:sz w:val="20"/>
          <w:szCs w:val="20"/>
          <w:color w:val="auto"/>
        </w:rPr>
      </w:pPr>
    </w:p>
    <w:p>
      <w:pPr>
        <w:ind w:left="260" w:hanging="8"/>
        <w:spacing w:after="0" w:line="264" w:lineRule="auto"/>
        <w:tabs>
          <w:tab w:leader="none" w:pos="42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hired additional accounting personnel with appropriate experience, certification, education and training to help design, implement, document and operate effective internal controls over financial reporting; and</w:t>
      </w:r>
    </w:p>
    <w:p>
      <w:pPr>
        <w:spacing w:after="0" w:line="156" w:lineRule="exact"/>
        <w:rPr>
          <w:rFonts w:ascii="Times New Roman" w:cs="Times New Roman" w:eastAsia="Times New Roman" w:hAnsi="Times New Roman"/>
          <w:sz w:val="14"/>
          <w:szCs w:val="14"/>
          <w:color w:val="auto"/>
        </w:rPr>
      </w:pPr>
    </w:p>
    <w:p>
      <w:pPr>
        <w:ind w:left="260" w:hanging="8"/>
        <w:spacing w:after="0" w:line="264" w:lineRule="auto"/>
        <w:tabs>
          <w:tab w:leader="none" w:pos="46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finalize our internal control design, and implement management review controls to review clinical trial expenses and the completeness of our reserves based on the status of clinical development and the progress of expense incurred.</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management cannot assure you that the material weaknesses identified will be remediated on the timelines currently anticipated by us, or at all, or that there will not be additional material weaknesses or significant deficiencies in the future.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 existence of the material weaknesses as described above, we believe that the Consolidated Financial Statements in this Quarterly Report fairly present, in all material respects, our financial position, results of operations and cash flows as of the dates, and for the periods, presented, in conformity with GAAP.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Other than remediation measures associated with the material weaknesses discussed above, there were no changes in internal control over financial reporting during the quarter ended June 30, 2022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management, including our Chief Executive Officer and our Vice-President, Strategy and Finance,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pertaining to legal proceedings is provided in Note 6 to the Condensed Consolidated Financial Statements contained in this report and is incorporated by reference herein.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 of Selected Risks Associated with Our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discussed at length in the section titled "Risk Factors." Below is a summary of some of the risks and uncertainties as of the date of the filing of this Quarterly Report on Form 10-Q, any one of which could materially adversely affect our business, financial condition, operating results, and prospects. You should read this summary together with the more detailed description of each risk factor contained below.</w:t>
      </w:r>
    </w:p>
    <w:p>
      <w:pPr>
        <w:spacing w:after="0" w:line="163" w:lineRule="exact"/>
        <w:rPr>
          <w:sz w:val="20"/>
          <w:szCs w:val="20"/>
          <w:color w:val="auto"/>
        </w:rPr>
      </w:pPr>
    </w:p>
    <w:p>
      <w:pPr>
        <w:ind w:firstLine="7"/>
        <w:spacing w:after="0" w:line="349" w:lineRule="auto"/>
        <w:tabs>
          <w:tab w:leader="none" w:pos="24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09" w:lineRule="exact"/>
        <w:rPr>
          <w:rFonts w:ascii="Times New Roman" w:cs="Times New Roman" w:eastAsia="Times New Roman" w:hAnsi="Times New Roman"/>
          <w:sz w:val="12"/>
          <w:szCs w:val="12"/>
          <w:color w:val="auto"/>
        </w:rPr>
      </w:pPr>
    </w:p>
    <w:p>
      <w:pPr>
        <w:ind w:firstLine="7"/>
        <w:spacing w:after="0" w:line="264" w:lineRule="auto"/>
        <w:tabs>
          <w:tab w:leader="none" w:pos="2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could have an adverse effect on our clinical trials and financial results.</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and regulatory capabilities, and as a result, we may encounter difficulties in managing our growth, which could disrupt our operations.</w:t>
      </w:r>
    </w:p>
    <w:p>
      <w:pPr>
        <w:spacing w:after="0" w:line="18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expand our pipeline of product candidates and develop marketable products.</w:t>
      </w:r>
    </w:p>
    <w:p>
      <w:pPr>
        <w:spacing w:after="0" w:line="18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rely on third parties to manufacture our clinical product supplies, and we may have to rely on third parties to produce and process our product candidates,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476885</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firstLine="7"/>
        <w:spacing w:after="0" w:line="25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6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establish sales and marketing capabilities or enter into agreements with third parties to market and sell our product candidates, we may be unable to generate any revenues.</w:t>
      </w:r>
    </w:p>
    <w:p>
      <w:pPr>
        <w:spacing w:after="0" w:line="209" w:lineRule="exact"/>
        <w:rPr>
          <w:rFonts w:ascii="Times New Roman" w:cs="Times New Roman" w:eastAsia="Times New Roman" w:hAnsi="Times New Roman"/>
          <w:sz w:val="12"/>
          <w:szCs w:val="12"/>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finding strategic collaborators for continuing development of certain of our future product candidates or successfully commercializing or competing in the market for certain indications.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Food and Drug Administration (“FDA”) regulatory approval process is lengthy and time-consuming, and we may experience significant delays in the clinical development and regulatory approval of our product candidates.</w:t>
      </w:r>
    </w:p>
    <w:p>
      <w:pPr>
        <w:spacing w:after="0" w:line="156" w:lineRule="exact"/>
        <w:rPr>
          <w:rFonts w:ascii="Times New Roman" w:cs="Times New Roman" w:eastAsia="Times New Roman" w:hAnsi="Times New Roman"/>
          <w:sz w:val="14"/>
          <w:szCs w:val="14"/>
          <w:color w:val="auto"/>
        </w:rPr>
      </w:pPr>
    </w:p>
    <w:p>
      <w:pPr>
        <w:ind w:firstLine="7"/>
        <w:spacing w:after="0" w:line="264" w:lineRule="auto"/>
        <w:tabs>
          <w:tab w:leader="none" w:pos="24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and in-licensed patents and patent applications may not provide sufficient protection of our product candidates or result in any competitive advantage.</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the shares of our common stock has been and is likely to continue to be volatile, and purchasers of our common stock could incur substantial losses.</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executive officers, directors and principal stockholders have the ability to control or significantly influence all matters submitted to our stockholders for approval.</w:t>
      </w:r>
    </w:p>
    <w:p>
      <w:pPr>
        <w:spacing w:after="0" w:line="186"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proper and effective internal controls, our ability to produce accurate financial statements on a timely basis could be impaired.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Needs</w:t>
      </w:r>
    </w:p>
    <w:p>
      <w:pPr>
        <w:spacing w:after="0" w:line="18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incurred net losses of $17.7 million for the six months ended June 30, 2022. As of June 30, 2022, we had an accumulated deficit of $117.7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require substantial future capital in order to complete planned and future preclinical and clinical development for our product candidates and potentially commercialize these product candidates.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operating as a public company. Accordingly, we will need to obtain substantial additional funding in connection with our continuing operations before any commercial revenue may occur.</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have consumed significant amounts of cash since inception. Our future capital requirements will depend on many factors, including:</w:t>
      </w:r>
    </w:p>
    <w:p>
      <w:pPr>
        <w:spacing w:after="0" w:line="186" w:lineRule="exact"/>
        <w:rPr>
          <w:sz w:val="20"/>
          <w:szCs w:val="20"/>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scope, progress and results of discovery, preclinical development, laboratory testing and clinical trials for our product candidates;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manufacturing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the extent to which we enter into partnerships or other arrangements with third parties to further develop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fees associated with the discovery, acquisition or in-license of product candidates or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collaborations on favorable terms, if at all;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future commercialization activities, if any, including product sales, marketing, manufacturing and distribution, for any of our product candidates for which we receive marketing approval;</w:t>
      </w: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if any, received from commercial sales of our product candidates, should any of our product candidates receive marketing approval;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you to evaluate the success of our business to date and to assess our future viability.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connection with the preparation and audit of our financial statements as of and for the year ended December 31, 2020, a material weakness was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identified the following material weaknesses in our internal control over financial reporting:</w:t>
      </w:r>
    </w:p>
    <w:p>
      <w:pPr>
        <w:spacing w:after="0" w:line="174" w:lineRule="exact"/>
        <w:rPr>
          <w:sz w:val="20"/>
          <w:szCs w:val="20"/>
          <w:color w:val="auto"/>
        </w:rPr>
      </w:pPr>
    </w:p>
    <w:p>
      <w:pPr>
        <w:ind w:left="240" w:hanging="233"/>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sufficient resources with appropriate knowledge and expertise to design, implement, document and operate effective internal controls over financial reporting.</w:t>
      </w:r>
    </w:p>
    <w:p>
      <w:pPr>
        <w:spacing w:after="0" w:line="14" w:lineRule="exact"/>
        <w:rPr>
          <w:rFonts w:ascii="Times New Roman" w:cs="Times New Roman" w:eastAsia="Times New Roman" w:hAnsi="Times New Roman"/>
          <w:sz w:val="14"/>
          <w:szCs w:val="14"/>
          <w:color w:val="auto"/>
        </w:rPr>
      </w:pPr>
    </w:p>
    <w:p>
      <w:pPr>
        <w:ind w:left="260" w:hanging="253"/>
        <w:spacing w:after="0" w:line="247"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implement controls surrounding review of clinical trial expenses, including the evaluation of the terms of our clinical trial contracts. Specifically, we failed to properly review and evaluate the progress of expenses incurred in our clinical trial contracts that resulted in the inaccurate accrual of clinical trial expenses.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material weaknesses resulted in adjustments to our financial statements for the year ended December 31, 2020. Additionally, these material weaknesses could result in a misstatement of our accounts or disclosures that would result in a material misstatement of our annual or interim financial statements that would not be prevented or detected.</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actively recruiting additional accounting personnel with appropriate experience, certification, education and training as a component of our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are unable to successfully design and implement such controls, the material weaknesses identified may not be remediated and management may be required to record additional adjustments to our financial statements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carryforwards and tax credit carryforwards may be subject to limitations.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Public health threats could have an adverse effect on our clinical trials and financial </w:t>
      </w:r>
      <w:r>
        <w:rPr>
          <w:rFonts w:ascii="Times New Roman" w:cs="Times New Roman" w:eastAsia="Times New Roman" w:hAnsi="Times New Roman"/>
          <w:sz w:val="16"/>
          <w:szCs w:val="16"/>
          <w:b w:val="1"/>
          <w:bCs w:val="1"/>
          <w:i w:val="1"/>
          <w:iCs w:val="1"/>
          <w:color w:val="auto"/>
        </w:rPr>
        <w:t>results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face various risks related to epidemics, pandemics, and other outbreaks, including the ongoing COVID-19 pandemic, including newly discovered strains of the virus, which could adversely affect our ongoing or planned business operations. In particular, the ongoing COVID-19 pandemic has resulted in quarantines, restrictions on travel and other business and economic disruptions. We cannot presently predict the scope and severity of any future business shutdowns or disruptions, but if we or any of the third parties with whom we engage, including the partners and other third parties with whom we conduct business, were to experience shutdowns or other business disruptions, our ability to conduct our business in the manner and on the timelines presently planned could be materially and adversely impacted.</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COVID-19 could continue to disrupt production and cause delays in the supply and delivery of products used in our operations, may affect our operations, including the conduct of clinical studies, or the ability of regulatory bodies to grant approvals or supervise our candidates and products, may further divert the attention and efforts of the medical community to coping with the COVID-19 and disrupt the marketplace in which we operate and may have a material adverse effects on our operations. COVID-19 may also affect our employees and employees and operations at suppliers that may result in delays or disruptions in supply. Even after the COVID-19 pandemic has subsided, we may continue to experience an adverse impact to our business as a result of COVID-19’s global economic impact, including any recession that has occurred or may occur in the future and the uncertainty of the timing of the broader economic recovery to pre-pandemic levels.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and regulatory capabilities, and as a result, we may encounter difficulties in managing our growth, which could disrupt our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attract and retain highly skilled employees to succeed.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Brady, Dubensky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acquisitions or strategic alliances could disrupt our business and harm our financial condition and results of operations.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69" w:lineRule="exact"/>
        <w:rPr>
          <w:sz w:val="20"/>
          <w:szCs w:val="20"/>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efforts;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 into our organization;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 of laws, commercial disputes, tax liabilities and other known liabilities;</w:t>
      </w: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write-offs or charges;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Product Development and Regulatory Approval</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 or other jurisdictions.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TPST-1495 and TPST-1120 and our other product candidates depends on multiple factors, including:</w:t>
      </w:r>
    </w:p>
    <w:p>
      <w:pPr>
        <w:spacing w:after="0" w:line="186" w:lineRule="exact"/>
        <w:rPr>
          <w:sz w:val="20"/>
          <w:szCs w:val="20"/>
          <w:color w:val="auto"/>
        </w:rPr>
      </w:pPr>
    </w:p>
    <w:p>
      <w:pPr>
        <w:ind w:left="260" w:hanging="253"/>
        <w:spacing w:after="0" w:line="252"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Investigational New Drug applications or other regulatory applications, that allow commencement of our planned clinical trials or future clinical trials for our product candidates in relevant territories;</w:t>
      </w: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relationships with contract research organizations (“CROs”) and clinical sites for the clinical development of our product candidates, both in the United States and internationally;</w:t>
      </w: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arrangements with third-party contract manufacturing organizations (“CMOs”) for key materials used in our manufacturing processes and to establish backup sources for clinical and large-scale commercial supply;</w:t>
      </w:r>
    </w:p>
    <w:p>
      <w:pPr>
        <w:ind w:left="240" w:hanging="233"/>
        <w:spacing w:after="0"/>
        <w:tabs>
          <w:tab w:leader="none" w:pos="2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results from our clinical programs that are supportive of safety and efficacy and provide an acceptable risk-benefit profile for our product candidates in the intended patient populations;</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those necessary for pricing and reimbursement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patent and trade secret protection and regulatory exclusivity for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launch of our product candidates, if and when approved, whether alone or in collaboration with others;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and when approved, by patients, patient advocacy groups, third-party payors and the general medical community;</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compete with developers of other therapies available in the market;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adequate reimbursement from third-party payors for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or in-license additional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prosecution, maintenance, enforcement and defense of intellectual property rights and claims;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 continued acceptable safety profile of our product candidates following approval, including meeting any post-marketing commitments or requirements imposed by or agreed to with applicable regulatory authorities;</w:t>
      </w: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factors surrounding the approval process, such as government shutdowns; or</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Russia-Ukraine war, natural disasters including earthquakes, typhoons, floods and fires, and public health emergencies, such as the ongoing COVID-19 pandemic, or</w:t>
      </w:r>
    </w:p>
    <w:p>
      <w:pPr>
        <w:ind w:left="240" w:hanging="233"/>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enrollment of our clinical trials due to the ongoing COVID-19 pandemic.</w:t>
      </w:r>
    </w:p>
    <w:p>
      <w:pPr>
        <w:spacing w:after="0" w:line="1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experience difficulties in patient enrollment in our clinical trials for a variety of reasons, including, without limitation, the impact of the ongoing COVID-19 pandemic or other health threats.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63" w:lineRule="exact"/>
        <w:rPr>
          <w:sz w:val="20"/>
          <w:szCs w:val="20"/>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the infusion of our product candidates or trial completion.</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We intend to conduct a number of clinical trials for product candidates in the fields of cancer in geographies which are affected by the ongoing COVID-19 pandemic. We believe COVID-19 could have an impact on various aspects of our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government regulators, or other reasons related to the COVID-19 pandemic. It is unknown how long these pauses or disruptions could continue.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of TPST-1495 and TPST-1120 and our other product candidates may be delayed or refused for many reasons, including:</w:t>
      </w:r>
    </w:p>
    <w:p>
      <w:pPr>
        <w:spacing w:after="0" w:line="186" w:lineRule="exact"/>
        <w:rPr>
          <w:sz w:val="20"/>
          <w:szCs w:val="20"/>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the design or implementation of our clinical trials;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our product candidates are safe and effective for any of their proposed indications;</w:t>
      </w: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populations studied in clinical trials may not be sufficiently broad or representative to assure efficacy and safety in the populations for which we seek approval;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approval;</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facilities of third-party manufacturers with which we contract or procure certain service or raw materials, may not be adequate to support approval of our product candidates;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Furthermore, if we or others later identify undesirable side effects caused by our product candidates, several potentially significant negative consequences could result, including:</w:t>
      </w:r>
    </w:p>
    <w:p>
      <w:pPr>
        <w:spacing w:after="0" w:line="186" w:lineRule="exact"/>
        <w:rPr>
          <w:sz w:val="20"/>
          <w:szCs w:val="20"/>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suspend or withdraw approvals of such product candidate;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in the product labeling;</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candidate is administered or conduct additional clinical trials;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harm caused to patients;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and prospects significantly.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pipeline of product candidates and develop marketable products.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56" w:lineRule="exact"/>
        <w:rPr>
          <w:sz w:val="20"/>
          <w:szCs w:val="20"/>
          <w:color w:val="auto"/>
        </w:rPr>
      </w:pPr>
    </w:p>
    <w:p>
      <w:pPr>
        <w:ind w:left="240" w:hanging="233"/>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such product candidates, manufacturers or manufacturing processes;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or marketing of a product;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product distribution or use;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clinical trials;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any approved product from the market;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obtain regulatory approval in international jurisdictions would prevent us from marketing our product candidates outside the United States.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 and Manufacturing</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Even if a potential product displays a favorable efficacy and safety profile in preclinical studies and clinical trials, market acceptance of the product will not be fully known until after it is launched.</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3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rely on third parties to manufacture our clinical product supplies, and we may have to rely on third parties to produce and process our product candidates, if approved.</w:t>
      </w:r>
    </w:p>
    <w:p>
      <w:pPr>
        <w:spacing w:after="0" w:line="190"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163" w:lineRule="exact"/>
        <w:rPr>
          <w:sz w:val="20"/>
          <w:szCs w:val="20"/>
          <w:color w:val="auto"/>
        </w:rPr>
      </w:pPr>
    </w:p>
    <w:p>
      <w:pPr>
        <w:jc w:val="both"/>
        <w:ind w:left="260" w:hanging="253"/>
        <w:spacing w:after="0" w:line="249" w:lineRule="auto"/>
        <w:tabs>
          <w:tab w:leader="none" w:pos="2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third-party manufacturers might be unable to timely formulate and manufacture our product or produce the quantity and quality required to meet our clinical and commercial needs, if any.</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manufacturers may not be able to execute our manufacturing procedures appropriately.</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contract manufacturers may not perform as agreed or may not remain in the contract manufacturing business for the time required to supply our clinical trials or to successfully produce, store and distribute our products.</w:t>
      </w:r>
    </w:p>
    <w:p>
      <w:pPr>
        <w:ind w:left="260" w:hanging="253"/>
        <w:spacing w:after="0" w:line="284" w:lineRule="auto"/>
        <w:tabs>
          <w:tab w:leader="none" w:pos="25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own, or may have to share, the intellectual property rights to any improvements made by our third-party manufacturers in the manufacturing process for our products.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could breach or terminate their agreement(s) with us.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also experience delays in obtaining regulatory approvals, including but not limited to:</w:t>
      </w:r>
    </w:p>
    <w:p>
      <w:pPr>
        <w:spacing w:after="0" w:line="186" w:lineRule="exact"/>
        <w:rPr>
          <w:sz w:val="20"/>
          <w:szCs w:val="20"/>
          <w:color w:val="auto"/>
        </w:rPr>
      </w:pP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regulatory authorization to begin a trial, if applicable;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study protocols and needing to conduct additional studies as may be required by a regulator;</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delays and changes in regulation or policy relating to the development and commercialization of our product candidate by the FDA or other comparable foreign regulatory authorities;</w:t>
      </w:r>
    </w:p>
    <w:p>
      <w:pPr>
        <w:ind w:left="240" w:hanging="233"/>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and other comparable foreign regulatory authorities;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financial resources to commence and complete the planned trials;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the terms of any collaboration agreements we may choose to initiate or conclude;</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with prospective CROs and clinical trial sites, the terms of which can be subject to extensive negotiation and may vary significantly among different CROs and trial sites;</w:t>
      </w: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third-party contractors, such as CROs, or investigators to comply with regulatory requirements, including GCPs;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enroll suitable patients to participate in a trial;</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patients complete a trial, including having patients enrolled in clinical trials dropping out of the trial before the product candidate is manufactured and returned to the site, or return for post-treatment follow-up;</w:t>
      </w: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having patients complete a trial or return for post-treatment follow-up;</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deviating from trial protocol or dropping out of a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patient safety concerns that arise during the course of a trial;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add new clinical trial sites;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the data generated from our preclinical or clinical trials;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establishing, expanding and scaling manufacturing capabilities;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or obtain from third parties, sufficient quantities of qualified materials under cGMP, for the completion in pre-clinical and clinical studies;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with biopharmaceutical product candidate storage, stability and distribution resulting in global supply chain disruptions;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 for which we may receive regulatory approval in regions where we choose to commercialize our products on our own; or</w:t>
      </w:r>
    </w:p>
    <w:p>
      <w:pPr>
        <w:jc w:val="both"/>
        <w:ind w:left="260" w:hanging="253"/>
        <w:spacing w:after="0" w:line="245"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Russia's recent incursion into Ukraine), restrictions on trade, import or export restrictions, or public health crises, such as the ongoing COVID-19 pandemic.</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Many of the factors that cause, or lead to, a delay in the commencement or completion of clinical trials may ultimately lead to the denial of regulatory approval of our product candidates.</w:t>
      </w:r>
    </w:p>
    <w:p>
      <w:pPr>
        <w:spacing w:after="0" w:line="182"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we decide to submit an NDA seeking accelerated approval or receives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While Congress continues to amend the ACA, the law appears likely to continue the downward pressure on pharmaceutical pricing, and may also increase our regulatory burdens and operating costs. In the future, there may be other efforts to challenge, repeal or replace the ACA. We are continuing to monitor any changes to the ACA that, in turn, may potentially impact our business in the future.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6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activities, it could significantly impact the ability of the FDA or other regulatory authorities to timely review and process our regulatory submissions, which could have a material adverse effect on our business.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our day-to-day operations, which could harm our ability to conduct business or delay our financial reporting. Such failures could materially adversely affect our operating results and financial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privacy and data security laws, and our failure to comply with them could harm our business.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it knowingly obtains, uses or discloses individually identifiable health information maintained by a HIPAA covered entity in a manner that is not authorized or permitted by HIPAA.</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rights, those actions could have a significant impact on our business, including the imposition of significant fines or other sanctions.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Restrictions under applicable U.S. federal and state healthcare laws and regulations include the following:</w:t>
      </w:r>
    </w:p>
    <w:p>
      <w:pPr>
        <w:spacing w:after="0" w:line="186" w:lineRule="exact"/>
        <w:rPr>
          <w:sz w:val="20"/>
          <w:szCs w:val="20"/>
          <w:color w:val="auto"/>
        </w:rPr>
      </w:pPr>
    </w:p>
    <w:p>
      <w:pPr>
        <w:jc w:val="both"/>
        <w:ind w:left="260" w:hanging="253"/>
        <w:spacing w:after="0" w:line="247"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jc w:val="both"/>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3"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4"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ind w:left="260" w:hanging="253"/>
        <w:spacing w:after="0" w:line="249"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3"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spacing w:after="0" w:line="1"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jc w:val="both"/>
        <w:ind w:left="260" w:hanging="253"/>
        <w:spacing w:after="0" w:line="243"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 w:lineRule="exact"/>
        <w:rPr>
          <w:rFonts w:ascii="Times New Roman" w:cs="Times New Roman" w:eastAsia="Times New Roman" w:hAnsi="Times New Roman"/>
          <w:sz w:val="14"/>
          <w:szCs w:val="14"/>
          <w:color w:val="auto"/>
        </w:rPr>
      </w:pPr>
    </w:p>
    <w:p>
      <w:pPr>
        <w:jc w:val="both"/>
        <w:ind w:left="260" w:hanging="253"/>
        <w:spacing w:after="0" w:line="244"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could materially adversely affect us.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enacted federal tax legislation. The impact of changes under the Tax Act, the CARES Act, or future reform legislation could increase our future U.S. tax expense and could have a material adverse impact on our business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6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our future licensors’ infringement proceedings or defense activities may be less vigorous than had we conducted them ourselves or may not be conducted in accordance with our best interests.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 resolution of any contract interpretation disagreement that may arise could narrow what we might believe to be the scope of our rights to the relevant patents, know-how and proprietary technology, or increase what we believe to be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financial or other obligations under the relevant agreement. Disputes that may arise between us and our future licensors regarding intellectual property subject to a license agreement could include disputes regarding:</w:t>
      </w:r>
    </w:p>
    <w:p>
      <w:pPr>
        <w:spacing w:after="0" w:line="156" w:lineRule="exact"/>
        <w:rPr>
          <w:sz w:val="20"/>
          <w:szCs w:val="20"/>
          <w:color w:val="auto"/>
        </w:rPr>
      </w:pPr>
    </w:p>
    <w:p>
      <w:pPr>
        <w:ind w:left="240" w:hanging="233"/>
        <w:spacing w:after="0"/>
        <w:tabs>
          <w:tab w:leader="none" w:pos="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 candidates and what activities satisfy those diligence obligations;</w:t>
      </w:r>
    </w:p>
    <w:p>
      <w:pPr>
        <w:ind w:left="240" w:hanging="233"/>
        <w:spacing w:after="0"/>
        <w:tabs>
          <w:tab w:leader="none" w:pos="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royalty, milestone or other payment obligations that may result from the advancement or commercial sale of any of our product candidates;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be unable to successfully develop and commercialize the affected technology or product candidates.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owned and in-licensed patents and patent applications may not provide sufficient protection of our product candidates or result in any competitive advantage.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strength of patents in the biotechnology and pharmaceutical field involves complex legal and scientific questions and can be uncertain. The patent applications that we own or, in the future,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in-licenses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56" w:lineRule="exact"/>
        <w:rPr>
          <w:sz w:val="20"/>
          <w:szCs w:val="20"/>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or use compounds that are similar to the active compositions of our product candidates but that are not covered by the claims of our patents;</w:t>
      </w:r>
    </w:p>
    <w:p>
      <w:pPr>
        <w:spacing w:after="0" w:line="14"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APIs in our current product candidates will eventually become commercially available in generic drug products, and no patent protection may be available with regard to formulation or method of use;</w:t>
      </w: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may fail to meet our or our obligations to the U.S. government regarding any patents and patent applications funded by U.S. government grants, leading to the loss or unenforceability of patent rights;</w:t>
      </w: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might not have been the first to file patent applications for certain inventions;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result in issued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prior public disclosures that could invalidate our owned or in-licensed patents, as the case may be, or parts of our owned or in-licensed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others may circumvent our owned or in-licensed patents;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there are unpublished applications or patent applications maintained in secrecy that may later issue with claims covering our product candidates or technology similar to ours;</w:t>
      </w:r>
    </w:p>
    <w:p>
      <w:pPr>
        <w:spacing w:after="0" w:line="25"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foreign countries may not protect our or our future licensors’, as the case may be, proprietary rights to the same extent as the laws of the United States;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our owned or in-licensed issued patents or patent applications, if and when issued, may not adequately cover our product candidates;</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or in-licensed issued patents may not provide us with any competitive advantages, may be narrowed in scope, or be held invalid or unenforceable as a result of legal challenges by third parties;</w:t>
      </w: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ind w:left="260" w:hanging="253"/>
        <w:spacing w:after="0" w:line="284" w:lineRule="auto"/>
        <w:tabs>
          <w:tab w:leader="none" w:pos="25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ind w:left="260" w:hanging="253"/>
        <w:spacing w:after="0" w:line="24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will continue to do so in the future and our collaborators may develop adjacent or competing products that are outside the scope of our patents;</w:t>
      </w: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for which we can obtain patent protection;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product candidates or diagnostic tests we develop may be covered by third parties’ patents or other exclusive rights; or</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financial conditions, results of operations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strategy of obtaining rights to key technologies through in-licenses may not be successful.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may prevent, delay or otherwise interfere with our product discovery and development efforts.</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third party claims that we infringe, misappropriate or otherwise violate their intellectual property rights, we may face a number of issues, including, but not limited to:</w:t>
      </w:r>
    </w:p>
    <w:p>
      <w:pPr>
        <w:spacing w:after="0" w:line="186" w:lineRule="exact"/>
        <w:rPr>
          <w:sz w:val="20"/>
          <w:szCs w:val="20"/>
          <w:color w:val="auto"/>
        </w:rPr>
      </w:pPr>
    </w:p>
    <w:p>
      <w:pPr>
        <w:ind w:left="260" w:hanging="253"/>
        <w:spacing w:after="0" w:line="252"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claims that, regardless of merit, may be expensive and time-consuming to litigate and may divert our management’s attention from our core business;</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ind w:left="260" w:hanging="253"/>
        <w:spacing w:after="0" w:line="243"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license is available from a third party, we may have to pay substantial royalties, upfront fees and other amounts, and/or grant cross-licenses to intellectual property rights for our product candidates;</w:t>
      </w:r>
    </w:p>
    <w:p>
      <w:pPr>
        <w:ind w:left="240" w:hanging="233"/>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redesign our product candidates or processes so they do not infringe, which may not be possible or may require substantial monetary expenditures and time; and</w:t>
      </w:r>
    </w:p>
    <w:p>
      <w:pPr>
        <w:spacing w:after="0" w:line="2" w:lineRule="exact"/>
        <w:rPr>
          <w:rFonts w:ascii="Times New Roman" w:cs="Times New Roman" w:eastAsia="Times New Roman" w:hAnsi="Times New Roman"/>
          <w:sz w:val="14"/>
          <w:szCs w:val="14"/>
          <w:color w:val="auto"/>
        </w:rPr>
      </w:pPr>
    </w:p>
    <w:p>
      <w:pPr>
        <w:ind w:left="260" w:hanging="253"/>
        <w:spacing w:after="0" w:line="247"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63"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2"/>
          <w:szCs w:val="12"/>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that event, we would be unable to further develop and commercialize our product candidates, which could significantly harm our business.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Competitors may infringe our patents or the patents of our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2"/>
          <w:szCs w:val="12"/>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3"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 parties may assert that our employees or consultants have wrongfully used or disclosed confidential information or misappropriated trade secrets.</w:t>
      </w:r>
    </w:p>
    <w:p>
      <w:pPr>
        <w:spacing w:after="0" w:line="19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licensed patent portfolio may not provide us with sufficient rights to exclude others from commercializing products similar or identical to ours.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for any product candidates it may develop, our business may be materially harmed.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march-in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has been and is likely to continue to be volatile, and purchasers of our common stock could incur substantial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has been and is likely to continue to be volatile. Some of the factors that may cause the market price of our common stock to fluctuate include:</w:t>
      </w:r>
    </w:p>
    <w:p>
      <w:pPr>
        <w:spacing w:after="0" w:line="186" w:lineRule="exact"/>
        <w:rPr>
          <w:sz w:val="20"/>
          <w:szCs w:val="20"/>
          <w:color w:val="auto"/>
        </w:rPr>
      </w:pPr>
    </w:p>
    <w:p>
      <w:pPr>
        <w:ind w:left="240" w:hanging="233"/>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and preclinical studies of our product candidates, or those of our competitors or our existing or future collaborators;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we may provide to the public;</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achieve the perceived benefits of the merger with Millendo as rapidly or to the extent anticipated by financial or industry analysts;</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us or our competitors;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regulatory agencies with respect to our product candidates, clinical studies, manufacturing process or sales and marketing terms;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our business, or if they issue adverse or misleading opinions regarding our business and stock;</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 or market conditions in the pharmaceutical and biotechnology sectors;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securities by us or our securityholders in the future;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raise an adequate amount of capital to fund our operations and continued development of our product candidates;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competitors of new commercial products, clinical progress or lack thereof, significant contracts, commercial relationships or capital commitments;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precision medicine product candidates, including with respect to other products in such markets;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technological innovations or new therapies that compete with our products and services; and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ongoing COVID-19 pandemic, Russia-Ukraine war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could cause our stock price to decline.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our existing securityholders sell, or indicate an intention to sell, substantial amounts of our common stock in the public market after legal restrictions on resale lapse, the trading price of our common stock could decline. In April 2022, we completed a $15 million private investment in public equity (“PIPE”) financing from the sale of 3,149,912 shares of our common stock at a price per share of $2.36 and, in lieu of shares of common stock, pre-funded warrants to purchase up to 3,206,020 shares of its common stock at a price per pre-funded warrant of $2.359 to certain investors. Pursuant to a registration rights agreement with the investors, we filed a registration statement with the SEC registering the resale of the 3,149,912 shares common stock and the 3,206,020 shares of common stock underlying the pre-funded warrants issued in the PIPE. As a result, subject to certain beneficial ownership limitations contained in the pre-funded warrants, these shares are freely tradable, without restriction, in the public market. In addition, the exercise of some or all of the pre-funded warrants will increase the number of shares of our outstanding common stock, which may dilute the ownership percentage or voting power of our stockholders. In addition, shares of common stock that are subject to outstanding options and warrants will become eligible for sale in the public market to the extent permitted by the provisions of various vesting agreements and Rule 144 under the Securities Act. If these shares are sold, the trading price of our common stock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have the ability to control or significantly influence all matters submitted to our stockholders for approval.</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June 30, 2022,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assets. This concentration of voting power could delay or prevent an acquisition on terms that other stockholders may desire.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Status as a Public Company and Other General Matters</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Securities and Exchange Commission (“SEC”) rules related to smaller reporting companies, Millendo was not required to have its auditors formally attest to the effectiveness of its internal control over financial reporting in connection with the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2"/>
          <w:szCs w:val="12"/>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We cannot assure you that the material weaknesses identified will be remediated by us on the timelines currently anticipated, or at all, 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5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Unstable market and economic conditions may have serious adverse consequences on our business, financial condition and share price.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ongoing inflation in the United States and other markets and responses from central banks have resulted in volatility in the capital markets and other ongoing macroeconomic impacts, which may include increased unemployment and decreased consumer demand. Similarly, the current conflict between Ukraine and Russia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67" w:lineRule="exact"/>
        <w:rPr>
          <w:sz w:val="20"/>
          <w:szCs w:val="20"/>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that we may develop;</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time and costs to defend the related litigation;</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our collaboration relationships or disputes with our collaborators;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product recalls, withdrawals or labeling restrictions;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ind w:left="240" w:hanging="233"/>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 candidates that we may develop.</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9" w:lineRule="exact"/>
        <w:rPr>
          <w:sz w:val="20"/>
          <w:szCs w:val="20"/>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not all members of the board are elected at one time;</w:t>
      </w:r>
    </w:p>
    <w:p>
      <w:pPr>
        <w:spacing w:after="0" w:line="14"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the board;</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for nominations to our board of directors;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actions by our stockholders by written consent;</w:t>
      </w:r>
    </w:p>
    <w:p>
      <w:pPr>
        <w:spacing w:after="0" w:line="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be effected at a duly called stockholders meeting;</w:t>
      </w:r>
    </w:p>
    <w:p>
      <w:pPr>
        <w:spacing w:after="0" w:line="2" w:lineRule="exact"/>
        <w:rPr>
          <w:rFonts w:ascii="Times New Roman" w:cs="Times New Roman" w:eastAsia="Times New Roman" w:hAnsi="Times New Roman"/>
          <w:sz w:val="14"/>
          <w:szCs w:val="14"/>
          <w:color w:val="auto"/>
        </w:rPr>
      </w:pPr>
    </w:p>
    <w:p>
      <w:pPr>
        <w:ind w:left="260" w:hanging="253"/>
        <w:spacing w:after="0" w:line="243"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ind w:left="260" w:hanging="253"/>
        <w:spacing w:after="0" w:line="247"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the holders of at least 75 percent of the votes that all our stockholders would be entitled to cast to amend or repeal certain provisions of our certificate of incorporation or by-laws.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that we will pay any cash dividends in the foreseeable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exposed to increased litigation, including stockholder litigation, which could have an adverse effect on our business and operations.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 for the year ended December 31, 2021.</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reduced reporting requirements applicable to smaller reporting companies may make our common stock less attractive to investors.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48895</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2"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exhibits are incorporated by reference or filed as part of this report.</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20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4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840" w:type="dxa"/>
            <w:vAlign w:val="bottom"/>
          </w:tcPr>
          <w:p>
            <w:pPr>
              <w:spacing w:after="0"/>
              <w:rPr>
                <w:sz w:val="12"/>
                <w:szCs w:val="12"/>
                <w:color w:val="auto"/>
              </w:rPr>
            </w:pPr>
          </w:p>
        </w:tc>
      </w:tr>
      <w:tr>
        <w:trPr>
          <w:trHeight w:val="29"/>
        </w:trPr>
        <w:tc>
          <w:tcPr>
            <w:tcW w:w="2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14"/>
        </w:trPr>
        <w:tc>
          <w:tcPr>
            <w:tcW w:w="20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Filed or</w:t>
            </w:r>
          </w:p>
        </w:tc>
      </w:tr>
      <w:tr>
        <w:trPr>
          <w:trHeight w:val="133"/>
        </w:trPr>
        <w:tc>
          <w:tcPr>
            <w:tcW w:w="20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Furnished</w:t>
            </w:r>
          </w:p>
        </w:tc>
      </w:tr>
      <w:tr>
        <w:trPr>
          <w:trHeight w:val="143"/>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4660" w:type="dxa"/>
            <w:vAlign w:val="bottom"/>
          </w:tcPr>
          <w:p>
            <w:pPr>
              <w:ind w:left="12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7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18415</wp:posOffset>
            </wp:positionV>
            <wp:extent cx="68091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9105" cy="6350"/>
                    </a:xfrm>
                    <a:prstGeom prst="rect">
                      <a:avLst/>
                    </a:prstGeom>
                    <a:noFill/>
                  </pic:spPr>
                </pic:pic>
              </a:graphicData>
            </a:graphic>
          </wp:anchor>
        </w:drawing>
      </w:r>
    </w:p>
    <w:p>
      <w:pPr>
        <w:sectPr>
          <w:pgSz w:w="11900" w:h="16838" w:orient="portrait"/>
          <w:cols w:equalWidth="0" w:num="1">
            <w:col w:w="11040"/>
          </w:cols>
          <w:pgMar w:left="300" w:top="321" w:right="559" w:bottom="1440" w:gutter="0" w:footer="0" w:header="0"/>
        </w:sectPr>
      </w:pP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580" w:type="dxa"/>
            <w:vAlign w:val="bottom"/>
            <w:vMerge w:val="restart"/>
          </w:tcPr>
          <w:p>
            <w:pPr>
              <w:jc w:val="center"/>
              <w:ind w:right="286"/>
              <w:spacing w:after="0"/>
              <w:rPr>
                <w:sz w:val="20"/>
                <w:szCs w:val="20"/>
                <w:color w:val="auto"/>
              </w:rPr>
            </w:pPr>
            <w:r>
              <w:rPr>
                <w:rFonts w:ascii="Times New Roman" w:cs="Times New Roman" w:eastAsia="Times New Roman" w:hAnsi="Times New Roman"/>
                <w:sz w:val="11"/>
                <w:szCs w:val="11"/>
                <w:color w:val="auto"/>
                <w:w w:val="86"/>
              </w:rPr>
              <w:t>2.1</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3">
              <w:r>
                <w:rPr>
                  <w:rFonts w:ascii="Times New Roman" w:cs="Times New Roman" w:eastAsia="Times New Roman" w:hAnsi="Times New Roman"/>
                  <w:sz w:val="11"/>
                  <w:szCs w:val="11"/>
                  <w:color w:val="0000FF"/>
                </w:rPr>
                <w:t>Agreement and Plan of Merger, dated as of March 29, 2021, by and among Tempest Therapeutics, Inc., Mars Merger Corp. and</w:t>
              </w:r>
            </w:hyperlink>
          </w:p>
        </w:tc>
        <w:tc>
          <w:tcPr>
            <w:tcW w:w="740" w:type="dxa"/>
            <w:vAlign w:val="bottom"/>
            <w:vMerge w:val="restart"/>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auto"/>
              </w:rPr>
              <w:t>2.1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3/29/2021</w:t>
            </w:r>
          </w:p>
        </w:tc>
        <w:tc>
          <w:tcPr>
            <w:tcW w:w="0" w:type="dxa"/>
            <w:vAlign w:val="bottom"/>
          </w:tcPr>
          <w:p>
            <w:pPr>
              <w:spacing w:after="0"/>
              <w:rPr>
                <w:sz w:val="1"/>
                <w:szCs w:val="1"/>
                <w:color w:val="auto"/>
              </w:rPr>
            </w:pPr>
          </w:p>
        </w:tc>
      </w:tr>
      <w:tr>
        <w:trPr>
          <w:trHeight w:val="103"/>
        </w:trPr>
        <w:tc>
          <w:tcPr>
            <w:tcW w:w="580" w:type="dxa"/>
            <w:vAlign w:val="bottom"/>
            <w:vMerge w:val="continue"/>
          </w:tcPr>
          <w:p>
            <w:pPr>
              <w:spacing w:after="0"/>
              <w:rPr>
                <w:sz w:val="8"/>
                <w:szCs w:val="8"/>
                <w:color w:val="auto"/>
              </w:rPr>
            </w:pPr>
          </w:p>
        </w:tc>
        <w:tc>
          <w:tcPr>
            <w:tcW w:w="5560" w:type="dxa"/>
            <w:vAlign w:val="bottom"/>
            <w:tcBorders>
              <w:top w:val="single" w:sz="8" w:color="0000FF"/>
            </w:tcBorders>
            <w:gridSpan w:val="13"/>
          </w:tcPr>
          <w:p>
            <w:pPr>
              <w:spacing w:after="0" w:line="92" w:lineRule="exact"/>
              <w:rPr>
                <w:rFonts w:ascii="Times New Roman" w:cs="Times New Roman" w:eastAsia="Times New Roman" w:hAnsi="Times New Roman"/>
                <w:sz w:val="10"/>
                <w:szCs w:val="10"/>
                <w:color w:val="0000FF"/>
              </w:rPr>
            </w:pPr>
            <w:hyperlink r:id="rId83">
              <w:r>
                <w:rPr>
                  <w:rFonts w:ascii="Times New Roman" w:cs="Times New Roman" w:eastAsia="Times New Roman" w:hAnsi="Times New Roman"/>
                  <w:sz w:val="10"/>
                  <w:szCs w:val="10"/>
                  <w:color w:val="0000FF"/>
                </w:rPr>
                <w:t>Tempest Therapeutics, Inc.</w:t>
              </w:r>
            </w:hyperlink>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86"/>
              </w:rPr>
              <w:t>3.1</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4">
              <w:r>
                <w:rPr>
                  <w:rFonts w:ascii="Times New Roman" w:cs="Times New Roman" w:eastAsia="Times New Roman" w:hAnsi="Times New Roman"/>
                  <w:sz w:val="11"/>
                  <w:szCs w:val="11"/>
                  <w:color w:val="0000FF"/>
                </w:rPr>
                <w:t>Restated Certificate of Incorporation of the Registrant, as amended</w:t>
              </w:r>
            </w:hyperlink>
          </w:p>
        </w:tc>
        <w:tc>
          <w:tcPr>
            <w:tcW w:w="74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auto"/>
                <w:w w:val="97"/>
              </w:rPr>
              <w:t>10-Q</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rPr>
              <w:t>3.1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5/15/2019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80" w:type="dxa"/>
            <w:vAlign w:val="bottom"/>
            <w:vMerge w:val="restart"/>
          </w:tcPr>
          <w:p>
            <w:pPr>
              <w:jc w:val="center"/>
              <w:ind w:right="286"/>
              <w:spacing w:after="0"/>
              <w:rPr>
                <w:sz w:val="20"/>
                <w:szCs w:val="20"/>
                <w:color w:val="auto"/>
              </w:rPr>
            </w:pPr>
            <w:r>
              <w:rPr>
                <w:rFonts w:ascii="Times New Roman" w:cs="Times New Roman" w:eastAsia="Times New Roman" w:hAnsi="Times New Roman"/>
                <w:sz w:val="11"/>
                <w:szCs w:val="11"/>
                <w:color w:val="auto"/>
                <w:w w:val="86"/>
              </w:rPr>
              <w:t>3.2</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5">
              <w:r>
                <w:rPr>
                  <w:rFonts w:ascii="Times New Roman" w:cs="Times New Roman" w:eastAsia="Times New Roman" w:hAnsi="Times New Roman"/>
                  <w:sz w:val="11"/>
                  <w:szCs w:val="11"/>
                  <w:color w:val="0000FF"/>
                </w:rPr>
                <w:t>Certificate of Amendment to the Restated Certificate of Incorporation of the Company, as filed with the Secretary of State of the</w:t>
              </w:r>
            </w:hyperlink>
          </w:p>
        </w:tc>
        <w:tc>
          <w:tcPr>
            <w:tcW w:w="740" w:type="dxa"/>
            <w:vAlign w:val="bottom"/>
            <w:vMerge w:val="restart"/>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auto"/>
              </w:rPr>
              <w:t>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0" w:type="dxa"/>
            <w:vAlign w:val="bottom"/>
          </w:tcPr>
          <w:p>
            <w:pPr>
              <w:spacing w:after="0"/>
              <w:rPr>
                <w:sz w:val="1"/>
                <w:szCs w:val="1"/>
                <w:color w:val="auto"/>
              </w:rPr>
            </w:pPr>
          </w:p>
        </w:tc>
      </w:tr>
      <w:tr>
        <w:trPr>
          <w:trHeight w:val="103"/>
        </w:trPr>
        <w:tc>
          <w:tcPr>
            <w:tcW w:w="580" w:type="dxa"/>
            <w:vAlign w:val="bottom"/>
            <w:vMerge w:val="continue"/>
          </w:tcPr>
          <w:p>
            <w:pPr>
              <w:spacing w:after="0"/>
              <w:rPr>
                <w:sz w:val="8"/>
                <w:szCs w:val="8"/>
                <w:color w:val="auto"/>
              </w:rPr>
            </w:pPr>
          </w:p>
        </w:tc>
        <w:tc>
          <w:tcPr>
            <w:tcW w:w="1560" w:type="dxa"/>
            <w:vAlign w:val="bottom"/>
            <w:tcBorders>
              <w:top w:val="single" w:sz="8" w:color="0000FF"/>
              <w:bottom w:val="single" w:sz="8" w:color="0000FF"/>
            </w:tcBorders>
            <w:gridSpan w:val="3"/>
          </w:tcPr>
          <w:p>
            <w:pPr>
              <w:spacing w:after="0" w:line="92" w:lineRule="exact"/>
              <w:rPr>
                <w:rFonts w:ascii="Times New Roman" w:cs="Times New Roman" w:eastAsia="Times New Roman" w:hAnsi="Times New Roman"/>
                <w:sz w:val="10"/>
                <w:szCs w:val="10"/>
                <w:color w:val="0000FF"/>
              </w:rPr>
            </w:pPr>
            <w:hyperlink r:id="rId85">
              <w:r>
                <w:rPr>
                  <w:rFonts w:ascii="Times New Roman" w:cs="Times New Roman" w:eastAsia="Times New Roman" w:hAnsi="Times New Roman"/>
                  <w:sz w:val="10"/>
                  <w:szCs w:val="10"/>
                  <w:color w:val="0000FF"/>
                </w:rPr>
                <w:t>State of Delaware on June 24, 2021</w:t>
              </w:r>
            </w:hyperlink>
          </w:p>
        </w:tc>
        <w:tc>
          <w:tcPr>
            <w:tcW w:w="4040" w:type="dxa"/>
            <w:vAlign w:val="bottom"/>
            <w:tcBorders>
              <w:top w:val="single" w:sz="8" w:color="0000FF"/>
            </w:tcBorders>
            <w:gridSpan w:val="11"/>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80" w:type="dxa"/>
            <w:vAlign w:val="bottom"/>
            <w:vMerge w:val="restart"/>
          </w:tcPr>
          <w:p>
            <w:pPr>
              <w:jc w:val="center"/>
              <w:ind w:right="286"/>
              <w:spacing w:after="0"/>
              <w:rPr>
                <w:sz w:val="20"/>
                <w:szCs w:val="20"/>
                <w:color w:val="auto"/>
              </w:rPr>
            </w:pPr>
            <w:r>
              <w:rPr>
                <w:rFonts w:ascii="Times New Roman" w:cs="Times New Roman" w:eastAsia="Times New Roman" w:hAnsi="Times New Roman"/>
                <w:sz w:val="11"/>
                <w:szCs w:val="11"/>
                <w:color w:val="auto"/>
                <w:w w:val="86"/>
              </w:rPr>
              <w:t>3.3</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6">
              <w:r>
                <w:rPr>
                  <w:rFonts w:ascii="Times New Roman" w:cs="Times New Roman" w:eastAsia="Times New Roman" w:hAnsi="Times New Roman"/>
                  <w:sz w:val="11"/>
                  <w:szCs w:val="11"/>
                  <w:color w:val="0000FF"/>
                </w:rPr>
                <w:t>Certificate of Amendment to the Restated Certificate of Incorporation of the Company, as filed with the Secretary of State of the</w:t>
              </w:r>
            </w:hyperlink>
          </w:p>
        </w:tc>
        <w:tc>
          <w:tcPr>
            <w:tcW w:w="740" w:type="dxa"/>
            <w:vAlign w:val="bottom"/>
            <w:vMerge w:val="restart"/>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auto"/>
              </w:rPr>
              <w:t>3.2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6/28/2021</w:t>
            </w:r>
          </w:p>
        </w:tc>
        <w:tc>
          <w:tcPr>
            <w:tcW w:w="0" w:type="dxa"/>
            <w:vAlign w:val="bottom"/>
          </w:tcPr>
          <w:p>
            <w:pPr>
              <w:spacing w:after="0"/>
              <w:rPr>
                <w:sz w:val="1"/>
                <w:szCs w:val="1"/>
                <w:color w:val="auto"/>
              </w:rPr>
            </w:pPr>
          </w:p>
        </w:tc>
      </w:tr>
      <w:tr>
        <w:trPr>
          <w:trHeight w:val="103"/>
        </w:trPr>
        <w:tc>
          <w:tcPr>
            <w:tcW w:w="580" w:type="dxa"/>
            <w:vAlign w:val="bottom"/>
            <w:vMerge w:val="continue"/>
          </w:tcPr>
          <w:p>
            <w:pPr>
              <w:spacing w:after="0"/>
              <w:rPr>
                <w:sz w:val="8"/>
                <w:szCs w:val="8"/>
                <w:color w:val="auto"/>
              </w:rPr>
            </w:pPr>
          </w:p>
        </w:tc>
        <w:tc>
          <w:tcPr>
            <w:tcW w:w="1560" w:type="dxa"/>
            <w:vAlign w:val="bottom"/>
            <w:tcBorders>
              <w:top w:val="single" w:sz="8" w:color="0000FF"/>
              <w:bottom w:val="single" w:sz="8" w:color="0000FF"/>
            </w:tcBorders>
            <w:gridSpan w:val="3"/>
          </w:tcPr>
          <w:p>
            <w:pPr>
              <w:spacing w:after="0" w:line="92" w:lineRule="exact"/>
              <w:rPr>
                <w:rFonts w:ascii="Times New Roman" w:cs="Times New Roman" w:eastAsia="Times New Roman" w:hAnsi="Times New Roman"/>
                <w:sz w:val="10"/>
                <w:szCs w:val="10"/>
                <w:color w:val="0000FF"/>
              </w:rPr>
            </w:pPr>
            <w:hyperlink r:id="rId86">
              <w:r>
                <w:rPr>
                  <w:rFonts w:ascii="Times New Roman" w:cs="Times New Roman" w:eastAsia="Times New Roman" w:hAnsi="Times New Roman"/>
                  <w:sz w:val="10"/>
                  <w:szCs w:val="10"/>
                  <w:color w:val="0000FF"/>
                </w:rPr>
                <w:t>State of Delaware on June 25, 2021</w:t>
              </w:r>
            </w:hyperlink>
          </w:p>
        </w:tc>
        <w:tc>
          <w:tcPr>
            <w:tcW w:w="4040" w:type="dxa"/>
            <w:vAlign w:val="bottom"/>
            <w:tcBorders>
              <w:top w:val="single" w:sz="8" w:color="0000FF"/>
            </w:tcBorders>
            <w:gridSpan w:val="11"/>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86"/>
              </w:rPr>
              <w:t>3.4</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7">
              <w:r>
                <w:rPr>
                  <w:rFonts w:ascii="Times New Roman" w:cs="Times New Roman" w:eastAsia="Times New Roman" w:hAnsi="Times New Roman"/>
                  <w:sz w:val="11"/>
                  <w:szCs w:val="11"/>
                  <w:color w:val="0000FF"/>
                </w:rPr>
                <w:t>Amended and Restated Bylaws of the Registrant</w:t>
              </w:r>
            </w:hyperlink>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rPr>
              <w:t>3.1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9/24/2021</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86"/>
              </w:rPr>
              <w:t>4.1</w:t>
            </w:r>
          </w:p>
        </w:tc>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1"/>
                <w:szCs w:val="11"/>
                <w:color w:val="0000FF"/>
                <w:w w:val="97"/>
              </w:rPr>
              <w:t>Form of Pre-Funded Warrant</w:t>
            </w:r>
          </w:p>
        </w:tc>
        <w:tc>
          <w:tcPr>
            <w:tcW w:w="840" w:type="dxa"/>
            <w:vAlign w:val="bottom"/>
            <w:tcBorders>
              <w:top w:val="single" w:sz="8" w:color="0000FF"/>
            </w:tcBorders>
            <w:gridSpan w:val="2"/>
          </w:tcPr>
          <w:p>
            <w:pPr>
              <w:spacing w:after="0"/>
              <w:rPr>
                <w:sz w:val="13"/>
                <w:szCs w:val="13"/>
                <w:color w:val="auto"/>
              </w:rPr>
            </w:pPr>
          </w:p>
        </w:tc>
        <w:tc>
          <w:tcPr>
            <w:tcW w:w="3720" w:type="dxa"/>
            <w:vAlign w:val="bottom"/>
            <w:gridSpan w:val="13"/>
          </w:tcPr>
          <w:p>
            <w:pPr>
              <w:spacing w:after="0"/>
              <w:rPr>
                <w:sz w:val="13"/>
                <w:szCs w:val="13"/>
                <w:color w:val="auto"/>
              </w:rPr>
            </w:pPr>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rPr>
              <w:t>4.1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5/2/2022</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rPr>
              <w:t>10.1</w:t>
            </w:r>
          </w:p>
        </w:tc>
        <w:tc>
          <w:tcPr>
            <w:tcW w:w="5380" w:type="dxa"/>
            <w:vAlign w:val="bottom"/>
            <w:tcBorders>
              <w:bottom w:val="single" w:sz="8" w:color="0000FF"/>
            </w:tcBorders>
            <w:gridSpan w:val="12"/>
          </w:tcPr>
          <w:p>
            <w:pPr>
              <w:spacing w:after="0"/>
              <w:rPr>
                <w:rFonts w:ascii="Times New Roman" w:cs="Times New Roman" w:eastAsia="Times New Roman" w:hAnsi="Times New Roman"/>
                <w:sz w:val="11"/>
                <w:szCs w:val="11"/>
                <w:color w:val="0000FF"/>
                <w:w w:val="98"/>
              </w:rPr>
            </w:pPr>
            <w:hyperlink r:id="rId88">
              <w:r>
                <w:rPr>
                  <w:rFonts w:ascii="Times New Roman" w:cs="Times New Roman" w:eastAsia="Times New Roman" w:hAnsi="Times New Roman"/>
                  <w:sz w:val="11"/>
                  <w:szCs w:val="11"/>
                  <w:color w:val="0000FF"/>
                  <w:w w:val="98"/>
                </w:rPr>
                <w:t>Securities Purchase Agreement, dated April 26, 22, by and among Tempest Therapeutics, Inc. and the persons party thereto</w:t>
              </w:r>
            </w:hyperlink>
          </w:p>
        </w:tc>
        <w:tc>
          <w:tcPr>
            <w:tcW w:w="460" w:type="dxa"/>
            <w:vAlign w:val="bottom"/>
            <w:gridSpan w:val="5"/>
          </w:tcPr>
          <w:p>
            <w:pPr>
              <w:spacing w:after="0"/>
              <w:rPr>
                <w:sz w:val="13"/>
                <w:szCs w:val="13"/>
                <w:color w:val="auto"/>
              </w:rPr>
            </w:pPr>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3"/>
              </w:rPr>
              <w:t>10.1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5/2/2022</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rPr>
              <w:t>10.2</w:t>
            </w:r>
          </w:p>
        </w:tc>
        <w:tc>
          <w:tcPr>
            <w:tcW w:w="5840" w:type="dxa"/>
            <w:vAlign w:val="bottom"/>
            <w:gridSpan w:val="17"/>
          </w:tcPr>
          <w:p>
            <w:pPr>
              <w:spacing w:after="0"/>
              <w:rPr>
                <w:rFonts w:ascii="Times New Roman" w:cs="Times New Roman" w:eastAsia="Times New Roman" w:hAnsi="Times New Roman"/>
                <w:sz w:val="11"/>
                <w:szCs w:val="11"/>
                <w:color w:val="0000FF"/>
              </w:rPr>
            </w:pPr>
            <w:hyperlink r:id="rId89">
              <w:r>
                <w:rPr>
                  <w:rFonts w:ascii="Times New Roman" w:cs="Times New Roman" w:eastAsia="Times New Roman" w:hAnsi="Times New Roman"/>
                  <w:sz w:val="11"/>
                  <w:szCs w:val="11"/>
                  <w:color w:val="0000FF"/>
                </w:rPr>
                <w:t>Registration Rights Agreement, dated April 26, 22, by and among Tempest Therapeutics, Inc. and the persons party thereto</w:t>
              </w:r>
            </w:hyperlink>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3"/>
              </w:rPr>
              <w:t>10.2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5/2/2022</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4"/>
              </w:rPr>
              <w:t>10.3+</w:t>
            </w:r>
          </w:p>
        </w:tc>
        <w:tc>
          <w:tcPr>
            <w:tcW w:w="34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1"/>
                <w:szCs w:val="11"/>
                <w:color w:val="0000FF"/>
                <w:w w:val="98"/>
              </w:rPr>
            </w:pPr>
            <w:hyperlink r:id="rId90">
              <w:r>
                <w:rPr>
                  <w:rFonts w:ascii="Times New Roman" w:cs="Times New Roman" w:eastAsia="Times New Roman" w:hAnsi="Times New Roman"/>
                  <w:sz w:val="11"/>
                  <w:szCs w:val="11"/>
                  <w:color w:val="0000FF"/>
                  <w:w w:val="98"/>
                </w:rPr>
                <w:t>Tempest Therapeutics, Inc. Amended and Restated 2019 Equity Incentive Plan</w:t>
              </w:r>
            </w:hyperlink>
          </w:p>
        </w:tc>
        <w:tc>
          <w:tcPr>
            <w:tcW w:w="1920" w:type="dxa"/>
            <w:vAlign w:val="bottom"/>
            <w:tcBorders>
              <w:top w:val="single" w:sz="8" w:color="0000FF"/>
            </w:tcBorders>
            <w:gridSpan w:val="4"/>
          </w:tcPr>
          <w:p>
            <w:pPr>
              <w:spacing w:after="0"/>
              <w:rPr>
                <w:sz w:val="13"/>
                <w:szCs w:val="13"/>
                <w:color w:val="auto"/>
              </w:rPr>
            </w:pPr>
          </w:p>
        </w:tc>
        <w:tc>
          <w:tcPr>
            <w:tcW w:w="480" w:type="dxa"/>
            <w:vAlign w:val="bottom"/>
            <w:gridSpan w:val="6"/>
          </w:tcPr>
          <w:p>
            <w:pPr>
              <w:spacing w:after="0"/>
              <w:rPr>
                <w:sz w:val="13"/>
                <w:szCs w:val="13"/>
                <w:color w:val="auto"/>
              </w:rPr>
            </w:pPr>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3"/>
              </w:rPr>
              <w:t>10.1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6/21/2022</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4"/>
              </w:rPr>
              <w:t>10.4+</w:t>
            </w:r>
          </w:p>
        </w:tc>
        <w:tc>
          <w:tcPr>
            <w:tcW w:w="3860" w:type="dxa"/>
            <w:vAlign w:val="bottom"/>
            <w:tcBorders>
              <w:bottom w:val="single" w:sz="8" w:color="0000FF"/>
            </w:tcBorders>
            <w:gridSpan w:val="10"/>
          </w:tcPr>
          <w:p>
            <w:pPr>
              <w:spacing w:after="0"/>
              <w:rPr>
                <w:rFonts w:ascii="Times New Roman" w:cs="Times New Roman" w:eastAsia="Times New Roman" w:hAnsi="Times New Roman"/>
                <w:sz w:val="11"/>
                <w:szCs w:val="11"/>
                <w:color w:val="0000FF"/>
                <w:w w:val="98"/>
              </w:rPr>
            </w:pPr>
            <w:hyperlink r:id="rId91">
              <w:r>
                <w:rPr>
                  <w:rFonts w:ascii="Times New Roman" w:cs="Times New Roman" w:eastAsia="Times New Roman" w:hAnsi="Times New Roman"/>
                  <w:sz w:val="11"/>
                  <w:szCs w:val="11"/>
                  <w:color w:val="0000FF"/>
                  <w:w w:val="98"/>
                </w:rPr>
                <w:t>Tempest Therapeutics, Inc. Amended and Restated 2019 Employee Stock Purchase Plan</w:t>
              </w:r>
            </w:hyperlink>
          </w:p>
        </w:tc>
        <w:tc>
          <w:tcPr>
            <w:tcW w:w="1980" w:type="dxa"/>
            <w:vAlign w:val="bottom"/>
            <w:gridSpan w:val="7"/>
          </w:tcPr>
          <w:p>
            <w:pPr>
              <w:spacing w:after="0"/>
              <w:rPr>
                <w:sz w:val="13"/>
                <w:szCs w:val="13"/>
                <w:color w:val="auto"/>
              </w:rPr>
            </w:pPr>
          </w:p>
        </w:tc>
        <w:tc>
          <w:tcPr>
            <w:tcW w:w="7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8-K</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001-35890</w:t>
            </w:r>
          </w:p>
        </w:tc>
        <w:tc>
          <w:tcPr>
            <w:tcW w:w="6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3"/>
              </w:rPr>
              <w:t>10.2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6/21/2022</w:t>
            </w:r>
          </w:p>
        </w:tc>
        <w:tc>
          <w:tcPr>
            <w:tcW w:w="0" w:type="dxa"/>
            <w:vAlign w:val="bottom"/>
          </w:tcPr>
          <w:p>
            <w:pPr>
              <w:spacing w:after="0"/>
              <w:rPr>
                <w:sz w:val="1"/>
                <w:szCs w:val="1"/>
                <w:color w:val="auto"/>
              </w:rPr>
            </w:pPr>
          </w:p>
        </w:tc>
      </w:tr>
      <w:tr>
        <w:trPr>
          <w:trHeight w:val="154"/>
        </w:trPr>
        <w:tc>
          <w:tcPr>
            <w:tcW w:w="58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rPr>
              <w:t>10.5</w:t>
            </w:r>
          </w:p>
        </w:tc>
        <w:tc>
          <w:tcPr>
            <w:tcW w:w="3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1"/>
                <w:szCs w:val="11"/>
                <w:color w:val="0000FF"/>
                <w:w w:val="98"/>
              </w:rPr>
              <w:t>Agreement for Termination of Lease and Voluntary Surrender of Premises</w:t>
            </w:r>
          </w:p>
        </w:tc>
        <w:tc>
          <w:tcPr>
            <w:tcW w:w="2600" w:type="dxa"/>
            <w:vAlign w:val="bottom"/>
            <w:gridSpan w:val="11"/>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 w:type="dxa"/>
            <w:vAlign w:val="bottom"/>
            <w:vMerge w:val="restart"/>
          </w:tcPr>
          <w:p>
            <w:pPr>
              <w:jc w:val="center"/>
              <w:ind w:right="286"/>
              <w:spacing w:after="0"/>
              <w:rPr>
                <w:sz w:val="20"/>
                <w:szCs w:val="20"/>
                <w:color w:val="auto"/>
              </w:rPr>
            </w:pPr>
            <w:r>
              <w:rPr>
                <w:rFonts w:ascii="Times New Roman" w:cs="Times New Roman" w:eastAsia="Times New Roman" w:hAnsi="Times New Roman"/>
                <w:sz w:val="11"/>
                <w:szCs w:val="11"/>
                <w:color w:val="auto"/>
              </w:rPr>
              <w:t>31.1</w:t>
            </w:r>
          </w:p>
        </w:tc>
        <w:tc>
          <w:tcPr>
            <w:tcW w:w="5840" w:type="dxa"/>
            <w:vAlign w:val="bottom"/>
            <w:gridSpan w:val="17"/>
          </w:tcPr>
          <w:p>
            <w:pPr>
              <w:spacing w:after="0"/>
              <w:rPr>
                <w:sz w:val="20"/>
                <w:szCs w:val="20"/>
                <w:color w:val="auto"/>
              </w:rPr>
            </w:pPr>
            <w:r>
              <w:rPr>
                <w:rFonts w:ascii="Times New Roman" w:cs="Times New Roman" w:eastAsia="Times New Roman" w:hAnsi="Times New Roman"/>
                <w:sz w:val="11"/>
                <w:szCs w:val="11"/>
                <w:color w:val="0000FF"/>
              </w:rPr>
              <w:t>Certification of Principal Executive Officer pursuant to Rules 13a-14(a) and 15d-14(a) promulgated under the Securities Exchange</w:t>
            </w: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80" w:type="dxa"/>
            <w:vAlign w:val="bottom"/>
            <w:vMerge w:val="continue"/>
          </w:tcPr>
          <w:p>
            <w:pPr>
              <w:spacing w:after="0"/>
              <w:rPr>
                <w:sz w:val="8"/>
                <w:szCs w:val="8"/>
                <w:color w:val="auto"/>
              </w:rPr>
            </w:pPr>
          </w:p>
        </w:tc>
        <w:tc>
          <w:tcPr>
            <w:tcW w:w="3660" w:type="dxa"/>
            <w:vAlign w:val="bottom"/>
            <w:tcBorders>
              <w:top w:val="single" w:sz="8" w:color="0000FF"/>
              <w:bottom w:val="single" w:sz="8" w:color="0000FF"/>
            </w:tcBorders>
            <w:gridSpan w:val="9"/>
          </w:tcPr>
          <w:p>
            <w:pPr>
              <w:spacing w:after="0" w:line="92" w:lineRule="exact"/>
              <w:rPr>
                <w:sz w:val="20"/>
                <w:szCs w:val="20"/>
                <w:color w:val="auto"/>
              </w:rPr>
            </w:pPr>
            <w:r>
              <w:rPr>
                <w:rFonts w:ascii="Times New Roman" w:cs="Times New Roman" w:eastAsia="Times New Roman" w:hAnsi="Times New Roman"/>
                <w:sz w:val="10"/>
                <w:szCs w:val="10"/>
                <w:color w:val="0000FF"/>
              </w:rPr>
              <w:t>Act of 1934, as adopted pursuant to Section 302 of the Sarbanes-Oxley Act of 2002</w:t>
            </w:r>
          </w:p>
        </w:tc>
        <w:tc>
          <w:tcPr>
            <w:tcW w:w="2040" w:type="dxa"/>
            <w:vAlign w:val="bottom"/>
            <w:tcBorders>
              <w:top w:val="single" w:sz="8" w:color="0000FF"/>
            </w:tcBorders>
            <w:gridSpan w:val="7"/>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80" w:type="dxa"/>
            <w:vAlign w:val="bottom"/>
            <w:vMerge w:val="restart"/>
          </w:tcPr>
          <w:p>
            <w:pPr>
              <w:jc w:val="center"/>
              <w:ind w:right="286"/>
              <w:spacing w:after="0"/>
              <w:rPr>
                <w:sz w:val="20"/>
                <w:szCs w:val="20"/>
                <w:color w:val="auto"/>
              </w:rPr>
            </w:pPr>
            <w:r>
              <w:rPr>
                <w:rFonts w:ascii="Times New Roman" w:cs="Times New Roman" w:eastAsia="Times New Roman" w:hAnsi="Times New Roman"/>
                <w:sz w:val="11"/>
                <w:szCs w:val="11"/>
                <w:color w:val="auto"/>
              </w:rPr>
              <w:t>31.2</w:t>
            </w:r>
          </w:p>
        </w:tc>
        <w:tc>
          <w:tcPr>
            <w:tcW w:w="5840" w:type="dxa"/>
            <w:vAlign w:val="bottom"/>
            <w:gridSpan w:val="17"/>
          </w:tcPr>
          <w:p>
            <w:pPr>
              <w:spacing w:after="0"/>
              <w:rPr>
                <w:sz w:val="20"/>
                <w:szCs w:val="20"/>
                <w:color w:val="auto"/>
              </w:rPr>
            </w:pPr>
            <w:r>
              <w:rPr>
                <w:rFonts w:ascii="Times New Roman" w:cs="Times New Roman" w:eastAsia="Times New Roman" w:hAnsi="Times New Roman"/>
                <w:sz w:val="11"/>
                <w:szCs w:val="11"/>
                <w:color w:val="0000FF"/>
              </w:rPr>
              <w:t>Certification of Principal Financial Officer pursuant to Rules 13a-14(a) and 15d-14(a) promulgated under the Securities Exchange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580" w:type="dxa"/>
            <w:vAlign w:val="bottom"/>
            <w:vMerge w:val="continue"/>
          </w:tcPr>
          <w:p>
            <w:pPr>
              <w:spacing w:after="0"/>
              <w:rPr>
                <w:sz w:val="8"/>
                <w:szCs w:val="8"/>
                <w:color w:val="auto"/>
              </w:rPr>
            </w:pPr>
          </w:p>
        </w:tc>
        <w:tc>
          <w:tcPr>
            <w:tcW w:w="3640" w:type="dxa"/>
            <w:vAlign w:val="bottom"/>
            <w:tcBorders>
              <w:top w:val="single" w:sz="8" w:color="0000FF"/>
              <w:bottom w:val="single" w:sz="8" w:color="0000FF"/>
            </w:tcBorders>
            <w:gridSpan w:val="8"/>
          </w:tcPr>
          <w:p>
            <w:pPr>
              <w:spacing w:after="0" w:line="92" w:lineRule="exact"/>
              <w:rPr>
                <w:sz w:val="20"/>
                <w:szCs w:val="20"/>
                <w:color w:val="auto"/>
              </w:rPr>
            </w:pPr>
            <w:r>
              <w:rPr>
                <w:rFonts w:ascii="Times New Roman" w:cs="Times New Roman" w:eastAsia="Times New Roman" w:hAnsi="Times New Roman"/>
                <w:sz w:val="10"/>
                <w:szCs w:val="10"/>
                <w:color w:val="0000FF"/>
              </w:rPr>
              <w:t>Act of 1934, as adopted pursuant to section 302 of the Sarbanes-Oxley Act of 2002</w:t>
            </w:r>
          </w:p>
        </w:tc>
        <w:tc>
          <w:tcPr>
            <w:tcW w:w="2040" w:type="dxa"/>
            <w:vAlign w:val="bottom"/>
            <w:tcBorders>
              <w:top w:val="single" w:sz="8" w:color="0000FF"/>
            </w:tcBorders>
            <w:gridSpan w:val="7"/>
          </w:tcPr>
          <w:p>
            <w:pPr>
              <w:spacing w:after="0"/>
              <w:rPr>
                <w:sz w:val="8"/>
                <w:szCs w:val="8"/>
                <w:color w:val="auto"/>
              </w:rPr>
            </w:pPr>
          </w:p>
        </w:tc>
        <w:tc>
          <w:tcPr>
            <w:tcW w:w="16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40" w:lineRule="exact"/>
        <w:rPr>
          <w:sz w:val="20"/>
          <w:szCs w:val="20"/>
          <w:color w:val="auto"/>
        </w:rPr>
      </w:pPr>
    </w:p>
    <w:p>
      <w:pPr>
        <w:sectPr>
          <w:pgSz w:w="11900" w:h="16838" w:orient="portrait"/>
          <w:cols w:equalWidth="0" w:num="2">
            <w:col w:w="10080" w:space="420"/>
            <w:col w:w="540"/>
          </w:cols>
          <w:pgMar w:left="300" w:top="321" w:right="559" w:bottom="1440" w:gutter="0" w:footer="0" w:header="0"/>
          <w:type w:val="continuous"/>
        </w:sectPr>
      </w:pPr>
    </w:p>
    <w:tbl>
      <w:tblPr>
        <w:tblLayout w:type="fixed"/>
        <w:tblInd w:w="500" w:type="dxa"/>
        <w:tblCellMar>
          <w:top w:w="0" w:type="dxa"/>
          <w:left w:w="0" w:type="dxa"/>
          <w:bottom w:w="0" w:type="dxa"/>
          <w:right w:w="0" w:type="dxa"/>
        </w:tblCellMar>
      </w:tblPr>
      <w:tr>
        <w:trPr>
          <w:trHeight w:val="126"/>
        </w:trPr>
        <w:tc>
          <w:tcPr>
            <w:tcW w:w="660" w:type="dxa"/>
            <w:vAlign w:val="bottom"/>
          </w:tcPr>
          <w:p>
            <w:pPr>
              <w:spacing w:after="0"/>
              <w:rPr>
                <w:sz w:val="11"/>
                <w:szCs w:val="11"/>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Certification of Principal Executive Officer and Principal Financial Officer pursuant to Rules 13a-14(b) and 15d-14(b) promulgated</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60" w:type="dxa"/>
            <w:vAlign w:val="bottom"/>
            <w:vMerge w:val="restart"/>
          </w:tcPr>
          <w:p>
            <w:pPr>
              <w:jc w:val="center"/>
              <w:ind w:right="206"/>
              <w:spacing w:after="0"/>
              <w:rPr>
                <w:sz w:val="20"/>
                <w:szCs w:val="20"/>
                <w:color w:val="auto"/>
              </w:rPr>
            </w:pPr>
            <w:r>
              <w:rPr>
                <w:rFonts w:ascii="Times New Roman" w:cs="Times New Roman" w:eastAsia="Times New Roman" w:hAnsi="Times New Roman"/>
                <w:sz w:val="11"/>
                <w:szCs w:val="11"/>
                <w:color w:val="auto"/>
              </w:rPr>
              <w:t>32.1</w:t>
            </w:r>
            <w:r>
              <w:rPr>
                <w:rFonts w:ascii="Times New Roman" w:cs="Times New Roman" w:eastAsia="Times New Roman" w:hAnsi="Times New Roman"/>
                <w:sz w:val="14"/>
                <w:szCs w:val="14"/>
                <w:color w:val="auto"/>
                <w:vertAlign w:val="superscript"/>
              </w:rPr>
              <w:t>^</w:t>
            </w:r>
          </w:p>
        </w:tc>
        <w:tc>
          <w:tcPr>
            <w:tcW w:w="5740" w:type="dxa"/>
            <w:vAlign w:val="bottom"/>
            <w:tcBorders>
              <w:top w:val="single" w:sz="8" w:color="0000FF"/>
            </w:tcBorders>
            <w:gridSpan w:val="3"/>
          </w:tcPr>
          <w:p>
            <w:pPr>
              <w:spacing w:after="0" w:line="103" w:lineRule="exact"/>
              <w:rPr>
                <w:sz w:val="20"/>
                <w:szCs w:val="20"/>
                <w:color w:val="auto"/>
              </w:rPr>
            </w:pPr>
            <w:r>
              <w:rPr>
                <w:rFonts w:ascii="Times New Roman" w:cs="Times New Roman" w:eastAsia="Times New Roman" w:hAnsi="Times New Roman"/>
                <w:sz w:val="11"/>
                <w:szCs w:val="11"/>
                <w:color w:val="0000FF"/>
                <w:w w:val="99"/>
              </w:rPr>
              <w:t>under the Securities Exchange Act of 1934 and 18 U.S.C. Section 1350, as adopted pursuant to section 906 of The Sarbanes-Oxley</w:t>
            </w:r>
          </w:p>
        </w:tc>
        <w:tc>
          <w:tcPr>
            <w:tcW w:w="1800" w:type="dxa"/>
            <w:vAlign w:val="bottom"/>
          </w:tcPr>
          <w:p>
            <w:pPr>
              <w:spacing w:after="0"/>
              <w:rPr>
                <w:sz w:val="8"/>
                <w:szCs w:val="8"/>
                <w:color w:val="auto"/>
              </w:rPr>
            </w:pPr>
          </w:p>
        </w:tc>
        <w:tc>
          <w:tcPr>
            <w:tcW w:w="1880" w:type="dxa"/>
            <w:vAlign w:val="bottom"/>
            <w:vMerge w:val="restart"/>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13"/>
        </w:trPr>
        <w:tc>
          <w:tcPr>
            <w:tcW w:w="660" w:type="dxa"/>
            <w:vAlign w:val="bottom"/>
            <w:vMerge w:val="continue"/>
          </w:tcPr>
          <w:p>
            <w:pPr>
              <w:spacing w:after="0"/>
              <w:rPr>
                <w:sz w:val="9"/>
                <w:szCs w:val="9"/>
                <w:color w:val="auto"/>
              </w:rPr>
            </w:pPr>
          </w:p>
        </w:tc>
        <w:tc>
          <w:tcPr>
            <w:tcW w:w="5700" w:type="dxa"/>
            <w:vAlign w:val="bottom"/>
            <w:tcBorders>
              <w:top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1"/>
                <w:szCs w:val="11"/>
                <w:color w:val="0000FF"/>
              </w:rPr>
              <w:t>Act of 2002</w:t>
            </w:r>
          </w:p>
        </w:tc>
        <w:tc>
          <w:tcPr>
            <w:tcW w:w="1840" w:type="dxa"/>
            <w:vAlign w:val="bottom"/>
            <w:gridSpan w:val="2"/>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w w:val="97"/>
              </w:rPr>
              <w:t>101.INS</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Instance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74"/>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w w:val="98"/>
              </w:rPr>
              <w:t>101.SCH</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74"/>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w w:val="96"/>
              </w:rPr>
              <w:t>101.CAL</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74"/>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w w:val="99"/>
              </w:rPr>
              <w:t>101.DEF</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74"/>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w w:val="96"/>
              </w:rPr>
              <w:t>101.LAB</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r>
        <w:trPr>
          <w:trHeight w:val="174"/>
        </w:trPr>
        <w:tc>
          <w:tcPr>
            <w:tcW w:w="660" w:type="dxa"/>
            <w:vAlign w:val="bottom"/>
          </w:tcPr>
          <w:p>
            <w:pPr>
              <w:jc w:val="center"/>
              <w:ind w:right="206"/>
              <w:spacing w:after="0"/>
              <w:rPr>
                <w:sz w:val="20"/>
                <w:szCs w:val="20"/>
                <w:color w:val="auto"/>
              </w:rPr>
            </w:pPr>
            <w:r>
              <w:rPr>
                <w:rFonts w:ascii="Times New Roman" w:cs="Times New Roman" w:eastAsia="Times New Roman" w:hAnsi="Times New Roman"/>
                <w:sz w:val="11"/>
                <w:szCs w:val="11"/>
                <w:color w:val="auto"/>
              </w:rPr>
              <w:t>101.PRE</w:t>
            </w:r>
          </w:p>
        </w:tc>
        <w:tc>
          <w:tcPr>
            <w:tcW w:w="75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The cover page from the Company’s Quarterly Report on Form 10-Q for the quarter ended June 30, 2022, has been formatted in</w:t>
      </w:r>
    </w:p>
    <w:p>
      <w:pPr>
        <w:ind w:left="1160" w:hanging="540"/>
        <w:spacing w:after="0"/>
        <w:tabs>
          <w:tab w:leader="none" w:pos="1160" w:val="left"/>
        </w:tabs>
        <w:numPr>
          <w:ilvl w:val="1"/>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Inline XBRL.</w:t>
      </w:r>
    </w:p>
    <w:p>
      <w:pPr>
        <w:spacing w:after="0" w:line="80" w:lineRule="exact"/>
        <w:rPr>
          <w:rFonts w:ascii="Times New Roman" w:cs="Times New Roman" w:eastAsia="Times New Roman" w:hAnsi="Times New Roman"/>
          <w:sz w:val="11"/>
          <w:szCs w:val="11"/>
          <w:color w:val="auto"/>
        </w:rPr>
      </w:pPr>
    </w:p>
    <w:p>
      <w:pPr>
        <w:ind w:left="500" w:hanging="253"/>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4" w:lineRule="exact"/>
        <w:rPr>
          <w:sz w:val="20"/>
          <w:szCs w:val="20"/>
          <w:color w:val="auto"/>
        </w:rPr>
      </w:pPr>
    </w:p>
    <w:p>
      <w:pPr>
        <w:jc w:val="both"/>
        <w:ind w:left="440" w:hanging="193"/>
        <w:spacing w:after="0" w:line="245" w:lineRule="auto"/>
        <w:tabs>
          <w:tab w:leader="none" w:pos="50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21" w:right="5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TEMPEST THERAPEUTICS, INC.</w:t>
      </w:r>
    </w:p>
    <w:p>
      <w:pPr>
        <w:spacing w:after="0" w:line="18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spacing w:after="0" w:line="1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Stephen Brady</w:t>
      </w:r>
    </w:p>
    <w:p>
      <w:pPr>
        <w:spacing w:after="0" w:line="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p>
      <w:pPr>
        <w:spacing w:after="0" w:line="1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ind w:left="3920"/>
        <w:spacing w:after="0" w:line="182" w:lineRule="auto"/>
        <w:rPr>
          <w:sz w:val="20"/>
          <w:szCs w:val="20"/>
          <w:color w:val="auto"/>
        </w:rPr>
      </w:pPr>
      <w:r>
        <w:rPr>
          <w:rFonts w:ascii="Times New Roman" w:cs="Times New Roman" w:eastAsia="Times New Roman" w:hAnsi="Times New Roman"/>
          <w:sz w:val="14"/>
          <w:szCs w:val="14"/>
          <w:color w:val="auto"/>
        </w:rPr>
        <w:t>Nicholas Maestas</w:t>
      </w:r>
    </w:p>
    <w:p>
      <w:pPr>
        <w:ind w:left="3920"/>
        <w:spacing w:after="0" w:line="198" w:lineRule="auto"/>
        <w:rPr>
          <w:sz w:val="20"/>
          <w:szCs w:val="20"/>
          <w:color w:val="auto"/>
        </w:rPr>
      </w:pPr>
      <w:r>
        <w:rPr>
          <w:rFonts w:ascii="Times New Roman" w:cs="Times New Roman" w:eastAsia="Times New Roman" w:hAnsi="Times New Roman"/>
          <w:sz w:val="14"/>
          <w:szCs w:val="14"/>
          <w:color w:val="auto"/>
        </w:rPr>
        <w:t>Vice-President, Strategy and Finance (Principal</w:t>
      </w:r>
    </w:p>
    <w:p>
      <w:pPr>
        <w:ind w:left="392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Date: August 15, 2022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80"/>
          </w:cols>
          <w:pgMar w:left="300" w:top="321" w:right="14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AGREEMENT FOR TERMINATION OF LEASE</w:t>
      </w:r>
    </w:p>
    <w:p>
      <w:pPr>
        <w:jc w:val="center"/>
        <w:spacing w:after="0"/>
        <w:rPr>
          <w:sz w:val="20"/>
          <w:szCs w:val="20"/>
          <w:color w:val="auto"/>
        </w:rPr>
      </w:pPr>
      <w:r>
        <w:rPr>
          <w:rFonts w:ascii="Arial" w:cs="Arial" w:eastAsia="Arial" w:hAnsi="Arial"/>
          <w:sz w:val="14"/>
          <w:szCs w:val="14"/>
          <w:b w:val="1"/>
          <w:bCs w:val="1"/>
          <w:color w:val="auto"/>
        </w:rPr>
        <w:t>AND VOLUNTARY SURRENDER OF PREMISES</w:t>
      </w:r>
    </w:p>
    <w:p>
      <w:pPr>
        <w:spacing w:after="0" w:line="131" w:lineRule="exact"/>
        <w:rPr>
          <w:sz w:val="20"/>
          <w:szCs w:val="20"/>
          <w:color w:val="auto"/>
        </w:rPr>
      </w:pPr>
    </w:p>
    <w:p>
      <w:pPr>
        <w:ind w:firstLine="490"/>
        <w:spacing w:after="0" w:line="316" w:lineRule="auto"/>
        <w:rPr>
          <w:sz w:val="20"/>
          <w:szCs w:val="20"/>
          <w:color w:val="auto"/>
        </w:rPr>
      </w:pPr>
      <w:r>
        <w:rPr>
          <w:rFonts w:ascii="Arial" w:cs="Arial" w:eastAsia="Arial" w:hAnsi="Arial"/>
          <w:sz w:val="12"/>
          <w:szCs w:val="12"/>
          <w:color w:val="auto"/>
        </w:rPr>
        <w:t>This Agreement for Termination of Lease and Voluntary Surrender of Premises (this “</w:t>
      </w:r>
      <w:r>
        <w:rPr>
          <w:rFonts w:ascii="Arial" w:cs="Arial" w:eastAsia="Arial" w:hAnsi="Arial"/>
          <w:sz w:val="12"/>
          <w:szCs w:val="12"/>
          <w:b w:val="1"/>
          <w:bCs w:val="1"/>
          <w:color w:val="auto"/>
        </w:rPr>
        <w:t>Agreement</w:t>
      </w:r>
      <w:r>
        <w:rPr>
          <w:rFonts w:ascii="Arial" w:cs="Arial" w:eastAsia="Arial" w:hAnsi="Arial"/>
          <w:sz w:val="12"/>
          <w:szCs w:val="12"/>
          <w:color w:val="auto"/>
        </w:rPr>
        <w:t xml:space="preserve">”) is made and entered into as of May 12, 2022, by and between </w:t>
      </w:r>
      <w:r>
        <w:rPr>
          <w:rFonts w:ascii="Arial" w:cs="Arial" w:eastAsia="Arial" w:hAnsi="Arial"/>
          <w:sz w:val="12"/>
          <w:szCs w:val="12"/>
          <w:b w:val="1"/>
          <w:bCs w:val="1"/>
          <w:color w:val="auto"/>
        </w:rPr>
        <w:t>ARE-SAN</w:t>
      </w:r>
      <w:r>
        <w:rPr>
          <w:rFonts w:ascii="Arial" w:cs="Arial" w:eastAsia="Arial" w:hAnsi="Arial"/>
          <w:sz w:val="12"/>
          <w:szCs w:val="12"/>
          <w:color w:val="auto"/>
        </w:rPr>
        <w:t xml:space="preserve"> </w:t>
      </w:r>
      <w:r>
        <w:rPr>
          <w:rFonts w:ascii="Arial" w:cs="Arial" w:eastAsia="Arial" w:hAnsi="Arial"/>
          <w:sz w:val="12"/>
          <w:szCs w:val="12"/>
          <w:b w:val="1"/>
          <w:bCs w:val="1"/>
          <w:color w:val="auto"/>
        </w:rPr>
        <w:t>FRANCISCO NO. 17, LLC</w:t>
      </w:r>
      <w:r>
        <w:rPr>
          <w:rFonts w:ascii="Arial" w:cs="Arial" w:eastAsia="Arial" w:hAnsi="Arial"/>
          <w:sz w:val="12"/>
          <w:szCs w:val="12"/>
          <w:color w:val="auto"/>
        </w:rPr>
        <w:t>, a Delaware limited liability company (“</w:t>
      </w:r>
      <w:r>
        <w:rPr>
          <w:rFonts w:ascii="Arial" w:cs="Arial" w:eastAsia="Arial" w:hAnsi="Arial"/>
          <w:sz w:val="12"/>
          <w:szCs w:val="12"/>
          <w:b w:val="1"/>
          <w:bCs w:val="1"/>
          <w:color w:val="auto"/>
        </w:rPr>
        <w:t>Landlord</w:t>
      </w:r>
      <w:r>
        <w:rPr>
          <w:rFonts w:ascii="Arial" w:cs="Arial" w:eastAsia="Arial" w:hAnsi="Arial"/>
          <w:sz w:val="12"/>
          <w:szCs w:val="12"/>
          <w:color w:val="auto"/>
        </w:rPr>
        <w:t>”), and</w:t>
      </w:r>
      <w:r>
        <w:rPr>
          <w:rFonts w:ascii="Arial" w:cs="Arial" w:eastAsia="Arial" w:hAnsi="Arial"/>
          <w:sz w:val="12"/>
          <w:szCs w:val="12"/>
          <w:b w:val="1"/>
          <w:bCs w:val="1"/>
          <w:color w:val="auto"/>
        </w:rPr>
        <w:t xml:space="preserve"> TEMPEST THERAPEUTICS, INC.</w:t>
      </w:r>
      <w:r>
        <w:rPr>
          <w:rFonts w:ascii="Arial" w:cs="Arial" w:eastAsia="Arial" w:hAnsi="Arial"/>
          <w:sz w:val="12"/>
          <w:szCs w:val="12"/>
          <w:color w:val="auto"/>
        </w:rPr>
        <w:t>, a Delaware corporation (“</w:t>
      </w:r>
      <w:r>
        <w:rPr>
          <w:rFonts w:ascii="Arial" w:cs="Arial" w:eastAsia="Arial" w:hAnsi="Arial"/>
          <w:sz w:val="12"/>
          <w:szCs w:val="12"/>
          <w:b w:val="1"/>
          <w:bCs w:val="1"/>
          <w:color w:val="auto"/>
        </w:rPr>
        <w:t>Tenant</w:t>
      </w:r>
      <w:r>
        <w:rPr>
          <w:rFonts w:ascii="Arial" w:cs="Arial" w:eastAsia="Arial" w:hAnsi="Arial"/>
          <w:sz w:val="12"/>
          <w:szCs w:val="12"/>
          <w:color w:val="auto"/>
        </w:rPr>
        <w:t>”), with reference to the following:</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p>
    <w:p>
      <w:pPr>
        <w:spacing w:after="0" w:line="145" w:lineRule="exact"/>
        <w:rPr>
          <w:sz w:val="20"/>
          <w:szCs w:val="20"/>
          <w:color w:val="auto"/>
        </w:rPr>
      </w:pPr>
    </w:p>
    <w:p>
      <w:pPr>
        <w:jc w:val="both"/>
        <w:ind w:firstLine="492"/>
        <w:spacing w:after="0" w:line="220" w:lineRule="auto"/>
        <w:tabs>
          <w:tab w:leader="none" w:pos="779"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that certain Lease Agreement dated as of February 22, 2019, as amended by that certain First Amendment to Lease dated as of June 28, 2019 (as amended, the “</w:t>
      </w:r>
      <w:r>
        <w:rPr>
          <w:rFonts w:ascii="Arial" w:cs="Arial" w:eastAsia="Arial" w:hAnsi="Arial"/>
          <w:sz w:val="14"/>
          <w:szCs w:val="14"/>
          <w:b w:val="1"/>
          <w:bCs w:val="1"/>
          <w:color w:val="auto"/>
        </w:rPr>
        <w:t>Lease</w:t>
      </w:r>
      <w:r>
        <w:rPr>
          <w:rFonts w:ascii="Arial" w:cs="Arial" w:eastAsia="Arial" w:hAnsi="Arial"/>
          <w:sz w:val="14"/>
          <w:szCs w:val="14"/>
          <w:color w:val="auto"/>
        </w:rPr>
        <w:t>”), Tenant now leases from Landlord certain premises commonly known as Suite 275, containing approximately 9,780 rentable square feet (the “</w:t>
      </w:r>
      <w:r>
        <w:rPr>
          <w:rFonts w:ascii="Arial" w:cs="Arial" w:eastAsia="Arial" w:hAnsi="Arial"/>
          <w:sz w:val="14"/>
          <w:szCs w:val="14"/>
          <w:b w:val="1"/>
          <w:bCs w:val="1"/>
          <w:color w:val="auto"/>
        </w:rPr>
        <w:t>Premises</w:t>
      </w:r>
      <w:r>
        <w:rPr>
          <w:rFonts w:ascii="Arial" w:cs="Arial" w:eastAsia="Arial" w:hAnsi="Arial"/>
          <w:sz w:val="14"/>
          <w:szCs w:val="14"/>
          <w:color w:val="auto"/>
        </w:rPr>
        <w:t>”) in that certain building located at 7000 Shoreline Court, South San Francisco, California, as more particularly described in the Lease.</w:t>
      </w:r>
    </w:p>
    <w:p>
      <w:pPr>
        <w:spacing w:after="0" w:line="129" w:lineRule="exact"/>
        <w:rPr>
          <w:rFonts w:ascii="Arial" w:cs="Arial" w:eastAsia="Arial" w:hAnsi="Arial"/>
          <w:sz w:val="14"/>
          <w:szCs w:val="14"/>
          <w:color w:val="auto"/>
        </w:rPr>
      </w:pPr>
    </w:p>
    <w:p>
      <w:pPr>
        <w:ind w:left="800" w:hanging="308"/>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term of the Lease is scheduled to expire on February 29, 2024.</w:t>
      </w:r>
    </w:p>
    <w:p>
      <w:pPr>
        <w:spacing w:after="0" w:line="135" w:lineRule="exact"/>
        <w:rPr>
          <w:rFonts w:ascii="Arial" w:cs="Arial" w:eastAsia="Arial" w:hAnsi="Arial"/>
          <w:sz w:val="14"/>
          <w:szCs w:val="14"/>
          <w:color w:val="auto"/>
        </w:rPr>
      </w:pPr>
    </w:p>
    <w:p>
      <w:pPr>
        <w:ind w:left="820" w:hanging="328"/>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Tenant and Landlord desire, subject to the terms and conditions set forth below, to accelerate the expiration date of the term of the Lease.</w:t>
      </w:r>
    </w:p>
    <w:p>
      <w:pPr>
        <w:spacing w:after="0" w:line="135" w:lineRule="exact"/>
        <w:rPr>
          <w:rFonts w:ascii="Arial" w:cs="Arial" w:eastAsia="Arial" w:hAnsi="Arial"/>
          <w:sz w:val="14"/>
          <w:szCs w:val="14"/>
          <w:color w:val="auto"/>
        </w:rPr>
      </w:pPr>
    </w:p>
    <w:p>
      <w:pPr>
        <w:ind w:left="820" w:hanging="328"/>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Capitalized terms used herein without definition shall have the meanings defined for such terms in the Lease.</w:t>
      </w:r>
    </w:p>
    <w:p>
      <w:pPr>
        <w:spacing w:after="0" w:line="145" w:lineRule="exact"/>
        <w:rPr>
          <w:sz w:val="20"/>
          <w:szCs w:val="20"/>
          <w:color w:val="auto"/>
        </w:rPr>
      </w:pPr>
    </w:p>
    <w:p>
      <w:pPr>
        <w:ind w:firstLine="490"/>
        <w:spacing w:after="0" w:line="232" w:lineRule="auto"/>
        <w:rPr>
          <w:sz w:val="20"/>
          <w:szCs w:val="20"/>
          <w:color w:val="auto"/>
        </w:rPr>
      </w:pPr>
      <w:r>
        <w:rPr>
          <w:rFonts w:ascii="Arial" w:cs="Arial" w:eastAsia="Arial" w:hAnsi="Arial"/>
          <w:sz w:val="14"/>
          <w:szCs w:val="14"/>
          <w:color w:val="auto"/>
        </w:rPr>
        <w:t>NOW, THEREFORE, in consideration of the foregoing and of the mutual promises made herein, and for other good and valuable consideration the receipt of which is hereby acknowledged, Landlord and Tenant agree as follows:</w:t>
      </w:r>
    </w:p>
    <w:p>
      <w:pPr>
        <w:spacing w:after="0" w:line="116" w:lineRule="exact"/>
        <w:rPr>
          <w:sz w:val="20"/>
          <w:szCs w:val="20"/>
          <w:color w:val="auto"/>
        </w:rPr>
      </w:pPr>
    </w:p>
    <w:p>
      <w:pPr>
        <w:ind w:firstLine="492"/>
        <w:spacing w:after="0" w:line="252" w:lineRule="auto"/>
        <w:tabs>
          <w:tab w:leader="none" w:pos="765"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Termination Date</w:t>
      </w:r>
      <w:r>
        <w:rPr>
          <w:rFonts w:ascii="Arial" w:cs="Arial" w:eastAsia="Arial" w:hAnsi="Arial"/>
          <w:sz w:val="14"/>
          <w:szCs w:val="14"/>
          <w:color w:val="auto"/>
        </w:rPr>
        <w:t>. Landlord and Tenant hereby agree, subject to Tenant’s satisfaction of or Landlord’s waiver of all of the terms and conditions set forth herein, to accelerate</w:t>
      </w:r>
      <w:r>
        <w:rPr>
          <w:rFonts w:ascii="Arial" w:cs="Arial" w:eastAsia="Arial" w:hAnsi="Arial"/>
          <w:sz w:val="14"/>
          <w:szCs w:val="14"/>
          <w:b w:val="1"/>
          <w:bCs w:val="1"/>
          <w:color w:val="auto"/>
        </w:rPr>
        <w:t xml:space="preserve"> </w:t>
      </w:r>
      <w:r>
        <w:rPr>
          <w:rFonts w:ascii="Arial" w:cs="Arial" w:eastAsia="Arial" w:hAnsi="Arial"/>
          <w:sz w:val="14"/>
          <w:szCs w:val="14"/>
          <w:color w:val="auto"/>
        </w:rPr>
        <w:t>the expiration date of the Term of the Lease from February 29, 2024, to January 31, 2023 (the “</w:t>
      </w:r>
      <w:r>
        <w:rPr>
          <w:rFonts w:ascii="Arial" w:cs="Arial" w:eastAsia="Arial" w:hAnsi="Arial"/>
          <w:sz w:val="14"/>
          <w:szCs w:val="14"/>
          <w:b w:val="1"/>
          <w:bCs w:val="1"/>
          <w:color w:val="auto"/>
        </w:rPr>
        <w:t>Termination Date</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firstLine="492"/>
        <w:spacing w:after="0" w:line="234" w:lineRule="auto"/>
        <w:tabs>
          <w:tab w:leader="none" w:pos="854"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Termination</w:t>
      </w:r>
      <w:r>
        <w:rPr>
          <w:rFonts w:ascii="Arial" w:cs="Arial" w:eastAsia="Arial" w:hAnsi="Arial"/>
          <w:sz w:val="14"/>
          <w:szCs w:val="14"/>
          <w:color w:val="auto"/>
        </w:rPr>
        <w:t>. Notwithstanding anything to the contrary contained in this Agreement, if Tenant does not surrender the Premises on or before the Termination Date in strict</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terms of this Agreement, the Term of the Lease shall nonetheless terminate on the Termination Date and the holdover provisions of the Lease shall apply.</w:t>
      </w:r>
    </w:p>
    <w:p>
      <w:pPr>
        <w:spacing w:after="0" w:line="125" w:lineRule="exact"/>
        <w:rPr>
          <w:rFonts w:ascii="Arial" w:cs="Arial" w:eastAsia="Arial" w:hAnsi="Arial"/>
          <w:sz w:val="14"/>
          <w:szCs w:val="14"/>
          <w:color w:val="auto"/>
        </w:rPr>
      </w:pPr>
    </w:p>
    <w:p>
      <w:pPr>
        <w:jc w:val="both"/>
        <w:ind w:firstLine="492"/>
        <w:spacing w:after="0" w:line="221" w:lineRule="auto"/>
        <w:tabs>
          <w:tab w:leader="none" w:pos="844"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Base Rent and Operating Expenses</w:t>
      </w:r>
      <w:r>
        <w:rPr>
          <w:rFonts w:ascii="Arial" w:cs="Arial" w:eastAsia="Arial" w:hAnsi="Arial"/>
          <w:sz w:val="14"/>
          <w:szCs w:val="14"/>
          <w:color w:val="auto"/>
        </w:rPr>
        <w:t>. Tenant shall be responsible for the payment of all Base Rent, Operating Expenses and any other obligations due under the Lease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Termination Date. Tenant shall not be required to pay Base Rent or Operating Expenses for any period following the Termination Date so long as Tenant surrenders the Premises in strict compliance with this Agreement and the Lease, and Tenant is not in breach hereof or under the Lease.</w:t>
      </w:r>
    </w:p>
    <w:p>
      <w:pPr>
        <w:spacing w:after="0" w:line="127" w:lineRule="exact"/>
        <w:rPr>
          <w:rFonts w:ascii="Arial" w:cs="Arial" w:eastAsia="Arial" w:hAnsi="Arial"/>
          <w:sz w:val="14"/>
          <w:szCs w:val="14"/>
          <w:color w:val="auto"/>
        </w:rPr>
      </w:pPr>
    </w:p>
    <w:p>
      <w:pPr>
        <w:jc w:val="both"/>
        <w:ind w:firstLine="492"/>
        <w:spacing w:after="0" w:line="215" w:lineRule="auto"/>
        <w:tabs>
          <w:tab w:leader="none" w:pos="844"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Termination and Surrender</w:t>
      </w:r>
      <w:r>
        <w:rPr>
          <w:rFonts w:ascii="Arial" w:cs="Arial" w:eastAsia="Arial" w:hAnsi="Arial"/>
          <w:sz w:val="14"/>
          <w:szCs w:val="14"/>
          <w:color w:val="auto"/>
        </w:rPr>
        <w:t>. Tenant shall voluntarily surrender the Premises as provided in this Agreement on or before the Termination Date. Landlord and Tenant each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 to cooperate reasonably with the other party hereto in all matters, as applicable, relating to surrendering the Premises in accordance with the surrender requirements set forth in the Lease and in the condition required pursuant to the Lease. After the Termination Date, Tenant shall have no further rights of any kind with respect to the Premises. Notwithstanding the foregoing, as provided in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hereof, those provisions of the Lease which, by their terms, survive the termination of the Lease shall survive the surrender of the Premises and termination of the Lease provided for herein.</w:t>
      </w:r>
    </w:p>
    <w:p>
      <w:pPr>
        <w:spacing w:after="0" w:line="116" w:lineRule="exact"/>
        <w:rPr>
          <w:rFonts w:ascii="Arial" w:cs="Arial" w:eastAsia="Arial" w:hAnsi="Arial"/>
          <w:sz w:val="14"/>
          <w:szCs w:val="14"/>
          <w:color w:val="auto"/>
        </w:rPr>
      </w:pPr>
    </w:p>
    <w:p>
      <w:pPr>
        <w:jc w:val="both"/>
        <w:ind w:firstLine="492"/>
        <w:spacing w:after="0" w:line="218" w:lineRule="auto"/>
        <w:tabs>
          <w:tab w:leader="none" w:pos="823"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No Further Obligations</w:t>
      </w:r>
      <w:r>
        <w:rPr>
          <w:rFonts w:ascii="Arial" w:cs="Arial" w:eastAsia="Arial" w:hAnsi="Arial"/>
          <w:sz w:val="14"/>
          <w:szCs w:val="14"/>
          <w:color w:val="auto"/>
        </w:rPr>
        <w:t>. Landlord and Tenant each agree that the other is excused as of the Termination Date from any further obligations under the Lease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the Premises, excepting only such obligations under the Lease which are, by their terms, intended to survive termination of the Lease and except as provided for in this Agreement. In addition, nothing herein shall be deemed to limit or terminate any common law or statutory rights Landlord may have with respect to Tenant, including in connection with any hazardous materials or for violations of any governmental requirements or requirements of applicable law. Nothing herein shall excuse Tenant from its obligations under the Lease, as modified by this Agreement,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1"/>
          <w:szCs w:val="11"/>
          <w:color w:val="auto"/>
        </w:rPr>
        <w:t>747545889.1</w:t>
      </w:r>
      <w:r>
        <w:rPr>
          <w:sz w:val="20"/>
          <w:szCs w:val="20"/>
          <w:color w:val="auto"/>
        </w:rPr>
        <w:tab/>
      </w:r>
      <w:r>
        <w:rPr>
          <w:rFonts w:ascii="Arial" w:cs="Arial" w:eastAsia="Arial" w:hAnsi="Arial"/>
          <w:sz w:val="14"/>
          <w:szCs w:val="14"/>
          <w:color w:val="auto"/>
        </w:rPr>
        <w:t>1</w:t>
      </w:r>
    </w:p>
    <w:p>
      <w:pPr>
        <w:sectPr>
          <w:pgSz w:w="11900" w:h="16838" w:orient="portrait"/>
          <w:cols w:equalWidth="0" w:num="1">
            <w:col w:w="11280"/>
          </w:cols>
          <w:pgMar w:left="300" w:top="1081" w:right="319" w:bottom="1440" w:gutter="0" w:footer="0" w:header="0"/>
        </w:sectPr>
      </w:pPr>
    </w:p>
    <w:bookmarkStart w:id="67" w:name="page68"/>
    <w:bookmarkEnd w:id="67"/>
    <w:p>
      <w:pPr>
        <w:jc w:val="both"/>
        <w:ind w:firstLine="492"/>
        <w:spacing w:after="0" w:line="227" w:lineRule="auto"/>
        <w:tabs>
          <w:tab w:leader="none" w:pos="793"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Removal of Personal Property</w:t>
      </w:r>
      <w:r>
        <w:rPr>
          <w:rFonts w:ascii="Arial" w:cs="Arial" w:eastAsia="Arial" w:hAnsi="Arial"/>
          <w:sz w:val="14"/>
          <w:szCs w:val="14"/>
          <w:color w:val="auto"/>
        </w:rPr>
        <w:t>. Any personal property of Tenant remaining in the Premises after the Termination Date is hereby agreed to be abandoned by Tenant and may</w:t>
      </w:r>
      <w:r>
        <w:rPr>
          <w:rFonts w:ascii="Arial" w:cs="Arial" w:eastAsia="Arial" w:hAnsi="Arial"/>
          <w:sz w:val="14"/>
          <w:szCs w:val="14"/>
          <w:b w:val="1"/>
          <w:bCs w:val="1"/>
          <w:color w:val="auto"/>
        </w:rPr>
        <w:t xml:space="preserve"> </w:t>
      </w:r>
      <w:r>
        <w:rPr>
          <w:rFonts w:ascii="Arial" w:cs="Arial" w:eastAsia="Arial" w:hAnsi="Arial"/>
          <w:sz w:val="14"/>
          <w:szCs w:val="14"/>
          <w:color w:val="auto"/>
        </w:rPr>
        <w:t>be disposed of by Landlord, in Landlord’s sole discretion, without obligation or liability of any kind to Tenant. Notwithstanding the foregoing or anything to the contrary set forth herein, Landlord acknowledges that there are no Installations or Improvements which Tenant must remove prior to the surrender of the Premises.</w:t>
      </w:r>
    </w:p>
    <w:p>
      <w:pPr>
        <w:spacing w:after="0" w:line="100" w:lineRule="exact"/>
        <w:rPr>
          <w:rFonts w:ascii="Arial" w:cs="Arial" w:eastAsia="Arial" w:hAnsi="Arial"/>
          <w:sz w:val="14"/>
          <w:szCs w:val="14"/>
          <w:color w:val="auto"/>
        </w:rPr>
      </w:pPr>
    </w:p>
    <w:p>
      <w:pPr>
        <w:ind w:left="900" w:hanging="408"/>
        <w:spacing w:after="0"/>
        <w:tabs>
          <w:tab w:leader="none" w:pos="900"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Acknowledgment</w:t>
      </w:r>
      <w:r>
        <w:rPr>
          <w:rFonts w:ascii="Arial" w:cs="Arial" w:eastAsia="Arial" w:hAnsi="Arial"/>
          <w:sz w:val="14"/>
          <w:szCs w:val="14"/>
          <w:color w:val="auto"/>
        </w:rPr>
        <w:t>. Tenant acknowledges that it has read the provisions of this Agreement, understands them, and is bound by them. Time is of the essence in this</w:t>
      </w:r>
    </w:p>
    <w:p>
      <w:pPr>
        <w:spacing w:after="0"/>
        <w:rPr>
          <w:rFonts w:ascii="Arial" w:cs="Arial" w:eastAsia="Arial" w:hAnsi="Arial"/>
          <w:sz w:val="14"/>
          <w:szCs w:val="14"/>
          <w:color w:val="auto"/>
        </w:rPr>
      </w:pPr>
      <w:r>
        <w:rPr>
          <w:rFonts w:ascii="Arial" w:cs="Arial" w:eastAsia="Arial" w:hAnsi="Arial"/>
          <w:sz w:val="14"/>
          <w:szCs w:val="14"/>
          <w:color w:val="auto"/>
        </w:rPr>
        <w:t>Agreement.</w:t>
      </w:r>
    </w:p>
    <w:p>
      <w:pPr>
        <w:spacing w:after="0" w:line="131" w:lineRule="exact"/>
        <w:rPr>
          <w:rFonts w:ascii="Arial" w:cs="Arial" w:eastAsia="Arial" w:hAnsi="Arial"/>
          <w:sz w:val="14"/>
          <w:szCs w:val="14"/>
          <w:color w:val="auto"/>
        </w:rPr>
      </w:pPr>
    </w:p>
    <w:p>
      <w:pPr>
        <w:ind w:firstLine="492"/>
        <w:spacing w:after="0" w:line="234" w:lineRule="auto"/>
        <w:tabs>
          <w:tab w:leader="none" w:pos="854"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No Assignment</w:t>
      </w:r>
      <w:r>
        <w:rPr>
          <w:rFonts w:ascii="Arial" w:cs="Arial" w:eastAsia="Arial" w:hAnsi="Arial"/>
          <w:sz w:val="14"/>
          <w:szCs w:val="14"/>
          <w:color w:val="auto"/>
        </w:rPr>
        <w:t>. Tenant represents and warrants that Tenant has not assigned, mortgaged, subleased, pledged, encumbered or otherwise transferred any interest in the</w:t>
      </w:r>
      <w:r>
        <w:rPr>
          <w:rFonts w:ascii="Arial" w:cs="Arial" w:eastAsia="Arial" w:hAnsi="Arial"/>
          <w:sz w:val="14"/>
          <w:szCs w:val="14"/>
          <w:b w:val="1"/>
          <w:bCs w:val="1"/>
          <w:color w:val="auto"/>
        </w:rPr>
        <w:t xml:space="preserve"> </w:t>
      </w:r>
      <w:r>
        <w:rPr>
          <w:rFonts w:ascii="Arial" w:cs="Arial" w:eastAsia="Arial" w:hAnsi="Arial"/>
          <w:sz w:val="14"/>
          <w:szCs w:val="14"/>
          <w:color w:val="auto"/>
        </w:rPr>
        <w:t>Lease and that Tenant holds the interest in the Premises as set forth in the Lease as of the date of this Agreement.</w:t>
      </w:r>
    </w:p>
    <w:p>
      <w:pPr>
        <w:spacing w:after="0" w:line="114" w:lineRule="exact"/>
        <w:rPr>
          <w:rFonts w:ascii="Arial" w:cs="Arial" w:eastAsia="Arial" w:hAnsi="Arial"/>
          <w:sz w:val="14"/>
          <w:szCs w:val="14"/>
          <w:color w:val="auto"/>
        </w:rPr>
      </w:pPr>
    </w:p>
    <w:p>
      <w:pPr>
        <w:ind w:left="760" w:hanging="268"/>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No Modification</w:t>
      </w:r>
      <w:r>
        <w:rPr>
          <w:rFonts w:ascii="Arial" w:cs="Arial" w:eastAsia="Arial" w:hAnsi="Arial"/>
          <w:sz w:val="14"/>
          <w:szCs w:val="14"/>
          <w:color w:val="auto"/>
        </w:rPr>
        <w:t>. This Agreement may not be modified or terminated except in writing signed by all parties.</w:t>
      </w:r>
    </w:p>
    <w:p>
      <w:pPr>
        <w:spacing w:after="0" w:line="145" w:lineRule="exact"/>
        <w:rPr>
          <w:rFonts w:ascii="Arial" w:cs="Arial" w:eastAsia="Arial" w:hAnsi="Arial"/>
          <w:sz w:val="14"/>
          <w:szCs w:val="14"/>
          <w:color w:val="auto"/>
        </w:rPr>
      </w:pPr>
    </w:p>
    <w:p>
      <w:pPr>
        <w:ind w:left="860" w:hanging="368"/>
        <w:spacing w:after="0"/>
        <w:tabs>
          <w:tab w:leader="none" w:pos="860" w:val="left"/>
        </w:tabs>
        <w:numPr>
          <w:ilvl w:val="0"/>
          <w:numId w:val="43"/>
        </w:numPr>
        <w:rPr>
          <w:rFonts w:ascii="Arial" w:cs="Arial" w:eastAsia="Arial" w:hAnsi="Arial"/>
          <w:sz w:val="12"/>
          <w:szCs w:val="12"/>
          <w:color w:val="auto"/>
        </w:rPr>
      </w:pPr>
      <w:r>
        <w:rPr>
          <w:rFonts w:ascii="Arial" w:cs="Arial" w:eastAsia="Arial" w:hAnsi="Arial"/>
          <w:sz w:val="12"/>
          <w:szCs w:val="12"/>
          <w:b w:val="1"/>
          <w:bCs w:val="1"/>
          <w:color w:val="auto"/>
        </w:rPr>
        <w:t>Successors and Assigns</w:t>
      </w:r>
      <w:r>
        <w:rPr>
          <w:rFonts w:ascii="Arial" w:cs="Arial" w:eastAsia="Arial" w:hAnsi="Arial"/>
          <w:sz w:val="12"/>
          <w:szCs w:val="12"/>
          <w:color w:val="auto"/>
        </w:rPr>
        <w:t>. The covenants and agreements herein contained shall inure to the benefit and be binding upon the parties and their respective successors and</w:t>
      </w:r>
    </w:p>
    <w:p>
      <w:pPr>
        <w:spacing w:after="0" w:line="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assigns.</w:t>
      </w:r>
    </w:p>
    <w:p>
      <w:pPr>
        <w:spacing w:after="0" w:line="121" w:lineRule="exact"/>
        <w:rPr>
          <w:rFonts w:ascii="Arial" w:cs="Arial" w:eastAsia="Arial" w:hAnsi="Arial"/>
          <w:sz w:val="12"/>
          <w:szCs w:val="12"/>
          <w:color w:val="auto"/>
        </w:rPr>
      </w:pPr>
    </w:p>
    <w:p>
      <w:pPr>
        <w:jc w:val="both"/>
        <w:ind w:firstLine="492"/>
        <w:spacing w:after="0" w:line="227" w:lineRule="auto"/>
        <w:tabs>
          <w:tab w:leader="none" w:pos="841"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Attorneys’ Fees</w:t>
      </w:r>
      <w:r>
        <w:rPr>
          <w:rFonts w:ascii="Arial" w:cs="Arial" w:eastAsia="Arial" w:hAnsi="Arial"/>
          <w:sz w:val="14"/>
          <w:szCs w:val="14"/>
          <w:color w:val="auto"/>
        </w:rPr>
        <w:t>. In the event of a dispute between the parties in connection with this Agreement or the Lease, the prevailing party shall be entitled to have its reasonable</w:t>
      </w:r>
      <w:r>
        <w:rPr>
          <w:rFonts w:ascii="Arial" w:cs="Arial" w:eastAsia="Arial" w:hAnsi="Arial"/>
          <w:sz w:val="14"/>
          <w:szCs w:val="14"/>
          <w:b w:val="1"/>
          <w:bCs w:val="1"/>
          <w:color w:val="auto"/>
        </w:rPr>
        <w:t xml:space="preserve"> </w:t>
      </w:r>
      <w:r>
        <w:rPr>
          <w:rFonts w:ascii="Arial" w:cs="Arial" w:eastAsia="Arial" w:hAnsi="Arial"/>
          <w:sz w:val="14"/>
          <w:szCs w:val="14"/>
          <w:color w:val="auto"/>
        </w:rPr>
        <w:t>attorneys’ fees and costs paid by the other party. Each party shall be responsible for its own costs and legal fees in connection with the negotiation, execution and delivery of this Agreement and the consummation of the transactions contemplated hereby.</w:t>
      </w:r>
    </w:p>
    <w:p>
      <w:pPr>
        <w:spacing w:after="0" w:line="115" w:lineRule="exact"/>
        <w:rPr>
          <w:rFonts w:ascii="Arial" w:cs="Arial" w:eastAsia="Arial" w:hAnsi="Arial"/>
          <w:sz w:val="14"/>
          <w:szCs w:val="14"/>
          <w:color w:val="auto"/>
        </w:rPr>
      </w:pPr>
    </w:p>
    <w:p>
      <w:pPr>
        <w:ind w:left="840" w:hanging="348"/>
        <w:spacing w:after="0"/>
        <w:tabs>
          <w:tab w:leader="none" w:pos="840"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Conflict of Laws</w:t>
      </w:r>
      <w:r>
        <w:rPr>
          <w:rFonts w:ascii="Arial" w:cs="Arial" w:eastAsia="Arial" w:hAnsi="Arial"/>
          <w:sz w:val="14"/>
          <w:szCs w:val="14"/>
          <w:color w:val="auto"/>
        </w:rPr>
        <w:t>. This Agreement shall be governed by the laws of the state in which the Premises are located.</w:t>
      </w:r>
    </w:p>
    <w:p>
      <w:pPr>
        <w:spacing w:after="0" w:line="145" w:lineRule="exact"/>
        <w:rPr>
          <w:rFonts w:ascii="Arial" w:cs="Arial" w:eastAsia="Arial" w:hAnsi="Arial"/>
          <w:sz w:val="14"/>
          <w:szCs w:val="14"/>
          <w:color w:val="auto"/>
        </w:rPr>
      </w:pPr>
    </w:p>
    <w:p>
      <w:pPr>
        <w:jc w:val="both"/>
        <w:ind w:firstLine="492"/>
        <w:spacing w:after="0" w:line="215"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OFAC</w:t>
      </w:r>
      <w:r>
        <w:rPr>
          <w:rFonts w:ascii="Arial" w:cs="Arial" w:eastAsia="Arial" w:hAnsi="Arial"/>
          <w:sz w:val="14"/>
          <w:szCs w:val="14"/>
          <w:color w:val="auto"/>
        </w:rPr>
        <w:t>. Tenant and all beneficial owners of Tenant are currently (a) in compliance with and shall at all times during the Term of the Lease remain in compliance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of the Office of Foreign Assets Control (“</w:t>
      </w:r>
      <w:r>
        <w:rPr>
          <w:rFonts w:ascii="Arial" w:cs="Arial" w:eastAsia="Arial" w:hAnsi="Arial"/>
          <w:sz w:val="14"/>
          <w:szCs w:val="14"/>
          <w:b w:val="1"/>
          <w:bCs w:val="1"/>
          <w:color w:val="auto"/>
        </w:rPr>
        <w:t>OFAC</w:t>
      </w:r>
      <w:r>
        <w:rPr>
          <w:rFonts w:ascii="Arial" w:cs="Arial" w:eastAsia="Arial" w:hAnsi="Arial"/>
          <w:sz w:val="14"/>
          <w:szCs w:val="14"/>
          <w:color w:val="auto"/>
        </w:rPr>
        <w:t>”) of the U.S. Department of Treasury and any statute, executive order, or regulation relating thereto (collectively, the “</w:t>
      </w:r>
      <w:r>
        <w:rPr>
          <w:rFonts w:ascii="Arial" w:cs="Arial" w:eastAsia="Arial" w:hAnsi="Arial"/>
          <w:sz w:val="14"/>
          <w:szCs w:val="14"/>
          <w:b w:val="1"/>
          <w:bCs w:val="1"/>
          <w:color w:val="auto"/>
        </w:rPr>
        <w:t>OFAC</w:t>
      </w:r>
      <w:r>
        <w:rPr>
          <w:rFonts w:ascii="Arial" w:cs="Arial" w:eastAsia="Arial" w:hAnsi="Arial"/>
          <w:sz w:val="14"/>
          <w:szCs w:val="14"/>
          <w:color w:val="auto"/>
        </w:rPr>
        <w:t xml:space="preserve"> </w:t>
      </w:r>
      <w:r>
        <w:rPr>
          <w:rFonts w:ascii="Arial" w:cs="Arial" w:eastAsia="Arial" w:hAnsi="Arial"/>
          <w:sz w:val="14"/>
          <w:szCs w:val="14"/>
          <w:b w:val="1"/>
          <w:bCs w:val="1"/>
          <w:color w:val="auto"/>
        </w:rPr>
        <w:t>Rules</w:t>
      </w:r>
      <w:r>
        <w:rPr>
          <w:rFonts w:ascii="Arial" w:cs="Arial" w:eastAsia="Arial" w:hAnsi="Arial"/>
          <w:sz w:val="14"/>
          <w:szCs w:val="14"/>
          <w:color w:val="auto"/>
        </w:rPr>
        <w:t>”), (b) not listed on, and shall not during the term of the Lease be listed on, the Specially Designated Nationals and Blocked Persons List, Foreign Sanctions Evaders List or the</w:t>
      </w:r>
      <w:r>
        <w:rPr>
          <w:rFonts w:ascii="Arial" w:cs="Arial" w:eastAsia="Arial" w:hAnsi="Arial"/>
          <w:sz w:val="14"/>
          <w:szCs w:val="14"/>
          <w:b w:val="1"/>
          <w:bCs w:val="1"/>
          <w:color w:val="auto"/>
        </w:rPr>
        <w:t xml:space="preserve"> </w:t>
      </w:r>
      <w:r>
        <w:rPr>
          <w:rFonts w:ascii="Arial" w:cs="Arial" w:eastAsia="Arial" w:hAnsi="Arial"/>
          <w:sz w:val="14"/>
          <w:szCs w:val="14"/>
          <w:color w:val="auto"/>
        </w:rPr>
        <w:t>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16" w:lineRule="exact"/>
        <w:rPr>
          <w:rFonts w:ascii="Arial" w:cs="Arial" w:eastAsia="Arial" w:hAnsi="Arial"/>
          <w:sz w:val="14"/>
          <w:szCs w:val="14"/>
          <w:color w:val="auto"/>
        </w:rPr>
      </w:pPr>
    </w:p>
    <w:p>
      <w:pPr>
        <w:jc w:val="both"/>
        <w:ind w:firstLine="492"/>
        <w:spacing w:after="0" w:line="218" w:lineRule="auto"/>
        <w:tabs>
          <w:tab w:leader="none" w:pos="861"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two (2) or more counterparts, each of which shall be deemed an original, but all of which together shall constitute one</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Agreement and all matters related thereto, with such electronic signatures having the same legal effect as original signatures.</w:t>
      </w:r>
    </w:p>
    <w:p>
      <w:pPr>
        <w:spacing w:after="0" w:line="116" w:lineRule="exact"/>
        <w:rPr>
          <w:rFonts w:ascii="Arial" w:cs="Arial" w:eastAsia="Arial" w:hAnsi="Arial"/>
          <w:sz w:val="14"/>
          <w:szCs w:val="14"/>
          <w:color w:val="auto"/>
        </w:rPr>
      </w:pPr>
    </w:p>
    <w:p>
      <w:pPr>
        <w:ind w:firstLine="492"/>
        <w:spacing w:after="0" w:line="234" w:lineRule="auto"/>
        <w:tabs>
          <w:tab w:leader="none" w:pos="831" w:val="left"/>
        </w:tabs>
        <w:numPr>
          <w:ilvl w:val="0"/>
          <w:numId w:val="43"/>
        </w:numPr>
        <w:rPr>
          <w:rFonts w:ascii="Arial" w:cs="Arial" w:eastAsia="Arial" w:hAnsi="Arial"/>
          <w:sz w:val="14"/>
          <w:szCs w:val="14"/>
          <w:color w:val="auto"/>
        </w:rPr>
      </w:pPr>
      <w:r>
        <w:rPr>
          <w:rFonts w:ascii="Arial" w:cs="Arial" w:eastAsia="Arial" w:hAnsi="Arial"/>
          <w:sz w:val="14"/>
          <w:szCs w:val="14"/>
          <w:b w:val="1"/>
          <w:bCs w:val="1"/>
          <w:color w:val="auto"/>
        </w:rPr>
        <w:t>Authority</w:t>
      </w:r>
      <w:r>
        <w:rPr>
          <w:rFonts w:ascii="Arial" w:cs="Arial" w:eastAsia="Arial" w:hAnsi="Arial"/>
          <w:sz w:val="14"/>
          <w:szCs w:val="14"/>
          <w:color w:val="auto"/>
        </w:rPr>
        <w:t>. Landlord and Tenant hereby represent: (i) that each individual executing this Agreement on behalf Landlord or Tenant is duly authorized by that party to execute or</w:t>
      </w:r>
      <w:r>
        <w:rPr>
          <w:rFonts w:ascii="Arial" w:cs="Arial" w:eastAsia="Arial" w:hAnsi="Arial"/>
          <w:sz w:val="14"/>
          <w:szCs w:val="14"/>
          <w:b w:val="1"/>
          <w:bCs w:val="1"/>
          <w:color w:val="auto"/>
        </w:rPr>
        <w:t xml:space="preserve"> </w:t>
      </w:r>
      <w:r>
        <w:rPr>
          <w:rFonts w:ascii="Arial" w:cs="Arial" w:eastAsia="Arial" w:hAnsi="Arial"/>
          <w:sz w:val="14"/>
          <w:szCs w:val="14"/>
          <w:color w:val="auto"/>
        </w:rPr>
        <w:t>attest and deliver this Agreement on behalf of that party in accordance with its organizational documents; and (ii) that this Agreement is binding upon Landlord and Tenant.</w:t>
      </w:r>
    </w:p>
    <w:p>
      <w:pPr>
        <w:spacing w:after="0" w:line="125" w:lineRule="exact"/>
        <w:rPr>
          <w:rFonts w:ascii="Arial" w:cs="Arial" w:eastAsia="Arial" w:hAnsi="Arial"/>
          <w:sz w:val="14"/>
          <w:szCs w:val="14"/>
          <w:color w:val="auto"/>
        </w:rPr>
      </w:pPr>
    </w:p>
    <w:p>
      <w:pPr>
        <w:jc w:val="both"/>
        <w:ind w:firstLine="492"/>
        <w:spacing w:after="0" w:line="268" w:lineRule="auto"/>
        <w:tabs>
          <w:tab w:leader="none" w:pos="940" w:val="left"/>
        </w:tabs>
        <w:numPr>
          <w:ilvl w:val="0"/>
          <w:numId w:val="43"/>
        </w:numPr>
        <w:rPr>
          <w:rFonts w:ascii="Arial" w:cs="Arial" w:eastAsia="Arial" w:hAnsi="Arial"/>
          <w:sz w:val="12"/>
          <w:szCs w:val="12"/>
          <w:color w:val="auto"/>
        </w:rPr>
      </w:pPr>
      <w:r>
        <w:rPr>
          <w:rFonts w:ascii="Arial" w:cs="Arial" w:eastAsia="Arial" w:hAnsi="Arial"/>
          <w:sz w:val="12"/>
          <w:szCs w:val="12"/>
          <w:b w:val="1"/>
          <w:bCs w:val="1"/>
          <w:color w:val="auto"/>
        </w:rPr>
        <w:t>Brokers</w:t>
      </w:r>
      <w:r>
        <w:rPr>
          <w:rFonts w:ascii="Arial" w:cs="Arial" w:eastAsia="Arial" w:hAnsi="Arial"/>
          <w:sz w:val="12"/>
          <w:szCs w:val="12"/>
          <w:color w:val="auto"/>
        </w:rPr>
        <w:t>. Landlord and Tenant each represents and warrants that it has not dealt with any broker, agent or other person (collectively, “</w:t>
      </w:r>
      <w:r>
        <w:rPr>
          <w:rFonts w:ascii="Arial" w:cs="Arial" w:eastAsia="Arial" w:hAnsi="Arial"/>
          <w:sz w:val="12"/>
          <w:szCs w:val="12"/>
          <w:b w:val="1"/>
          <w:bCs w:val="1"/>
          <w:color w:val="auto"/>
        </w:rPr>
        <w:t>Broker</w:t>
      </w:r>
      <w:r>
        <w:rPr>
          <w:rFonts w:ascii="Arial" w:cs="Arial" w:eastAsia="Arial" w:hAnsi="Arial"/>
          <w:sz w:val="12"/>
          <w:szCs w:val="12"/>
          <w:color w:val="auto"/>
        </w:rPr>
        <w:t>”) in connection with this</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 and that no Broker brought about the transaction contemplated by this Agreement. Landlord and Tenant each hereby agrees to indemnify and hold the other harmless from and against any claims by any other Broker claiming a commission or other for or compensation by virtue of having dealt with Tenant or Landlord, as applicable, with regard to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[Signatures are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1"/>
          <w:szCs w:val="11"/>
          <w:color w:val="auto"/>
        </w:rPr>
        <w:t>747545889.1</w:t>
      </w:r>
      <w:r>
        <w:rPr>
          <w:sz w:val="20"/>
          <w:szCs w:val="20"/>
          <w:color w:val="auto"/>
        </w:rPr>
        <w:tab/>
      </w:r>
      <w:r>
        <w:rPr>
          <w:rFonts w:ascii="Arial" w:cs="Arial" w:eastAsia="Arial" w:hAnsi="Arial"/>
          <w:sz w:val="14"/>
          <w:szCs w:val="14"/>
          <w:color w:val="auto"/>
        </w:rPr>
        <w:t>2</w:t>
      </w:r>
    </w:p>
    <w:p>
      <w:pPr>
        <w:sectPr>
          <w:pgSz w:w="11900" w:h="16838" w:orient="portrait"/>
          <w:cols w:equalWidth="0" w:num="1">
            <w:col w:w="11280"/>
          </w:cols>
          <w:pgMar w:left="300" w:top="1095" w:right="31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1"/>
          <w:szCs w:val="11"/>
          <w:color w:val="auto"/>
        </w:rPr>
        <w:t>747545889.1</w:t>
      </w:r>
      <w:r>
        <w:rPr>
          <w:sz w:val="20"/>
          <w:szCs w:val="20"/>
          <w:color w:val="auto"/>
        </w:rPr>
        <w:tab/>
      </w:r>
      <w:r>
        <w:rPr>
          <w:rFonts w:ascii="Arial" w:cs="Arial" w:eastAsia="Arial" w:hAnsi="Arial"/>
          <w:sz w:val="14"/>
          <w:szCs w:val="14"/>
          <w:color w:val="auto"/>
        </w:rPr>
        <w:t>3</w:t>
      </w:r>
    </w:p>
    <w:p>
      <w:pPr>
        <w:sectPr>
          <w:pgSz w:w="11900" w:h="16838" w:orient="portrait"/>
          <w:cols w:equalWidth="0" w:num="1">
            <w:col w:w="10159"/>
          </w:cols>
          <w:pgMar w:left="300" w:top="1440" w:right="1440"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IN WITNESS WHEREOF, the parties have executed this Agreement as of the date first written above.</w:t>
      </w:r>
    </w:p>
    <w:p>
      <w:pPr>
        <w:spacing w:after="0" w:line="15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TENANT:</w:t>
      </w:r>
    </w:p>
    <w:p>
      <w:pPr>
        <w:spacing w:after="0" w:line="131"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TEMPEST THERAPEUTICS, INC.</w:t>
      </w:r>
      <w:r>
        <w:rPr>
          <w:rFonts w:ascii="Arial" w:cs="Arial" w:eastAsia="Arial" w:hAnsi="Arial"/>
          <w:sz w:val="14"/>
          <w:szCs w:val="14"/>
          <w:color w:val="auto"/>
        </w:rPr>
        <w:t>,</w:t>
      </w:r>
    </w:p>
    <w:p>
      <w:pPr>
        <w:ind w:left="2460"/>
        <w:spacing w:after="0"/>
        <w:rPr>
          <w:sz w:val="20"/>
          <w:szCs w:val="20"/>
          <w:color w:val="auto"/>
        </w:rPr>
      </w:pPr>
      <w:r>
        <w:rPr>
          <w:rFonts w:ascii="Arial" w:cs="Arial" w:eastAsia="Arial" w:hAnsi="Arial"/>
          <w:sz w:val="14"/>
          <w:szCs w:val="14"/>
          <w:color w:val="auto"/>
        </w:rPr>
        <w:t>a Delaware corporation</w:t>
      </w:r>
    </w:p>
    <w:p>
      <w:pPr>
        <w:spacing w:after="0" w:line="281"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Nicholas Maestas</w:t>
      </w:r>
    </w:p>
    <w:p>
      <w:pPr>
        <w:ind w:left="2460"/>
        <w:spacing w:after="0" w:line="197" w:lineRule="auto"/>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Nicholas Maestas</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Its: Vice President, Strategy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-17145</wp:posOffset>
            </wp:positionV>
            <wp:extent cx="14255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425575" cy="6350"/>
                    </a:xfrm>
                    <a:prstGeom prst="rect">
                      <a:avLst/>
                    </a:prstGeom>
                    <a:noFill/>
                  </pic:spPr>
                </pic:pic>
              </a:graphicData>
            </a:graphic>
          </wp:anchor>
        </w:drawing>
      </w:r>
    </w:p>
    <w:p>
      <w:pPr>
        <w:spacing w:after="0" w:line="97"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X I hereby certify that the signature, name,</w:t>
      </w:r>
    </w:p>
    <w:p>
      <w:pPr>
        <w:ind w:left="2460"/>
        <w:spacing w:after="0"/>
        <w:rPr>
          <w:sz w:val="20"/>
          <w:szCs w:val="20"/>
          <w:color w:val="auto"/>
        </w:rPr>
      </w:pPr>
      <w:r>
        <w:rPr>
          <w:rFonts w:ascii="Arial" w:cs="Arial" w:eastAsia="Arial" w:hAnsi="Arial"/>
          <w:sz w:val="14"/>
          <w:szCs w:val="14"/>
          <w:color w:val="auto"/>
        </w:rPr>
        <w:t>and title above are my signature, name and title</w:t>
      </w:r>
    </w:p>
    <w:p>
      <w:pPr>
        <w:spacing w:after="0" w:line="200" w:lineRule="exact"/>
        <w:rPr>
          <w:sz w:val="20"/>
          <w:szCs w:val="20"/>
          <w:color w:val="auto"/>
        </w:rPr>
      </w:pPr>
    </w:p>
    <w:p>
      <w:pPr>
        <w:spacing w:after="0" w:line="268"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LANDLORD:</w:t>
      </w:r>
    </w:p>
    <w:p>
      <w:pPr>
        <w:spacing w:after="0" w:line="131"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ARE-SAN FRANCISCO NO. 17, LLC</w:t>
      </w:r>
      <w:r>
        <w:rPr>
          <w:rFonts w:ascii="Arial" w:cs="Arial" w:eastAsia="Arial" w:hAnsi="Arial"/>
          <w:sz w:val="14"/>
          <w:szCs w:val="14"/>
          <w:color w:val="auto"/>
        </w:rPr>
        <w:t>,</w:t>
      </w:r>
    </w:p>
    <w:p>
      <w:pPr>
        <w:ind w:left="2460"/>
        <w:spacing w:after="0"/>
        <w:rPr>
          <w:sz w:val="20"/>
          <w:szCs w:val="20"/>
          <w:color w:val="auto"/>
        </w:rPr>
      </w:pPr>
      <w:r>
        <w:rPr>
          <w:rFonts w:ascii="Arial" w:cs="Arial" w:eastAsia="Arial" w:hAnsi="Arial"/>
          <w:sz w:val="14"/>
          <w:szCs w:val="14"/>
          <w:color w:val="auto"/>
        </w:rPr>
        <w:t>a Delaware limited liability company</w:t>
      </w:r>
    </w:p>
    <w:p>
      <w:pPr>
        <w:spacing w:after="0" w:line="107" w:lineRule="exact"/>
        <w:rPr>
          <w:sz w:val="20"/>
          <w:szCs w:val="20"/>
          <w:color w:val="auto"/>
        </w:rPr>
      </w:pPr>
    </w:p>
    <w:p>
      <w:pPr>
        <w:ind w:left="2460"/>
        <w:spacing w:after="0"/>
        <w:tabs>
          <w:tab w:leader="none" w:pos="2780" w:val="left"/>
        </w:tabs>
        <w:rPr>
          <w:sz w:val="20"/>
          <w:szCs w:val="20"/>
          <w:color w:val="auto"/>
        </w:rPr>
      </w:pPr>
      <w:r>
        <w:rPr>
          <w:rFonts w:ascii="Arial" w:cs="Arial" w:eastAsia="Arial" w:hAnsi="Arial"/>
          <w:sz w:val="14"/>
          <w:szCs w:val="14"/>
          <w:color w:val="auto"/>
        </w:rPr>
        <w:t>By:</w:t>
        <w:tab/>
        <w:t>ALEXANDRIA REAL ESTATE EQUITIES, L.P.,</w:t>
      </w:r>
    </w:p>
    <w:p>
      <w:pPr>
        <w:ind w:left="2940"/>
        <w:spacing w:after="0" w:line="213" w:lineRule="auto"/>
        <w:rPr>
          <w:sz w:val="20"/>
          <w:szCs w:val="20"/>
          <w:color w:val="auto"/>
        </w:rPr>
      </w:pPr>
      <w:r>
        <w:rPr>
          <w:rFonts w:ascii="Arial" w:cs="Arial" w:eastAsia="Arial" w:hAnsi="Arial"/>
          <w:sz w:val="14"/>
          <w:szCs w:val="14"/>
          <w:color w:val="auto"/>
        </w:rPr>
        <w:t>a Delaware limited partnership,</w:t>
      </w:r>
    </w:p>
    <w:p>
      <w:pPr>
        <w:ind w:left="2940"/>
        <w:spacing w:after="0"/>
        <w:rPr>
          <w:sz w:val="20"/>
          <w:szCs w:val="20"/>
          <w:color w:val="auto"/>
        </w:rPr>
      </w:pPr>
      <w:r>
        <w:rPr>
          <w:rFonts w:ascii="Arial" w:cs="Arial" w:eastAsia="Arial" w:hAnsi="Arial"/>
          <w:sz w:val="14"/>
          <w:szCs w:val="14"/>
          <w:color w:val="auto"/>
        </w:rPr>
        <w:t>managing member</w:t>
      </w:r>
    </w:p>
    <w:p>
      <w:pPr>
        <w:spacing w:after="0" w:line="107" w:lineRule="exact"/>
        <w:rPr>
          <w:sz w:val="20"/>
          <w:szCs w:val="20"/>
          <w:color w:val="auto"/>
        </w:rPr>
      </w:pPr>
    </w:p>
    <w:p>
      <w:pPr>
        <w:ind w:left="2940"/>
        <w:spacing w:after="0"/>
        <w:tabs>
          <w:tab w:leader="none" w:pos="3260" w:val="left"/>
        </w:tabs>
        <w:rPr>
          <w:sz w:val="20"/>
          <w:szCs w:val="20"/>
          <w:color w:val="auto"/>
        </w:rPr>
      </w:pPr>
      <w:r>
        <w:rPr>
          <w:rFonts w:ascii="Arial" w:cs="Arial" w:eastAsia="Arial" w:hAnsi="Arial"/>
          <w:sz w:val="14"/>
          <w:szCs w:val="14"/>
          <w:color w:val="auto"/>
        </w:rPr>
        <w:t>By:</w:t>
        <w:tab/>
        <w:t>ARE-QRS CORP.,</w:t>
      </w:r>
    </w:p>
    <w:p>
      <w:pPr>
        <w:ind w:left="3440"/>
        <w:spacing w:after="0" w:line="213" w:lineRule="auto"/>
        <w:rPr>
          <w:sz w:val="20"/>
          <w:szCs w:val="20"/>
          <w:color w:val="auto"/>
        </w:rPr>
      </w:pPr>
      <w:r>
        <w:rPr>
          <w:rFonts w:ascii="Arial" w:cs="Arial" w:eastAsia="Arial" w:hAnsi="Arial"/>
          <w:sz w:val="14"/>
          <w:szCs w:val="14"/>
          <w:color w:val="auto"/>
        </w:rPr>
        <w:t>a Maryland corporation,</w:t>
      </w:r>
    </w:p>
    <w:p>
      <w:pPr>
        <w:ind w:left="3440"/>
        <w:spacing w:after="0"/>
        <w:rPr>
          <w:sz w:val="20"/>
          <w:szCs w:val="20"/>
          <w:color w:val="auto"/>
        </w:rPr>
      </w:pPr>
      <w:r>
        <w:rPr>
          <w:rFonts w:ascii="Arial" w:cs="Arial" w:eastAsia="Arial" w:hAnsi="Arial"/>
          <w:sz w:val="14"/>
          <w:szCs w:val="14"/>
          <w:color w:val="auto"/>
        </w:rPr>
        <w:t>general partner</w:t>
      </w:r>
    </w:p>
    <w:p>
      <w:pPr>
        <w:spacing w:after="0" w:line="107"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Kristen Childs</w:t>
      </w:r>
    </w:p>
    <w:p>
      <w:pPr>
        <w:ind w:left="3440"/>
        <w:spacing w:after="0" w:line="213" w:lineRule="auto"/>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Kristen Childs</w:t>
      </w:r>
    </w:p>
    <w:p>
      <w:pPr>
        <w:ind w:left="3440"/>
        <w:spacing w:after="0"/>
        <w:rPr>
          <w:sz w:val="20"/>
          <w:szCs w:val="20"/>
          <w:color w:val="auto"/>
        </w:rPr>
      </w:pPr>
      <w:r>
        <w:rPr>
          <w:rFonts w:ascii="Arial" w:cs="Arial" w:eastAsia="Arial" w:hAnsi="Arial"/>
          <w:sz w:val="14"/>
          <w:szCs w:val="14"/>
          <w:color w:val="auto"/>
        </w:rPr>
        <w:t>Its: Vice President –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1"/>
          <w:szCs w:val="11"/>
          <w:color w:val="auto"/>
        </w:rPr>
        <w:t>747545889.1</w:t>
      </w:r>
      <w:r>
        <w:rPr>
          <w:sz w:val="20"/>
          <w:szCs w:val="20"/>
          <w:color w:val="auto"/>
        </w:rPr>
        <w:tab/>
      </w:r>
      <w:r>
        <w:rPr>
          <w:rFonts w:ascii="Arial" w:cs="Arial" w:eastAsia="Arial" w:hAnsi="Arial"/>
          <w:sz w:val="14"/>
          <w:szCs w:val="14"/>
          <w:color w:val="auto"/>
        </w:rPr>
        <w:t>4</w:t>
      </w:r>
    </w:p>
    <w:p>
      <w:pPr>
        <w:sectPr>
          <w:pgSz w:w="11900" w:h="16838" w:orient="portrait"/>
          <w:cols w:equalWidth="0" w:num="1">
            <w:col w:w="10159"/>
          </w:cols>
          <w:pgMar w:left="300" w:top="1097"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Brady, certify that:</w:t>
      </w:r>
    </w:p>
    <w:p>
      <w:pPr>
        <w:spacing w:after="0" w:line="186" w:lineRule="exact"/>
        <w:rPr>
          <w:sz w:val="20"/>
          <w:szCs w:val="20"/>
          <w:color w:val="auto"/>
        </w:rPr>
      </w:pPr>
    </w:p>
    <w:p>
      <w:pPr>
        <w:ind w:left="240" w:hanging="23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Tempest Therapeutics, Inc.;</w:t>
      </w:r>
    </w:p>
    <w:p>
      <w:pPr>
        <w:spacing w:after="0" w:line="18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4"/>
          <w:szCs w:val="14"/>
          <w:color w:val="auto"/>
        </w:rPr>
      </w:pPr>
    </w:p>
    <w:p>
      <w:pPr>
        <w:ind w:left="560" w:hanging="313"/>
        <w:spacing w:after="0" w:line="264" w:lineRule="auto"/>
        <w:tabs>
          <w:tab w:leader="none" w:pos="55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540" w:hanging="293"/>
        <w:spacing w:after="0"/>
        <w:tabs>
          <w:tab w:leader="none" w:pos="54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15, 2022</w:t>
      </w:r>
    </w:p>
    <w:p>
      <w:pPr>
        <w:spacing w:after="0" w:line="18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jc w:val="center"/>
        <w:ind w:right="1900"/>
        <w:spacing w:after="0" w:line="213" w:lineRule="auto"/>
        <w:rPr>
          <w:sz w:val="20"/>
          <w:szCs w:val="20"/>
          <w:color w:val="auto"/>
        </w:rPr>
      </w:pPr>
      <w:r>
        <w:rPr>
          <w:rFonts w:ascii="Times New Roman" w:cs="Times New Roman" w:eastAsia="Times New Roman" w:hAnsi="Times New Roman"/>
          <w:sz w:val="14"/>
          <w:szCs w:val="14"/>
          <w:color w:val="auto"/>
        </w:rPr>
        <w:t>Stephen Brady</w:t>
      </w:r>
    </w:p>
    <w:p>
      <w:pPr>
        <w:jc w:val="center"/>
        <w:ind w:right="18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040"/>
          </w:cols>
          <w:pgMar w:left="300" w:top="1113" w:right="5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Nicholas Maestas, certify that:</w:t>
      </w:r>
    </w:p>
    <w:p>
      <w:pPr>
        <w:spacing w:after="0" w:line="186" w:lineRule="exact"/>
        <w:rPr>
          <w:sz w:val="20"/>
          <w:szCs w:val="20"/>
          <w:color w:val="auto"/>
        </w:rPr>
      </w:pPr>
    </w:p>
    <w:p>
      <w:pPr>
        <w:ind w:left="240" w:hanging="238"/>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Tempest Therapeutics, Inc.;</w:t>
      </w:r>
    </w:p>
    <w:p>
      <w:pPr>
        <w:spacing w:after="0" w:line="18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sz w:val="20"/>
          <w:szCs w:val="20"/>
          <w:color w:val="auto"/>
        </w:rPr>
      </w:pPr>
    </w:p>
    <w:p>
      <w:pPr>
        <w:ind w:left="500" w:hanging="244"/>
        <w:spacing w:after="0" w:line="264" w:lineRule="auto"/>
        <w:rPr>
          <w:sz w:val="20"/>
          <w:szCs w:val="20"/>
          <w:color w:val="auto"/>
        </w:rPr>
      </w:pPr>
      <w:r>
        <w:rPr>
          <w:rFonts w:ascii="Times New Roman" w:cs="Times New Roman" w:eastAsia="Times New Roman" w:hAnsi="Times New Roman"/>
          <w:sz w:val="14"/>
          <w:szCs w:val="14"/>
          <w:color w:val="auto"/>
        </w:rPr>
        <w:t>(a) Designed such disclosure controls and procedures, or caused such disclosure controls and procedures</w:t>
      </w:r>
      <w:r>
        <w:rPr>
          <w:sz w:val="20"/>
          <w:szCs w:val="20"/>
          <w:color w:val="auto"/>
        </w:rPr>
        <w:t xml:space="preserve"> </w:t>
      </w:r>
      <w:r>
        <w:rPr>
          <w:rFonts w:ascii="Times New Roman" w:cs="Times New Roman" w:eastAsia="Times New Roman" w:hAnsi="Times New Roman"/>
          <w:sz w:val="14"/>
          <w:szCs w:val="14"/>
          <w:color w:val="auto"/>
        </w:rPr>
        <w:t>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sz w:val="20"/>
          <w:szCs w:val="20"/>
          <w:color w:val="auto"/>
        </w:rPr>
      </w:pPr>
    </w:p>
    <w:p>
      <w:pPr>
        <w:ind w:left="500" w:hanging="253"/>
        <w:spacing w:after="0" w:line="264" w:lineRule="auto"/>
        <w:tabs>
          <w:tab w:leader="none" w:pos="495"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00" w:hanging="253"/>
        <w:spacing w:after="0" w:line="264" w:lineRule="auto"/>
        <w:tabs>
          <w:tab w:leader="none" w:pos="49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240" w:hanging="238"/>
        <w:spacing w:after="0" w:line="264" w:lineRule="auto"/>
        <w:tabs>
          <w:tab w:leader="none" w:pos="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4"/>
          <w:szCs w:val="14"/>
          <w:color w:val="auto"/>
        </w:rPr>
      </w:pPr>
    </w:p>
    <w:p>
      <w:pPr>
        <w:ind w:left="500" w:hanging="253"/>
        <w:spacing w:after="0" w:line="264" w:lineRule="auto"/>
        <w:tabs>
          <w:tab w:leader="none" w:pos="49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480" w:hanging="233"/>
        <w:spacing w:after="0"/>
        <w:tabs>
          <w:tab w:leader="none" w:pos="48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15, 2022</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Nicholas Maestas</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Vice-President, Strategy and Finance</w:t>
      </w:r>
    </w:p>
    <w:p>
      <w:pPr>
        <w:sectPr>
          <w:pgSz w:w="11900" w:h="16838" w:orient="portrait"/>
          <w:cols w:equalWidth="0" w:num="1">
            <w:col w:w="11040"/>
          </w:cols>
          <w:pgMar w:left="300" w:top="1103" w:right="5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63" w:lineRule="exact"/>
        <w:rPr>
          <w:sz w:val="20"/>
          <w:szCs w:val="20"/>
          <w:color w:val="auto"/>
        </w:rPr>
      </w:pPr>
    </w:p>
    <w:p>
      <w:pPr>
        <w:ind w:left="240" w:hanging="238"/>
        <w:spacing w:after="0" w:line="264" w:lineRule="auto"/>
        <w:tabs>
          <w:tab w:leader="none" w:pos="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5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Dated: August 15, 2022</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have set their hands hereto as of the 15th day of August 2022.</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Stephen Brady</w:t>
            </w:r>
          </w:p>
        </w:tc>
        <w:tc>
          <w:tcPr>
            <w:tcW w:w="27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/s/ Nicholas Maestas</w:t>
            </w:r>
          </w:p>
        </w:tc>
      </w:tr>
      <w:tr>
        <w:trPr>
          <w:trHeight w:val="182"/>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Stephen Brady</w:t>
            </w:r>
          </w:p>
        </w:tc>
        <w:tc>
          <w:tcPr>
            <w:tcW w:w="5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Nicholas Maestas</w:t>
            </w:r>
          </w:p>
        </w:tc>
        <w:tc>
          <w:tcPr>
            <w:tcW w:w="8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27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w w:val="95"/>
              </w:rPr>
              <w:t>Vice-President, Strategy and Finance</w:t>
            </w:r>
          </w:p>
        </w:tc>
      </w:tr>
    </w:tbl>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40"/>
      </w:cols>
      <w:pgMar w:left="300" w:top="110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9"/>
    </w:lvl>
  </w:abstractNum>
  <w:abstractNum w:abstractNumId="6">
    <w:nsid w:val="71F32454"/>
    <w:multiLevelType w:val="hybridMultilevel"/>
    <w:lvl w:ilvl="0">
      <w:lvlJc w:val="left"/>
      <w:lvlText w:val="%1."/>
      <w:numFmt w:val="decimal"/>
      <w:start w:val="8"/>
    </w:lvl>
  </w:abstractNum>
  <w:abstractNum w:abstractNumId="7">
    <w:nsid w:val="2CA88611"/>
    <w:multiLevelType w:val="hybridMultilevel"/>
    <w:lvl w:ilvl="0">
      <w:lvlJc w:val="left"/>
      <w:lvlText w:val="%1."/>
      <w:numFmt w:val="decimal"/>
      <w:start w:val="9"/>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Roman"/>
      <w:start w:val="1"/>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2"/>
      <w:numFmt w:val="decimal"/>
      <w:start w:val="104"/>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upperLetter"/>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2"/>
    </w:lvl>
  </w:abstractNum>
  <w:abstractNum w:abstractNumId="46">
    <w:nsid w:val="38437FDB"/>
    <w:multiLevelType w:val="hybridMultilevel"/>
    <w:lvl w:ilvl="0">
      <w:lvlJc w:val="left"/>
      <w:lvlText w:val="%1."/>
      <w:numFmt w:val="decimal"/>
      <w:start w:val="5"/>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83" Type="http://schemas.openxmlformats.org/officeDocument/2006/relationships/hyperlink" Target="https://www.sec.gov/Archives/edgar/data/1544227/000110465921042768/tm2111026d1_ex2-1.htm" TargetMode="External"/><Relationship Id="rId84" Type="http://schemas.openxmlformats.org/officeDocument/2006/relationships/hyperlink" Target="https://www.sec.gov/Archives/edgar/data/1544227/000155837019005038/mlnd-20190331ex31b53fa83.htm" TargetMode="External"/><Relationship Id="rId85" Type="http://schemas.openxmlformats.org/officeDocument/2006/relationships/hyperlink" Target="https://www.sec.gov/Archives/edgar/data/1544227/000119312521201157/d196630dex31.htm" TargetMode="External"/><Relationship Id="rId86" Type="http://schemas.openxmlformats.org/officeDocument/2006/relationships/hyperlink" Target="https://www.sec.gov/Archives/edgar/data/1544227/000119312521201157/d196630dex32.htm" TargetMode="External"/><Relationship Id="rId87" Type="http://schemas.openxmlformats.org/officeDocument/2006/relationships/hyperlink" Target="https://www.sec.gov/Archives/edgar/data/1544227/000119312521281694/d222030dex31.htm" TargetMode="External"/><Relationship Id="rId88" Type="http://schemas.openxmlformats.org/officeDocument/2006/relationships/hyperlink" Target="https://www.sec.gov/Archives/edgar/data/1544227/000119312522135401/d212050dex101.htm" TargetMode="External"/><Relationship Id="rId89" Type="http://schemas.openxmlformats.org/officeDocument/2006/relationships/hyperlink" Target="https://www.sec.gov/Archives/edgar/data/1544227/000119312522135401/d212050dex102.htm" TargetMode="External"/><Relationship Id="rId90" Type="http://schemas.openxmlformats.org/officeDocument/2006/relationships/hyperlink" Target="https://www.sec.gov/Archives/edgar/data/1544227/000119312522177053/d370249dex101.htm" TargetMode="External"/><Relationship Id="rId91" Type="http://schemas.openxmlformats.org/officeDocument/2006/relationships/hyperlink" Target="https://www.sec.gov/Archives/edgar/data/1544227/000119312522177053/d37024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2022-08-15T07:15:16Z</dcterms:created>
  <dcterms:modified xsi:type="dcterms:W3CDTF">2022-08-15T07:15:16Z</dcterms:modified>
</cp:coreProperties>
</file>