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40319.htm"/>
      <w:bookmarkStart w:id="1" w:name="kstpst2024031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94" w:type="dxa"/>
        <w:jc w:val="left"/>
        <w:tblInd w:w="0" w:type="dxa"/>
        <w:tblLayout w:type="fixed"/>
        <w:tblCellMar>
          <w:top w:w="28" w:type="dxa"/>
          <w:left w:w="28" w:type="dxa"/>
          <w:bottom w:w="28" w:type="dxa"/>
          <w:right w:w="28" w:type="dxa"/>
        </w:tblCellMar>
      </w:tblPr>
      <w:tblGrid>
        <w:gridCol w:w="5594"/>
      </w:tblGrid>
      <w:tr>
        <w:trPr/>
        <w:tc>
          <w:tcPr>
            <w:tcW w:w="5594" w:type="dxa"/>
            <w:tcBorders/>
            <w:vAlign w:val="center"/>
          </w:tcPr>
          <w:p>
            <w:pPr>
              <w:pStyle w:val="TableContents"/>
              <w:bidi w:val="0"/>
              <w:spacing w:before="0" w:after="283"/>
              <w:jc w:val="left"/>
              <w:rPr>
                <w:sz w:val="4"/>
                <w:szCs w:val="4"/>
              </w:rPr>
            </w:pPr>
            <w:r>
              <w:rPr>
                <w:sz w:val="4"/>
                <w:szCs w:val="4"/>
              </w:rPr>
            </w:r>
          </w:p>
        </w:tc>
      </w:tr>
      <w:tr>
        <w:trPr/>
        <w:tc>
          <w:tcPr>
            <w:tcW w:w="559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March 19,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19, 2024, Tempest Therapeutics, Inc. (the “Company”) issued a press release announcing its financial results for the year ended December 31, 2023 and other business highlights. A copy of the Company’s press release dated March 19, 2024, titled “Tempest Reports Year End 2023 Financial Results and Provides Business Update”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March 19, 2024</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34" w:type="dxa"/>
        <w:jc w:val="left"/>
        <w:tblInd w:w="0" w:type="dxa"/>
        <w:tblLayout w:type="fixed"/>
        <w:tblCellMar>
          <w:top w:w="28" w:type="dxa"/>
          <w:left w:w="28" w:type="dxa"/>
          <w:bottom w:w="28" w:type="dxa"/>
          <w:right w:w="28" w:type="dxa"/>
        </w:tblCellMar>
      </w:tblPr>
      <w:tblGrid>
        <w:gridCol w:w="556"/>
        <w:gridCol w:w="139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19, 2024</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pPr>
      <w:r>
        <w:rPr/>
        <w:drawing>
          <wp:inline distT="0" distB="0" distL="0" distR="0">
            <wp:extent cx="35242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9429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spacing w:before="0" w:after="60"/>
        <w:jc w:val="center"/>
        <w:rPr>
          <w:rFonts w:ascii="Arial" w:hAnsi="Arial"/>
          <w:b/>
          <w:color w:val="000000"/>
          <w:sz w:val="26"/>
        </w:rPr>
      </w:pPr>
      <w:r>
        <w:rPr>
          <w:rFonts w:ascii="Arial" w:hAnsi="Arial"/>
          <w:b/>
          <w:color w:val="000000"/>
          <w:sz w:val="26"/>
        </w:rPr>
        <w:t>Tempest Reports Year End 2023 Financial Results and</w:t>
      </w:r>
    </w:p>
    <w:p>
      <w:pPr>
        <w:pStyle w:val="TextBody"/>
        <w:bidi w:val="0"/>
        <w:spacing w:before="0" w:after="120"/>
        <w:jc w:val="center"/>
        <w:rPr>
          <w:rFonts w:ascii="Arial" w:hAnsi="Arial"/>
          <w:b/>
          <w:color w:val="000000"/>
          <w:sz w:val="26"/>
        </w:rPr>
      </w:pPr>
      <w:r>
        <w:rPr>
          <w:rFonts w:ascii="Arial" w:hAnsi="Arial"/>
          <w:b/>
          <w:color w:val="000000"/>
          <w:sz w:val="26"/>
        </w:rPr>
        <w:t>Provides Business Update</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Announced positive randomized first-line HCC data showing superiority of TPST-1120 combination therapy across multiple study endpoints compared to standard of care</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Reported new biomarker data in two important subpopulations, PD-L1 negative and b-catenin mutant patients, consistent with MoA of TPST-1120</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Preparing to move TPST-1120 into a pivotal Phase 3 trial in HCC and TPST-1495 into a Phase 2 in FAP</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March 19, 2024 </w:t>
      </w:r>
      <w:r>
        <w:rPr>
          <w:rFonts w:ascii="Times New Roman" w:hAnsi="Times New Roman"/>
          <w:color w:val="000000"/>
          <w:sz w:val="20"/>
        </w:rPr>
        <w:t xml:space="preserve">– </w:t>
      </w:r>
      <w:r>
        <w:rPr>
          <w:rFonts w:ascii="Arial" w:hAnsi="Arial"/>
          <w:color w:val="000000"/>
          <w:sz w:val="24"/>
        </w:rPr>
        <w:t>Tempest Therapeutics, Inc. (Nasdaq: TPST), a clinical-stage biotechnology company developing first-in-class</w:t>
      </w:r>
      <w:r>
        <w:rPr>
          <w:rFonts w:ascii="Arial" w:hAnsi="Arial"/>
          <w:color w:val="000000"/>
          <w:sz w:val="16"/>
        </w:rPr>
        <w:t>i</w:t>
      </w:r>
      <w:r>
        <w:rPr>
          <w:rFonts w:ascii="Times New Roman" w:hAnsi="Times New Roman"/>
          <w:color w:val="000000"/>
          <w:sz w:val="20"/>
        </w:rPr>
        <w:t xml:space="preserve"> </w:t>
      </w:r>
      <w:r>
        <w:rPr>
          <w:rFonts w:ascii="Arial" w:hAnsi="Arial"/>
          <w:color w:val="000000"/>
          <w:sz w:val="24"/>
        </w:rPr>
        <w:t>targeted and immune-mediated therapeutics to fight cancer, today reported financial results for the year ended 2023 and provided a corporate update.</w:t>
      </w:r>
    </w:p>
    <w:p>
      <w:pPr>
        <w:pStyle w:val="TextBody"/>
        <w:bidi w:val="0"/>
        <w:spacing w:before="240" w:after="160"/>
        <w:jc w:val="both"/>
        <w:rPr>
          <w:color w:val="000000"/>
        </w:rPr>
      </w:pPr>
      <w:r>
        <w:rPr>
          <w:color w:val="000000"/>
        </w:rPr>
        <w:t>“</w:t>
      </w:r>
      <w:r>
        <w:rPr>
          <w:rFonts w:ascii="Arial" w:hAnsi="Arial"/>
          <w:color w:val="000000"/>
          <w:sz w:val="24"/>
        </w:rPr>
        <w:t>2023 was a transformative year for Tempest. We announced strong positive randomized data showing the benefit of TPST-1120 combination therapy compared to standard-of-care in first-line liver cancer,” said Stephen Brady, president and chief executive officer of Tempest. “These data also showed the predicted positive effect of TPST-1120 in two subpopulations that are common in liver cancer, i.e., patients with PD-L1 negative and cold tumors, as well as patients with a b-catenin mutation, and we believe set up the program for a pivotal Phase 3 trial. We look forward to 2024 as the year Tempest evolves towards becoming a late-stage clinical organization.”</w:t>
      </w:r>
    </w:p>
    <w:p>
      <w:pPr>
        <w:pStyle w:val="TextBody"/>
        <w:bidi w:val="0"/>
        <w:spacing w:before="240" w:after="240"/>
        <w:jc w:val="left"/>
        <w:rPr>
          <w:rFonts w:ascii="Arial" w:hAnsi="Arial"/>
          <w:b/>
          <w:color w:val="000000"/>
          <w:sz w:val="24"/>
        </w:rPr>
      </w:pPr>
      <w:r>
        <w:rPr>
          <w:rFonts w:ascii="Arial" w:hAnsi="Arial"/>
          <w:b/>
          <w:color w:val="000000"/>
          <w:sz w:val="24"/>
        </w:rPr>
        <w:t>2023 Accomplishments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 xml:space="preserve">TPST-1120 </w:t>
      </w:r>
      <w:r>
        <w:rPr>
          <w:rFonts w:ascii="Arial" w:hAnsi="Arial"/>
          <w:color w:val="000000"/>
          <w:sz w:val="24"/>
        </w:rPr>
        <w:t xml:space="preserve">(clinical PPARα antagonist):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Reported positive interim data in April 2023 from the ongoing randomized Phase 1b/2 clinical study evaluating TPST-1120 in combination with the standard-of-care regimen of atezolizumab and bevacizumab in previously untreated patients with advanced unresectable or metastatic hepatocellular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Arial" w:hAnsi="Arial"/>
          <w:color w:val="000000"/>
          <w:sz w:val="24"/>
        </w:rPr>
      </w:pPr>
      <w:r>
        <w:rPr>
          <w:rFonts w:ascii="Arial" w:hAnsi="Arial"/>
          <w:color w:val="000000"/>
          <w:sz w:val="24"/>
        </w:rPr>
        <w:t>carcinoma (“HCC”), compared to patients treated with the standard of care regimen alone. The data demonstrated clinically meaningful improvement in multiple categories and signaled the potential superiority of the TPST-1120 arm in the primary analysis planned for later in the year.</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Reported updated positive data from the ongoing randomized study in October 2023 demonstrating clinical superiority of TPST-1120, when combined with atezolizumab and bevacizumab, as compared to the standard-of-care regimen, across multiple study endpoints in first-line HCC. Data from 40 patients randomized to the TPST-1120 arm and 30 patients randomized to the control arm, with a median follow-up of 9.2 and 9.9 months, respectively, showed:</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 xml:space="preserve">Confirmed objective response rate (“cORR” or “confirmed ORR”) of 30% for the TPST-1120 triplet arm (an increase from 17% in the earlier interim analysis), as compared to 13.3% for the atezolizumab + bevacizumab control arm; duration of response (“DoR”) not yet reached. </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Hazard ratio favors the TPST-1120 arm for key survival endpoints</w:t>
      </w:r>
    </w:p>
    <w:p>
      <w:pPr>
        <w:pStyle w:val="TextBody"/>
        <w:bidi w:val="0"/>
        <w:spacing w:before="10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100" w:after="160"/>
        <w:jc w:val="both"/>
        <w:rPr>
          <w:rFonts w:ascii="Arial" w:hAnsi="Arial"/>
          <w:color w:val="000000"/>
          <w:sz w:val="24"/>
        </w:rPr>
      </w:pPr>
      <w:r>
        <w:rPr>
          <w:rFonts w:ascii="Arial" w:hAnsi="Arial"/>
          <w:color w:val="000000"/>
          <w:sz w:val="24"/>
        </w:rPr>
        <w:t>Progression free survival (“PFS”): median PFS of 7 mo (5.6 mo, 13.8 mo) for TPST-1120 arm versus 4.27 mo (2.8 mo, 7.3 mo) for the control arm; HR of 0.7 favors TPST-1120 arm and is not yet mature</w:t>
      </w:r>
    </w:p>
    <w:p>
      <w:pPr>
        <w:pStyle w:val="TextBody"/>
        <w:bidi w:val="0"/>
        <w:spacing w:before="10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100" w:after="160"/>
        <w:jc w:val="both"/>
        <w:rPr>
          <w:rFonts w:ascii="Arial" w:hAnsi="Arial"/>
          <w:color w:val="000000"/>
          <w:sz w:val="24"/>
        </w:rPr>
      </w:pPr>
      <w:r>
        <w:rPr>
          <w:rFonts w:ascii="Arial" w:hAnsi="Arial"/>
          <w:color w:val="000000"/>
          <w:sz w:val="24"/>
        </w:rPr>
        <w:t>Overall survival (“OS”): median OS not reached for the TPST-1120 arm (10.84 mo, NE) versus 15.1 mo (7.49 mo, NE) for the control arm; HR 0.59 favors TPST-1120 arm and is not yet mature</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 xml:space="preserve">40% of the patients in the TPST-1120 arm were on treatment (16/40) compared to 16.7% in the atezolizumab + bevacizumab control arm (5/30) </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 xml:space="preserve">72.5% of the patients on the TPST-1120 arm were on study (29/40), compared to 46.7% on the atezolizumab + bevacizumab control arm (14/30) </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TPST-1120 remains well tolerated, with safety data comparable between the two arms</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 xml:space="preserve">Presented new translational biomarker findings at the 2023 American Association for Cancer Research (AACR) Annual Meeting from the completed monotherapy and nivolumab combination therapy dose escalation Phase 1 trial in patients with advanced solid tumors, which showed on-target changes in gene signatures in the peripheral blood that were dependent upon drug exposure levels. In addition, distinct on-target changes in both lipid profile and NF-κB pathway regulated immune response gene signatures were observed in patients who achieved a RECIST response, compared with non-responders, following treatment with TPST-1120 and nivolumab.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160"/>
        <w:jc w:val="both"/>
        <w:rPr>
          <w:color w:val="000000"/>
        </w:rPr>
      </w:pPr>
      <w:r>
        <w:rPr>
          <w:color w:val="000000"/>
        </w:rPr>
        <w:t>•</w:t>
      </w:r>
    </w:p>
    <w:p>
      <w:pPr>
        <w:pStyle w:val="TextBody"/>
        <w:bidi w:val="0"/>
        <w:spacing w:before="100" w:after="160"/>
        <w:jc w:val="both"/>
        <w:rPr>
          <w:rFonts w:ascii="Arial" w:hAnsi="Arial"/>
          <w:color w:val="000000"/>
          <w:sz w:val="24"/>
        </w:rPr>
      </w:pPr>
      <w:r>
        <w:rPr>
          <w:rFonts w:ascii="Arial" w:hAnsi="Arial"/>
          <w:color w:val="000000"/>
          <w:sz w:val="24"/>
        </w:rPr>
        <w:t>Presented data at the Society for Immunotherapy of Cancer (SITC) 2023 Spring Scientific Meeting highlighting biomarker data from the Phase 1 trial showing an association between observed clinical benefit of TPST-1120 and fatty acid oxidation perturbations and gene expression.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Presented Phase 1 clinical trial data at the 2023 American Society of Clinical Oncology (ASCO) Annual Meeting showing that in a diverse and treatment-refractory patient population, treatment with TPST-1495 as a monotherapy and in combination with pembrolizumab resulted in tumor shrinkage and prolonged stable disease in certain patients, as well as a durable confirmed partial response in a combination therapy patient with microsatellite stable colorectal cancer, an indication not normally responsive to immunotherapy.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Announced publication in Cancer Research Communications of data highlighting the increased potency of TPST-1495 against prostaglandin-driven tumor models by blocking EP2 and EP4 together.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Continued enrollment of an endometrial cancer-specific arm investigating the two highest doses of TPST-1495 in combination with pembrolizumab.</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4"/>
        </w:rPr>
        <w:t>Potential Future Milestones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TPST-1120 </w:t>
      </w:r>
      <w:r>
        <w:rPr>
          <w:rFonts w:ascii="Arial" w:hAnsi="Arial"/>
          <w:color w:val="000000"/>
          <w:sz w:val="24"/>
        </w:rPr>
        <w:t>(clinical PPARα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Expect to announce updated data from the ongoing randomized study in first-line liver cancer patients in 2024.</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 xml:space="preserve">Plan to advance TPST-1120 into a registrational study in first-line liver cancer patients, subject to obtaining feedback from the FDA.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Plan to advance TPST-1495 into a Phase 2 study in patients with Familial Adenomatous Polyposis (“FAP”) under the auspices of the Cancer Prevention Clinical Trials Network and funded by the National Cancer Institute (“NCI”) Division of Cancer Prevention in 2024, subject to final approval of NCI.</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Expect to report data from the combination arm at the two highest TPST-1495 doses in patients with advanced endometrial cancer in 2024.</w:t>
      </w:r>
    </w:p>
    <w:p>
      <w:pPr>
        <w:pStyle w:val="TextBody"/>
        <w:bidi w:val="0"/>
        <w:spacing w:before="240" w:after="240"/>
        <w:jc w:val="left"/>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rPr>
      </w:pPr>
      <w:r>
        <w:rPr>
          <w:rFonts w:ascii="Arial" w:hAnsi="Arial"/>
          <w:i/>
          <w:color w:val="000000"/>
          <w:sz w:val="24"/>
        </w:rPr>
        <w:t>Year End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Tempest ended the year with $39.2 million in cash and cash equivalents, compared to $31.2 million on December 31, 2022. The increase was primarily due to proceeds from the issuance of common stock of $35.6 million from the at-the-market offering program, offset by cash used in operating activities.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year were $29.5 million and $1.91, respectively, compared to $35.7 million and $3.09, respectively, for the same period in 2022.</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year were $17.5 million compared to $22.5 million for the same period in 2022. The $5.0 million decrease was primarily due to a decrease in costs incurred from contract research organizations and third-party vendors.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year were $11.7 million compared to $12.1 million for the same period in 2022. The $0.4 million decrease was primarily due to a decrease in consulting and professional services.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Based on current cash and operating plan, Tempest expected to have sufficient resources to fund operations into the second quarter of 2025.</w:t>
      </w:r>
    </w:p>
    <w:p>
      <w:pPr>
        <w:pStyle w:val="TextBody"/>
        <w:bidi w:val="0"/>
        <w:spacing w:before="0" w:after="120"/>
        <w:jc w:val="both"/>
        <w:rPr/>
      </w:pPr>
      <w:r>
        <w:rPr/>
        <w:t> </w:t>
      </w:r>
    </w:p>
    <w:p>
      <w:pPr>
        <w:pStyle w:val="TextBody"/>
        <w:bidi w:val="0"/>
        <w:spacing w:before="0" w:after="120"/>
        <w:jc w:val="left"/>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Arial" w:hAnsi="Arial"/>
          <w:sz w:val="24"/>
        </w:rPr>
        <w:t>www.tempesttx.com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color w:val="000000"/>
        </w:rPr>
        <w:t>“</w:t>
      </w:r>
      <w:r>
        <w:rPr>
          <w:rFonts w:ascii="Arial" w:hAnsi="Arial"/>
          <w:color w:val="000000"/>
          <w:sz w:val="24"/>
        </w:rPr>
        <w:t>likely,” “believe,” “estimate,” “project,” “intend,” and other similar expressions. All statements that are not historical facts are forward-looking statements, including any statements regarding: the design, initiation, progress, timing, scope and results of clinical trials; anticipated therapeutic benefit and regulatory development of the Company’s product candidates; the Company’s</w:t>
      </w:r>
      <w:r>
        <w:rPr>
          <w:rFonts w:ascii="Times New Roman" w:hAnsi="Times New Roman"/>
          <w:color w:val="000000"/>
          <w:sz w:val="20"/>
        </w:rPr>
        <w:t xml:space="preserve"> </w:t>
      </w:r>
      <w:r>
        <w:rPr>
          <w:rFonts w:ascii="Arial" w:hAnsi="Arial"/>
          <w:color w:val="000000"/>
          <w:sz w:val="24"/>
        </w:rPr>
        <w:t>ability to deliver on potential value-creating milestones; the Company’s ability to advance into a late-stage clinical company; and the Company’s ability to achieve its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September 30, 2023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10164" w:type="dxa"/>
        <w:jc w:val="left"/>
        <w:tblInd w:w="0" w:type="dxa"/>
        <w:tblLayout w:type="fixed"/>
        <w:tblCellMar>
          <w:top w:w="28" w:type="dxa"/>
          <w:left w:w="28" w:type="dxa"/>
          <w:bottom w:w="28" w:type="dxa"/>
          <w:right w:w="28" w:type="dxa"/>
        </w:tblCellMar>
      </w:tblPr>
      <w:tblGrid>
        <w:gridCol w:w="4806"/>
        <w:gridCol w:w="386"/>
        <w:gridCol w:w="1684"/>
        <w:gridCol w:w="181"/>
        <w:gridCol w:w="146"/>
        <w:gridCol w:w="386"/>
        <w:gridCol w:w="1684"/>
        <w:gridCol w:w="891"/>
      </w:tblGrid>
      <w:tr>
        <w:trPr/>
        <w:tc>
          <w:tcPr>
            <w:tcW w:w="48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927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1" w:type="dxa"/>
            <w:tcBorders/>
            <w:shd w:fill="FFFFFF" w:val="clear"/>
            <w:vAlign w:val="center"/>
          </w:tcPr>
          <w:p>
            <w:pPr>
              <w:pStyle w:val="TableContents"/>
              <w:bidi w:val="0"/>
              <w:spacing w:before="0" w:after="283"/>
              <w:jc w:val="center"/>
              <w:rPr/>
            </w:pPr>
            <w:r>
              <w:rPr/>
              <w:t> </w:t>
            </w:r>
          </w:p>
        </w:tc>
      </w:tr>
      <w:tr>
        <w:trPr/>
        <w:tc>
          <w:tcPr>
            <w:tcW w:w="927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1" w:type="dxa"/>
            <w:tcBorders/>
            <w:shd w:fill="FFFFFF" w:val="clear"/>
            <w:vAlign w:val="center"/>
          </w:tcPr>
          <w:p>
            <w:pPr>
              <w:pStyle w:val="TableContents"/>
              <w:bidi w:val="0"/>
              <w:spacing w:before="0" w:after="283"/>
              <w:jc w:val="center"/>
              <w:rPr/>
            </w:pPr>
            <w:r>
              <w:rPr/>
              <w:t> </w:t>
            </w:r>
          </w:p>
        </w:tc>
      </w:tr>
      <w:tr>
        <w:trPr/>
        <w:tc>
          <w:tcPr>
            <w:tcW w:w="927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1" w:type="dxa"/>
            <w:tcBorders/>
            <w:shd w:fill="FFFFFF" w:val="cle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center"/>
              <w:rPr/>
            </w:pPr>
            <w:r>
              <w:rPr/>
              <w:t> </w:t>
            </w:r>
          </w:p>
        </w:tc>
        <w:tc>
          <w:tcPr>
            <w:tcW w:w="2070"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2"/>
            <w:tcBorders/>
            <w:shd w:fill="FFFFFF" w:val="clear"/>
            <w:vAlign w:val="center"/>
          </w:tcPr>
          <w:p>
            <w:pPr>
              <w:pStyle w:val="TableContents"/>
              <w:bidi w:val="0"/>
              <w:spacing w:before="0" w:after="283"/>
              <w:jc w:val="center"/>
              <w:rPr/>
            </w:pPr>
            <w:r>
              <w:rPr/>
              <w:t> </w:t>
            </w:r>
          </w:p>
        </w:tc>
        <w:tc>
          <w:tcPr>
            <w:tcW w:w="891" w:type="dxa"/>
            <w:tcBorders/>
            <w:shd w:fill="FFFFFF" w:val="cle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Cash and cash equivalents</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39,230</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31,230</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Insurance recovery of legal settlement</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450</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Prepaid expenses and other current assets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1,270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current assets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40,363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32,950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806" w:type="dxa"/>
            <w:tcBorders/>
            <w:shd w:fill="FFFFFF" w:val="clear"/>
            <w:vAlign w:val="center"/>
          </w:tcPr>
          <w:p>
            <w:pPr>
              <w:pStyle w:val="TableContents"/>
              <w:bidi w:val="0"/>
              <w:spacing w:before="0" w:after="283"/>
              <w:ind w:left="700" w:right="0" w:firstLine="700"/>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840</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1,060</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9,952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11,650</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429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assets</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46,089</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Accounts payable</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845</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1,108</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legal settlement</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450</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expenses and other</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1,673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2,961</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Current loan payable, net</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4,285</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Current operating lease liabilities</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952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1,413</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compensation</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1,543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1,248</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payable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97</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current liabilities</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9,411</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7,277</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Loan payable, net</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6,264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10,371</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9,160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10,330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liabilities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24,835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27,978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Common stock</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11</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Additional paid-in capital</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192,009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153,872</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Accumulated deficit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(165,263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(135,772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stockholders' equity</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26,768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18,111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liabilities and stockholders' equity</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46,089</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8229" w:type="dxa"/>
        <w:jc w:val="left"/>
        <w:tblInd w:w="0" w:type="dxa"/>
        <w:tblLayout w:type="fixed"/>
        <w:tblCellMar>
          <w:top w:w="28" w:type="dxa"/>
          <w:left w:w="28" w:type="dxa"/>
          <w:bottom w:w="28" w:type="dxa"/>
          <w:right w:w="28" w:type="dxa"/>
        </w:tblCellMar>
      </w:tblPr>
      <w:tblGrid>
        <w:gridCol w:w="3396"/>
        <w:gridCol w:w="430"/>
        <w:gridCol w:w="1640"/>
        <w:gridCol w:w="181"/>
        <w:gridCol w:w="146"/>
        <w:gridCol w:w="430"/>
        <w:gridCol w:w="1640"/>
        <w:gridCol w:w="366"/>
      </w:tblGrid>
      <w:tr>
        <w:trPr/>
        <w:tc>
          <w:tcPr>
            <w:tcW w:w="33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86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66" w:type="dxa"/>
            <w:tcBorders/>
            <w:shd w:fill="FFFFFF" w:val="clear"/>
            <w:vAlign w:val="center"/>
          </w:tcPr>
          <w:p>
            <w:pPr>
              <w:pStyle w:val="TableContents"/>
              <w:bidi w:val="0"/>
              <w:spacing w:before="0" w:after="283"/>
              <w:jc w:val="center"/>
              <w:rPr/>
            </w:pPr>
            <w:r>
              <w:rPr/>
              <w:t> </w:t>
            </w:r>
          </w:p>
        </w:tc>
      </w:tr>
      <w:tr>
        <w:trPr/>
        <w:tc>
          <w:tcPr>
            <w:tcW w:w="786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66" w:type="dxa"/>
            <w:tcBorders/>
            <w:shd w:fill="FFFFFF" w:val="clear"/>
            <w:vAlign w:val="center"/>
          </w:tcPr>
          <w:p>
            <w:pPr>
              <w:pStyle w:val="TableContents"/>
              <w:bidi w:val="0"/>
              <w:spacing w:before="0" w:after="283"/>
              <w:jc w:val="center"/>
              <w:rPr/>
            </w:pPr>
            <w:r>
              <w:rPr/>
              <w:t> </w:t>
            </w:r>
          </w:p>
        </w:tc>
      </w:tr>
      <w:tr>
        <w:trPr/>
        <w:tc>
          <w:tcPr>
            <w:tcW w:w="786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66" w:type="dxa"/>
            <w:tcBorders/>
            <w:shd w:fill="FFFFFF" w:val="cle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center"/>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Year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Year ended</w:t>
            </w:r>
          </w:p>
        </w:tc>
        <w:tc>
          <w:tcPr>
            <w:tcW w:w="366" w:type="dxa"/>
            <w:tcBorders/>
            <w:shd w:fill="FFFFFF" w:val="cle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339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Research and development</w:t>
            </w:r>
          </w:p>
        </w:tc>
        <w:tc>
          <w:tcPr>
            <w:tcW w:w="430"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17,498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22,527</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339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General and administrative</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11,659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12,113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vAlign w:val="center"/>
          </w:tcPr>
          <w:p>
            <w:pPr>
              <w:pStyle w:val="TableContents"/>
              <w:bidi w:val="0"/>
              <w:spacing w:before="0" w:after="283"/>
              <w:ind w:left="140" w:right="0" w:firstLine="140"/>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(29,157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(34,640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396" w:type="dxa"/>
            <w:tcBorders/>
            <w:shd w:fill="FFFFFF" w:val="clear"/>
            <w:vAlign w:val="center"/>
          </w:tcPr>
          <w:p>
            <w:pPr>
              <w:pStyle w:val="TableContents"/>
              <w:bidi w:val="0"/>
              <w:spacing w:before="0" w:after="283"/>
              <w:ind w:left="140" w:right="0" w:firstLine="140"/>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339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expense</w:t>
            </w:r>
          </w:p>
        </w:tc>
        <w:tc>
          <w:tcPr>
            <w:tcW w:w="43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(1,449</w:t>
            </w:r>
          </w:p>
        </w:tc>
        <w:tc>
          <w:tcPr>
            <w:tcW w:w="18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(1,618</w:t>
            </w:r>
          </w:p>
        </w:tc>
        <w:tc>
          <w:tcPr>
            <w:tcW w:w="366"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39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and other income, net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(29,491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(35,709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39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 per share</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(3.09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13"/>
              </w:rPr>
              <w:t>i</w:t>
            </w:r>
            <w:r>
              <w:rPr>
                <w:rFonts w:ascii="Times New Roman" w:hAnsi="Times New Roman"/>
                <w:color w:val="000000"/>
                <w:sz w:val="20"/>
              </w:rPr>
              <w:t> </w:t>
            </w:r>
            <w:r>
              <w:rPr>
                <w:rFonts w:ascii="Calibri;sans-serif" w:hAnsi="Calibri;sans-serif"/>
                <w:color w:val="000000"/>
                <w:sz w:val="20"/>
              </w:rPr>
              <w:t>If approved by the FDA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2420</Words>
  <Characters>13897</Characters>
  <CharactersWithSpaces>16384</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