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5624ddefa14a.htm"/>
      <w:bookmarkStart w:id="1" w:name="ksd105624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Filed by a Party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(Name of Person(s) Filing Proxy Statement, if other than the Registrant)</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July 27,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001-35890</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45-1472564</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2000 Sierra Point Parkway, Suite 400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Brisbane, California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94005</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(415) 798-8589 </w:t>
      </w:r>
    </w:p>
    <w:p>
      <w:pPr>
        <w:pStyle w:val="TextBody"/>
        <w:bidi w:val="0"/>
        <w:spacing w:before="24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tcPr>
          <w:p>
            <w:pPr>
              <w:pStyle w:val="TableContents"/>
              <w:bidi w:val="0"/>
              <w:spacing w:before="0" w:after="283"/>
              <w:jc w:val="center"/>
              <w:rPr/>
            </w:pPr>
            <w:r>
              <w:rPr/>
              <w:t>Common Stock, $0.001 par value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TPST</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r>
        <w:trPr/>
        <w:tc>
          <w:tcPr>
            <w:tcW w:w="3470" w:type="dxa"/>
            <w:tcBorders/>
          </w:tcPr>
          <w:p>
            <w:pPr>
              <w:pStyle w:val="TableContents"/>
              <w:bidi w:val="0"/>
              <w:spacing w:before="0" w:after="283"/>
              <w:jc w:val="center"/>
              <w:rPr/>
            </w:pPr>
            <w:r>
              <w:rPr/>
              <w:t>Series A Junior Participating Preferred Purchase Rights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N/A</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5.07</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disclosed in Item 8.01 of this Current Report on Form 8-K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27, 2026, Tempest Therapeutics, Inc. (the “Company”) convened its special meeting of stockholders (the “Special Meeting”) for the purpose of approving a Certificate of Amendment to the Company’s Restated Certificate of Incorporation to replace specified supermajority voting requirements and permit stockholder action by written consent in the form attached as Exhibit A to the proxy statement previously distributed to the Company’s stockholders in connection with the Special Meeting (the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a total of 10,031,446 shares, or 67.7% of the 14,806,997 shares of common stock outstanding as of May 28, 2026, the record date for the Special Meeting, were present virtually or represented by proxy, constituting a quorum. However, because there were not sufficient votes to approve the Proposal at the time of the Special Meeting, the Company decided to adjourn the Special Meeting to provide stockholders with additional time to vote and to facilitate broader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reconvene on August 17, 2026 at 12:00 p.m. Eastern Time via live webcast at the following virtual meeting link, www.virtualshareholdermeeting.com/TPST2026SM2. Stockholders can use the same access code to attend the reconvened meeting on August 17, 2026 that was used for the Special Meeting convened on July 27, 2026. </w:t>
      </w:r>
    </w:p>
    <w:p>
      <w:pPr>
        <w:pStyle w:val="TextBody"/>
        <w:bidi w:val="0"/>
        <w:spacing w:before="240" w:after="0"/>
        <w:jc w:val="left"/>
        <w:rPr>
          <w:rFonts w:ascii="Times New Roman" w:hAnsi="Times New Roman"/>
          <w:sz w:val="20"/>
        </w:rPr>
      </w:pPr>
      <w:r>
        <w:rPr>
          <w:rFonts w:ascii="Times New Roman" w:hAnsi="Times New Roman"/>
          <w:sz w:val="20"/>
        </w:rPr>
        <w:t xml:space="preserve">The Proposal requires the affirmative vote of the holders of at least seventy-five percent (75%) of the votes that all the stockholders would be entitled to cast in any annual election of directors or class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changes have been made to the Proposal to be voted on by the stockholders at the Special Meeting. The record date for determining stockholder eligibility to vote at the Special Meeting remains the close of business on May 28, 2026. Proxies previously submitted will be voted at the reconvened Special Meeting unless properly revoked, and stockholders who have already submitted a proxy or otherwise voted and do not wish to change their vote need not take any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Tempest has filed a definitive proxy statement and other relevant documents with the U.S. Securities and Exchange Commission (“SEC”) in connection with the Special Meeting. INVESTORS AND SECURITY HOLDERS ARE URGED TO READ THE DEFINITIVE PROXY STATEMENT AND OTHER RELEVANT DOCUMENTS FILED WITH THE SEC CAREFULLY AND IN THEIR ENTIRETY because they contain important information about the matters to be voted on at the Special Meeting. Stockholders may obtain copies of these documents free of charge at the SEC’s website at www.sec.gov or on Tempest’s website at https://www.tempesttx.com.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deemed to be participants in the solicitation of proxies from the Company’s stockholders in connection with the Special Meeting. Information about the Company’s directors and executive officers is outlined in Tempest’s Annual Report on Form 10-K for the year ended December 31, 2025, filed with the SEC on March 30, 2026, as updated by the Company’s Current Report on Form 8-K filed with the SEC on June 4, 2026, and information about their ownership of Tempest’s common stock is outlined in the definitive proxy statement for the Special Meeting filed with the SEC on July 17, 2026. The Company has also engaged Sodali &amp; Co., a proxy solicitation firm to assist with obtaining adequate votes to achieve the required quorum of a majority of the outstanding shares of the Company’s common stock entitled to vote at the Special Meeting.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3"/>
        <w:gridCol w:w="111"/>
        <w:gridCol w:w="382"/>
        <w:gridCol w:w="111"/>
        <w:gridCol w:w="665"/>
        <w:gridCol w:w="111"/>
        <w:gridCol w:w="4532"/>
      </w:tblGrid>
      <w:tr>
        <w:trPr/>
        <w:tc>
          <w:tcPr>
            <w:tcW w:w="429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3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308" w:type="dxa"/>
            <w:gridSpan w:val="3"/>
            <w:tcBorders/>
            <w:vAlign w:val="bottom"/>
          </w:tcPr>
          <w:p>
            <w:pPr>
              <w:pStyle w:val="TableContents"/>
              <w:bidi w:val="0"/>
              <w:spacing w:before="0" w:after="283"/>
              <w:jc w:val="left"/>
              <w:rPr>
                <w:b/>
              </w:rPr>
            </w:pPr>
            <w:r>
              <w:rPr>
                <w:b/>
              </w:rPr>
              <w:t>TEMPEST THERAPEUTICS, INC.</w:t>
            </w:r>
          </w:p>
        </w:tc>
      </w:tr>
      <w:tr>
        <w:trPr>
          <w:trHeight w:val="240" w:hRule="atLeast"/>
        </w:trPr>
        <w:tc>
          <w:tcPr>
            <w:tcW w:w="4293" w:type="dxa"/>
            <w:tcBorders/>
            <w:vAlign w:val="center"/>
          </w:tcPr>
          <w:p>
            <w:pPr>
              <w:pStyle w:val="TableContents"/>
              <w:bidi w:val="0"/>
              <w:spacing w:before="0" w:after="283"/>
              <w:jc w:val="left"/>
              <w:rPr>
                <w:sz w:val="4"/>
                <w:szCs w:val="4"/>
              </w:rPr>
            </w:pPr>
            <w:r>
              <w:rPr>
                <w:sz w:val="4"/>
                <w:szCs w:val="4"/>
              </w:rPr>
            </w:r>
          </w:p>
        </w:tc>
        <w:tc>
          <w:tcPr>
            <w:tcW w:w="493" w:type="dxa"/>
            <w:gridSpan w:val="2"/>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43" w:type="dxa"/>
            <w:gridSpan w:val="2"/>
            <w:tcBorders/>
            <w:vAlign w:val="center"/>
          </w:tcPr>
          <w:p>
            <w:pPr>
              <w:pStyle w:val="TableContents"/>
              <w:bidi w:val="0"/>
              <w:spacing w:before="0" w:after="283"/>
              <w:jc w:val="left"/>
              <w:rPr>
                <w:sz w:val="4"/>
                <w:szCs w:val="4"/>
              </w:rPr>
            </w:pPr>
            <w:r>
              <w:rPr>
                <w:sz w:val="4"/>
                <w:szCs w:val="4"/>
              </w:rPr>
            </w:r>
          </w:p>
        </w:tc>
      </w:tr>
      <w:tr>
        <w:trPr/>
        <w:tc>
          <w:tcPr>
            <w:tcW w:w="4293" w:type="dxa"/>
            <w:tcBorders/>
            <w:vAlign w:val="bottom"/>
          </w:tcPr>
          <w:p>
            <w:pPr>
              <w:pStyle w:val="TableContents"/>
              <w:bidi w:val="0"/>
              <w:spacing w:before="0" w:after="283"/>
              <w:jc w:val="left"/>
              <w:rPr/>
            </w:pPr>
            <w:r>
              <w:rPr/>
              <w:t>Date: July 28, 2026</w:t>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32" w:type="dxa"/>
            <w:tcBorders/>
            <w:vAlign w:val="bottom"/>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Matthew Angel</w:t>
            </w:r>
          </w:p>
        </w:tc>
      </w:tr>
      <w:tr>
        <w:trPr/>
        <w:tc>
          <w:tcPr>
            <w:tcW w:w="4293"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32" w:type="dxa"/>
            <w:tcBorders/>
            <w:vAlign w:val="bottom"/>
          </w:tcPr>
          <w:p>
            <w:pPr>
              <w:pStyle w:val="TableContents"/>
              <w:bidi w:val="0"/>
              <w:spacing w:before="0" w:after="283"/>
              <w:jc w:val="left"/>
              <w:rPr/>
            </w:pPr>
            <w:r>
              <w:rPr/>
              <w:t>Matthew Angel</w:t>
            </w:r>
          </w:p>
        </w:tc>
      </w:tr>
      <w:tr>
        <w:trPr/>
        <w:tc>
          <w:tcPr>
            <w:tcW w:w="4293"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32" w:type="dxa"/>
            <w:tcBorders/>
            <w:vAlign w:val="bottom"/>
          </w:tcPr>
          <w:p>
            <w:pPr>
              <w:pStyle w:val="TableContents"/>
              <w:bidi w:val="0"/>
              <w:spacing w:before="0" w:after="283"/>
              <w:jc w:val="left"/>
              <w:rPr/>
            </w:pPr>
            <w:r>
              <w:rPr/>
              <w:t>President and 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1106</Words>
  <Characters>5989</Characters>
  <CharactersWithSpaces>7114</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