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TPST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9, 2022, Tempest Therapeutics, Inc. (the “Company”) issued a press release entitled “Tempest Provides ASCO KOL Feedback on TPST-1120 Clinical Results and Updated Financial Guidance.” A copy of the press release is filed as Exhibit 99.1 to this Current Report on Form 8-K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9,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40"/>
          </w:cols>
          <w:pgMar w:left="440" w:top="293"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173990</wp:posOffset>
            </wp:positionV>
            <wp:extent cx="224599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Provides ASCO KOL Feedback on TPST-1120 Clinical Results and Updated Financial Guidance</w:t>
      </w:r>
    </w:p>
    <w:p>
      <w:pPr>
        <w:spacing w:after="0" w:line="256" w:lineRule="exact"/>
        <w:rPr>
          <w:sz w:val="20"/>
          <w:szCs w:val="20"/>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TPST-1120 demonstrated monotherapy clinical benefit in patients with late-line advanced, poor-prognosis cancers where responses would be unexpected</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RECIST responses observed with TPST-1120 combined with anti-PD1 therapy in patients who previously progressed on anti-PD1/PDL1 therapy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biomarker for patient responsiveness to TPST-1120 identified and will be further explored</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TPST-1120 demonstrated the ability to reprogram the tumor microenvironment (TME) in a tumor type that is refractory to anti-PD1 with low tumor mutation burden</w:t>
      </w:r>
    </w:p>
    <w:p>
      <w:pPr>
        <w:spacing w:after="0" w:line="67"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TPST-1120 is also in an ongoing randomized global Phase 1b/2 clinical study in combination with the standard-of-care regimen of atezolizumab and bevacizumab in first-line patients with hepatocellular carcinoma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runway into 2024</w:t>
      </w:r>
    </w:p>
    <w:p>
      <w:pPr>
        <w:spacing w:after="0" w:line="22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South San Francisco, CA</w:t>
      </w:r>
      <w:r>
        <w:rPr>
          <w:rFonts w:ascii="Times New Roman" w:cs="Times New Roman" w:eastAsia="Times New Roman" w:hAnsi="Times New Roman"/>
          <w:sz w:val="18"/>
          <w:szCs w:val="18"/>
          <w:color w:val="auto"/>
        </w:rPr>
        <w:t>, June 9, 2022</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Tempest Therapeutics, Inc. (Nasdaq: TPST), a clinical-stage oncology company developing therapies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 both targeted and immune-mediated mechanisms, today summarized key takeaways from the TPST-1120 clinical program provided by Mark Yarchoan, M.D., associate professor of oncology at Johns Hopkins School of Medicine, at its June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investor event held in connection with the 2022 American Society of Clinical Oncology (ASCO) Annual Meeting in Chicago, IL. The company also revised its cash guidance. Dr. Yarchoan also presented the TPST-1120 Phase 1 results in an oral presentation at ASCO on Tuesday, June 7.</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Dr. Yarchoan reviewed and discussed TPST-1120 results both as a single agent and in combination with nivolumab in a webcast presentation that is available on the Tempest website at </w:t>
      </w:r>
      <w:r>
        <w:rPr>
          <w:rFonts w:ascii="Times New Roman" w:cs="Times New Roman" w:eastAsia="Times New Roman" w:hAnsi="Times New Roman"/>
          <w:sz w:val="18"/>
          <w:szCs w:val="18"/>
          <w:u w:val="single" w:color="auto"/>
          <w:color w:val="auto"/>
        </w:rPr>
        <w:t>https://ir.tempesttx.com</w:t>
      </w:r>
      <w:r>
        <w:rPr>
          <w:rFonts w:ascii="Times New Roman" w:cs="Times New Roman" w:eastAsia="Times New Roman" w:hAnsi="Times New Roman"/>
          <w:sz w:val="18"/>
          <w:szCs w:val="18"/>
          <w:color w:val="auto"/>
        </w:rPr>
        <w:t>. His conclusions include:</w:t>
      </w:r>
    </w:p>
    <w:p>
      <w:pPr>
        <w:spacing w:after="0" w:line="67" w:lineRule="exact"/>
        <w:rPr>
          <w:sz w:val="20"/>
          <w:szCs w:val="20"/>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monotherapy arm consisted of one of the more challenging groups of tumors to treat in a Phase 1 trial, e.g., dominated by patients with late-line pancreatic and cholangiocarcinoma (CCA), where he considered stable disease a “win.”</w:t>
      </w:r>
    </w:p>
    <w:p>
      <w:pPr>
        <w:spacing w:after="0" w:line="67"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patients in the monotherapy arm had meaningfully-prolonged stable disease, showing that TPST-1120 has activity as a monotherapy</w:t>
      </w:r>
    </w:p>
    <w:p>
      <w:pPr>
        <w:spacing w:after="0" w:line="67" w:lineRule="exact"/>
        <w:rPr>
          <w:rFonts w:ascii="Times New Roman" w:cs="Times New Roman" w:eastAsia="Times New Roman" w:hAnsi="Times New Roman"/>
          <w:sz w:val="18"/>
          <w:szCs w:val="18"/>
          <w:color w:val="auto"/>
        </w:rPr>
      </w:pPr>
    </w:p>
    <w:p>
      <w:pPr>
        <w:jc w:val="both"/>
        <w:ind w:left="1420" w:right="14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patients with IDH1 mutated CCA, a mutation found in ~15-30% of intrahepatic CCA, had stable disease extending out to five and ten months, respectively, vs. less than three months for historical standard-of-care values, indicating that an IDH1 mutation is a potential biomarker for patient sensitivity to TPST-1120</w:t>
      </w:r>
    </w:p>
    <w:p>
      <w:pPr>
        <w:sectPr>
          <w:pgSz w:w="11900" w:h="16838" w:orient="portrait"/>
          <w:cols w:equalWidth="0" w:num="1">
            <w:col w:w="11020"/>
          </w:cols>
          <w:pgMar w:left="440" w:top="117" w:right="439" w:bottom="1440" w:gutter="0" w:footer="0" w:header="0"/>
        </w:sectPr>
      </w:pPr>
    </w:p>
    <w:bookmarkStart w:id="4" w:name="page5"/>
    <w:bookmarkEnd w:id="4"/>
    <w:p>
      <w:pPr>
        <w:ind w:left="960" w:right="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combination arm, two patients with renal cell carcinoma (RCC) and one with metastatic CCA achieved partial response when treated with the higher doses of TPST-1120 in combination with pembrolizumab</w:t>
      </w:r>
    </w:p>
    <w:p>
      <w:pPr>
        <w:spacing w:after="0" w:line="67" w:lineRule="exact"/>
        <w:rPr>
          <w:rFonts w:ascii="Times New Roman" w:cs="Times New Roman" w:eastAsia="Times New Roman" w:hAnsi="Times New Roman"/>
          <w:sz w:val="18"/>
          <w:szCs w:val="18"/>
          <w:color w:val="auto"/>
        </w:rPr>
      </w:pPr>
    </w:p>
    <w:p>
      <w:pPr>
        <w:ind w:left="1420" w:right="32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RCC patients had progressed on prior anti-PD1 therapy, providing strong evidence that TPST-1120 overcomes resistance to anti-PD1 therapy</w:t>
      </w:r>
    </w:p>
    <w:p>
      <w:pPr>
        <w:spacing w:after="0" w:line="67" w:lineRule="exact"/>
        <w:rPr>
          <w:rFonts w:ascii="Times New Roman" w:cs="Times New Roman" w:eastAsia="Times New Roman" w:hAnsi="Times New Roman"/>
          <w:sz w:val="18"/>
          <w:szCs w:val="18"/>
          <w:color w:val="auto"/>
        </w:rPr>
      </w:pPr>
    </w:p>
    <w:p>
      <w:pPr>
        <w:ind w:left="1420" w:right="120" w:hanging="331"/>
        <w:spacing w:after="0" w:line="26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with metastatic CCA had received multiple lines of prior systemic therapy and was PDL1-negative, mismatch repair proficient, and had a TMB of less than 10 mutations per megabase, supporting that TPST-1120 can reprogram the TME in immune-resistant type cancers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TPST-1120 Monotherapy Results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In the monotherapy portion of the trial, 19 evaluable patients with late-line treatment-refractory solid tumors, including pancreatic, cholangiocarcinoma, and colorectal cancers, were treated with oral twice-daily TPST-1120. The results showed that 53% (10/19) of patients experienced clinical benefit in the form of disease control, including tumor shrinkage in 21% of the patients. Two patients with late-line CCA, an aggressive tumor type and disease setting usually unresponsive to therapy, including IO therapies, achieved durable stable disease and one of the patients achieved durable tumor shrinkage.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TPST-1120 and Nivolumab Combination Therapy Results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combination therapy portion of the trial, 15 evaluable patients with heavily-pretreated renal cell carcinoma, hepatocellular carcinoma (HCC) and CCA were treated with oral twice-daily TPST-1120 and the anti-PD-1 therapy, nivolumab. All of the HCC and RCC patients had received an approved anti-PD-1 therapy in at least one prior line of therapy and discontinued that treatment due to disease progression. Promising objective responses (RECIST v1.1) were observed in two patients with late-line RCC who had previously progressed on anti-PD-1 therapy without an objective response (ORR 50%, n=2/4, in evaluable RCC patients). A third RECIST response was observed in a patient with late-line, heavily pre-treated CCA, a tumor type generally not responsive to anti-PD-1 alone.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Notably, all three responders were treated at the two highest doses of TPST-1120 (ORR 30%, 3/10).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TPST-1120 was well tolerated as both a monotherapy and in combination with nivolumab. The majority of the treatment-related adverse events were Grade 1 and 2, and included nausea, fatigue and diarrhea. No dose-limiting toxicities were reported during dose escalation.</w:t>
      </w:r>
    </w:p>
    <w:p>
      <w:pPr>
        <w:sectPr>
          <w:pgSz w:w="11900" w:h="16838" w:orient="portrait"/>
          <w:cols w:equalWidth="0" w:num="1">
            <w:col w:w="11020"/>
          </w:cols>
          <w:pgMar w:left="440" w:top="270"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Update</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Following the $15 million private investment in public equity financing completed in April 2022, Tempest’s cash and cash equivalents are currently expected to be sufficient to fund its current operating plans into the first quarter of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TPST-1120</w:t>
      </w:r>
    </w:p>
    <w:p>
      <w:pPr>
        <w:spacing w:after="0" w:line="121"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TPST-1120 is a first-in-class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oral selective PPARα antagonist with a dual mechanism designed to target both tumor cells directly and suppressive immune cells in the tumor microenvironment. Both types of targeted cells are dependent on fatty acid metabolism, which is regulated by the PPARα transcription factor. In extensive non-clinical studies, TPST-1120 as a monotherapy and in combination with other anti-cancer drugs resulted in significant reductions in tumor growth and stimulation of durable anti-tumor immunity. In addition to the study presented at ASCO, in collaboration with F. Hoffmann La Roche, TPST-1120 is also advancing through a randomized, first-line, global, Phase 1b/2 clinical study in combination with the standard-of-care regimen of atezolizumab and bevacizumab in patients with advanced or metastatic hepatocellular carcinoma.</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Tempest 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TPST-1120 and TPST-1495 are advancing through clinical trials designed to study both agents as monotherapies and in combination with other approved agents. Tempest is also developing an orally-available inhibitor of TREX-1, a DNA repair enzyme that controls activation of the cGAS/STING pathway, an innate immune response pathway important for the development of anti-tumor immunity. Tempest is headquartered in South San Francisco. More information about Tempest can be found on the company’s website at www.tempesttx.com.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approved by the FDA</w:t>
      </w:r>
    </w:p>
    <w:p>
      <w:pPr>
        <w:sectPr>
          <w:pgSz w:w="11900" w:h="16838" w:orient="portrait"/>
          <w:cols w:equalWidth="0" w:num="1">
            <w:col w:w="10904"/>
          </w:cols>
          <w:pgMar w:left="436"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about the design, progress, timing, scope and results of clinical trials, the benefits that may be derived from any product candidates, or the company’s expected cash runway. Forward-looking statements are based on information available to Tempest Therapeutics as of the date hereof and are not guarantees of future performance. Actual results could differ materially from those contained in any forward-looking statement as a result of various factors, including, without limitation: success in clinical trials for our product candidates may not be indicative of the results that may be obtained in later clinical trials; our inability to successfully or timely develop our product candidates; our inability to realize any benefits from any current or future products; and our failure to realize any commercial or market benefit from current or future products, if any. These and other risks are described in greater detail in the Form 10-Q filed by Tempest Therapeutics with the Securities and Exchange Commission on May 13, 2022.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swheeler@wheelhouselsa.com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areynolds@tempesttx.com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2022-06-09T07:10:55Z</dcterms:created>
  <dcterms:modified xsi:type="dcterms:W3CDTF">2022-06-09T07:10:55Z</dcterms:modified>
</cp:coreProperties>
</file>