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0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7"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36"/>
          <w:szCs w:val="36"/>
          <w:b w:val="1"/>
          <w:bCs w:val="1"/>
          <w:color w:val="auto"/>
        </w:rPr>
        <w:t>Tempest Therapeutics, Inc.</w:t>
      </w:r>
    </w:p>
    <w:p>
      <w:pPr>
        <w:spacing w:after="0" w:line="5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2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C0014"/>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182880</wp:posOffset>
            </wp:positionV>
            <wp:extent cx="1191260" cy="1045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8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Brisbane, CA 94005</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3, 2024</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3" w:lineRule="exact"/>
        <w:rPr>
          <w:sz w:val="20"/>
          <w:szCs w:val="20"/>
          <w:color w:val="auto"/>
        </w:rPr>
      </w:pPr>
    </w:p>
    <w:p>
      <w:pPr>
        <w:ind w:left="300" w:right="359"/>
        <w:spacing w:after="0" w:line="262" w:lineRule="auto"/>
        <w:rPr>
          <w:sz w:val="20"/>
          <w:szCs w:val="20"/>
          <w:color w:val="auto"/>
        </w:rPr>
      </w:pPr>
      <w:r>
        <w:rPr>
          <w:rFonts w:ascii="Times New Roman" w:cs="Times New Roman" w:eastAsia="Times New Roman" w:hAnsi="Times New Roman"/>
          <w:sz w:val="18"/>
          <w:szCs w:val="18"/>
          <w:color w:val="auto"/>
        </w:rPr>
        <w:t xml:space="preserve">You are cordially invited to attend a Special Meeting of Stockholders (the “Special Meeting”) of </w:t>
      </w:r>
      <w:r>
        <w:rPr>
          <w:rFonts w:ascii="Times New Roman" w:cs="Times New Roman" w:eastAsia="Times New Roman" w:hAnsi="Times New Roman"/>
          <w:sz w:val="18"/>
          <w:szCs w:val="18"/>
          <w:b w:val="1"/>
          <w:bCs w:val="1"/>
          <w:color w:val="auto"/>
        </w:rPr>
        <w:t>TEMPEST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THERAPEUTICS, INC.</w:t>
      </w:r>
      <w:r>
        <w:rPr>
          <w:rFonts w:ascii="Times New Roman" w:cs="Times New Roman" w:eastAsia="Times New Roman" w:hAnsi="Times New Roman"/>
          <w:sz w:val="18"/>
          <w:szCs w:val="18"/>
          <w:color w:val="auto"/>
        </w:rPr>
        <w:t>, a Delaware corporation (the “Company”). The Special Meeting will be held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 2024 at 1:00 p.m., Pacific Time and will be a virtual stockholder meeting through which you can listen to the meeting, submit questions and vote online, for the following purpose:</w:t>
      </w:r>
    </w:p>
    <w:p>
      <w:pPr>
        <w:spacing w:after="0" w:line="72" w:lineRule="exact"/>
        <w:rPr>
          <w:sz w:val="20"/>
          <w:szCs w:val="20"/>
          <w:color w:val="auto"/>
        </w:rPr>
      </w:pPr>
    </w:p>
    <w:p>
      <w:pPr>
        <w:ind w:left="1000" w:right="35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series of alternate amendments to our Restated Certificate of Incorporation to effect, at the option of our Board of Directors, a reverse stock split of our common stock at a ratio in the range of 1-for-2 to 1-for-15, inclusive, with such ratio to be determined by our Board of Directors in its sole discretion. We refer to this proposal as the “Reverse Stock Split Proposal” or “Proposal 1.”</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item of business is more fully described in the Proxy Statement accompanying this Notice.</w:t>
      </w:r>
    </w:p>
    <w:p>
      <w:pPr>
        <w:spacing w:after="0" w:line="115" w:lineRule="exact"/>
        <w:rPr>
          <w:sz w:val="20"/>
          <w:szCs w:val="20"/>
          <w:color w:val="auto"/>
        </w:rPr>
      </w:pPr>
    </w:p>
    <w:p>
      <w:pPr>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meeting can be accessed by visiting </w:t>
      </w:r>
      <w:r>
        <w:rPr>
          <w:rFonts w:ascii="Times New Roman" w:cs="Times New Roman" w:eastAsia="Times New Roman" w:hAnsi="Times New Roman"/>
          <w:sz w:val="18"/>
          <w:szCs w:val="18"/>
          <w:i w:val="1"/>
          <w:iCs w:val="1"/>
          <w:color w:val="auto"/>
        </w:rPr>
        <w:t>www.virtualshareholdermeeting.com/TPST2024SM</w:t>
      </w:r>
      <w:r>
        <w:rPr>
          <w:rFonts w:ascii="Times New Roman" w:cs="Times New Roman" w:eastAsia="Times New Roman" w:hAnsi="Times New Roman"/>
          <w:sz w:val="18"/>
          <w:szCs w:val="18"/>
          <w:color w:val="auto"/>
        </w:rPr>
        <w:t xml:space="preserve"> and entering the control number included in the proxy card in the enclosed proxy materials. You will not be able to attend the meeting in person.</w:t>
      </w:r>
    </w:p>
    <w:p>
      <w:pPr>
        <w:spacing w:after="0" w:line="67"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record date for the Special Meeting is [  ], 2024.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26670</wp:posOffset>
            </wp:positionV>
            <wp:extent cx="5353050" cy="707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53050" cy="70739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Virtual Stockholders’ Meeting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December 3, 2024 at 1:00 p.m., Pacific Time.</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The proxy statement is available at </w:t>
      </w:r>
      <w:r>
        <w:rPr>
          <w:rFonts w:ascii="Times New Roman" w:cs="Times New Roman" w:eastAsia="Times New Roman" w:hAnsi="Times New Roman"/>
          <w:sz w:val="18"/>
          <w:szCs w:val="18"/>
          <w:i w:val="1"/>
          <w:iCs w:val="1"/>
          <w:color w:val="auto"/>
        </w:rPr>
        <w:t>ir.tempesttx.com</w:t>
      </w:r>
      <w:r>
        <w:rPr>
          <w:rFonts w:ascii="Times New Roman" w:cs="Times New Roman" w:eastAsia="Times New Roman" w:hAnsi="Times New Roman"/>
          <w:sz w:val="18"/>
          <w:szCs w:val="18"/>
          <w:color w:val="auto"/>
        </w:rPr>
        <w:t>.</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Brisbane, CA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1264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4795" cy="1264285"/>
                    </a:xfrm>
                    <a:prstGeom prst="rect">
                      <a:avLst/>
                    </a:prstGeom>
                    <a:noFill/>
                  </pic:spPr>
                </pic:pic>
              </a:graphicData>
            </a:graphic>
          </wp:anchor>
        </w:drawing>
      </w:r>
    </w:p>
    <w:p>
      <w:pPr>
        <w:spacing w:after="0" w:line="183" w:lineRule="exact"/>
        <w:rPr>
          <w:sz w:val="20"/>
          <w:szCs w:val="20"/>
          <w:color w:val="auto"/>
        </w:rPr>
      </w:pPr>
    </w:p>
    <w:p>
      <w:pPr>
        <w:ind w:left="420" w:right="579"/>
        <w:spacing w:after="0" w:line="255"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virtual Special Meeting. You will not be able to attend the Special Meeting in person. Whether or not you expect to attend the meeting, please complete, date, sign and return the enclosed proxy, or vote over the telephone or the internet as instructed in these materials, as promptly as possible in order to ensure your representation at the meeting. A return envelope (which is postage prepaid if mailed in the United States) has been provided for your convenience. Even if you have voted by proxy, you may still vote online if you attend the virtual Special Meeting.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648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THESE PROXY MATERIALS AND VOTING</w:t>
            </w:r>
          </w:p>
        </w:tc>
        <w:tc>
          <w:tcPr>
            <w:tcW w:w="1640" w:type="dxa"/>
            <w:vAlign w:val="bottom"/>
            <w:gridSpan w:val="2"/>
            <w:shd w:val="clear" w:color="auto" w:fill="CCEEFF"/>
          </w:tcPr>
          <w:p>
            <w:pPr>
              <w:spacing w:after="0"/>
              <w:rPr>
                <w:sz w:val="17"/>
                <w:szCs w:val="17"/>
                <w:color w:val="auto"/>
              </w:rPr>
            </w:pPr>
          </w:p>
        </w:tc>
        <w:tc>
          <w:tcPr>
            <w:tcW w:w="24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460" w:type="dxa"/>
            <w:vAlign w:val="bottom"/>
            <w:tcBorders>
              <w:top w:val="single" w:sz="8" w:color="0000EE"/>
            </w:tcBorders>
            <w:shd w:val="clear" w:color="auto" w:fill="CCEEFF"/>
          </w:tcPr>
          <w:p>
            <w:pPr>
              <w:spacing w:after="0"/>
              <w:rPr>
                <w:sz w:val="2"/>
                <w:szCs w:val="2"/>
                <w:color w:val="auto"/>
              </w:rPr>
            </w:pPr>
          </w:p>
        </w:tc>
        <w:tc>
          <w:tcPr>
            <w:tcW w:w="1940" w:type="dxa"/>
            <w:vAlign w:val="bottom"/>
            <w:tcBorders>
              <w:top w:val="single" w:sz="8" w:color="0000EE"/>
            </w:tcBorders>
            <w:shd w:val="clear" w:color="auto" w:fill="CCEEFF"/>
          </w:tcPr>
          <w:p>
            <w:pPr>
              <w:spacing w:after="0"/>
              <w:rPr>
                <w:sz w:val="2"/>
                <w:szCs w:val="2"/>
                <w:color w:val="auto"/>
              </w:rPr>
            </w:pPr>
          </w:p>
        </w:tc>
        <w:tc>
          <w:tcPr>
            <w:tcW w:w="226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48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EE"/>
              </w:rPr>
              <w:t>PROPOSAL 1 APPROVAL OF THE REVERSE STOCK SPLIT PROPOSAL</w:t>
            </w:r>
          </w:p>
        </w:tc>
        <w:tc>
          <w:tcPr>
            <w:tcW w:w="1640" w:type="dxa"/>
            <w:vAlign w:val="bottom"/>
            <w:gridSpan w:val="2"/>
          </w:tcPr>
          <w:p>
            <w:pPr>
              <w:spacing w:after="0"/>
              <w:rPr>
                <w:sz w:val="16"/>
                <w:szCs w:val="16"/>
                <w:color w:val="auto"/>
              </w:rPr>
            </w:pP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tcPr>
          <w:p>
            <w:pPr>
              <w:spacing w:after="0"/>
              <w:rPr>
                <w:sz w:val="16"/>
                <w:szCs w:val="16"/>
                <w:color w:val="auto"/>
              </w:rPr>
            </w:pPr>
          </w:p>
        </w:tc>
      </w:tr>
      <w:tr>
        <w:trPr>
          <w:trHeight w:val="34"/>
        </w:trPr>
        <w:tc>
          <w:tcPr>
            <w:tcW w:w="1460" w:type="dxa"/>
            <w:vAlign w:val="bottom"/>
            <w:tcBorders>
              <w:top w:val="single" w:sz="8" w:color="0000EE"/>
            </w:tcBorders>
          </w:tcPr>
          <w:p>
            <w:pPr>
              <w:spacing w:after="0"/>
              <w:rPr>
                <w:sz w:val="2"/>
                <w:szCs w:val="2"/>
                <w:color w:val="auto"/>
              </w:rPr>
            </w:pPr>
          </w:p>
        </w:tc>
        <w:tc>
          <w:tcPr>
            <w:tcW w:w="1940" w:type="dxa"/>
            <w:vAlign w:val="bottom"/>
            <w:tcBorders>
              <w:top w:val="single" w:sz="8" w:color="0000EE"/>
            </w:tcBorders>
          </w:tcPr>
          <w:p>
            <w:pPr>
              <w:spacing w:after="0"/>
              <w:rPr>
                <w:sz w:val="2"/>
                <w:szCs w:val="2"/>
                <w:color w:val="auto"/>
              </w:rPr>
            </w:pPr>
          </w:p>
        </w:tc>
        <w:tc>
          <w:tcPr>
            <w:tcW w:w="226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7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1400" w:type="dxa"/>
            <w:vAlign w:val="bottom"/>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460" w:type="dxa"/>
            <w:vAlign w:val="bottom"/>
            <w:tcBorders>
              <w:top w:val="single" w:sz="8" w:color="0000EE"/>
            </w:tcBorders>
            <w:shd w:val="clear" w:color="auto" w:fill="CCEEFF"/>
          </w:tcPr>
          <w:p>
            <w:pPr>
              <w:spacing w:after="0"/>
              <w:rPr>
                <w:sz w:val="2"/>
                <w:szCs w:val="2"/>
                <w:color w:val="auto"/>
              </w:rPr>
            </w:pPr>
          </w:p>
        </w:tc>
        <w:tc>
          <w:tcPr>
            <w:tcW w:w="1940" w:type="dxa"/>
            <w:vAlign w:val="bottom"/>
            <w:tcBorders>
              <w:top w:val="single" w:sz="8" w:color="0000EE"/>
            </w:tcBorders>
            <w:shd w:val="clear" w:color="auto" w:fill="CCEEFF"/>
          </w:tcPr>
          <w:p>
            <w:pPr>
              <w:spacing w:after="0"/>
              <w:rPr>
                <w:sz w:val="2"/>
                <w:szCs w:val="2"/>
                <w:color w:val="auto"/>
              </w:rPr>
            </w:pPr>
          </w:p>
        </w:tc>
        <w:tc>
          <w:tcPr>
            <w:tcW w:w="226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672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1400" w:type="dxa"/>
            <w:vAlign w:val="bottom"/>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460" w:type="dxa"/>
            <w:vAlign w:val="bottom"/>
            <w:tcBorders>
              <w:top w:val="single" w:sz="8" w:color="0000EE"/>
            </w:tcBorders>
          </w:tcPr>
          <w:p>
            <w:pPr>
              <w:spacing w:after="0"/>
              <w:rPr>
                <w:sz w:val="2"/>
                <w:szCs w:val="2"/>
                <w:color w:val="auto"/>
              </w:rPr>
            </w:pPr>
          </w:p>
        </w:tc>
        <w:tc>
          <w:tcPr>
            <w:tcW w:w="1940" w:type="dxa"/>
            <w:vAlign w:val="bottom"/>
            <w:tcBorders>
              <w:top w:val="single" w:sz="8" w:color="0000EE"/>
            </w:tcBorders>
          </w:tcPr>
          <w:p>
            <w:pPr>
              <w:spacing w:after="0"/>
              <w:rPr>
                <w:sz w:val="2"/>
                <w:szCs w:val="2"/>
                <w:color w:val="auto"/>
              </w:rPr>
            </w:pPr>
          </w:p>
        </w:tc>
        <w:tc>
          <w:tcPr>
            <w:tcW w:w="2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74"/>
        </w:trPr>
        <w:tc>
          <w:tcPr>
            <w:tcW w:w="1460" w:type="dxa"/>
            <w:vAlign w:val="bottom"/>
            <w:tcBorders>
              <w:top w:val="single" w:sz="8" w:color="0000EE"/>
            </w:tcBorders>
            <w:shd w:val="clear" w:color="auto" w:fill="CCEEFF"/>
          </w:tcPr>
          <w:p>
            <w:pPr>
              <w:spacing w:after="0"/>
              <w:rPr>
                <w:sz w:val="6"/>
                <w:szCs w:val="6"/>
                <w:color w:val="auto"/>
              </w:rPr>
            </w:pPr>
          </w:p>
        </w:tc>
        <w:tc>
          <w:tcPr>
            <w:tcW w:w="1940" w:type="dxa"/>
            <w:vAlign w:val="bottom"/>
            <w:tcBorders>
              <w:top w:val="single" w:sz="8" w:color="CCEEFF"/>
            </w:tcBorders>
            <w:shd w:val="clear" w:color="auto" w:fill="CCEEFF"/>
          </w:tcPr>
          <w:p>
            <w:pPr>
              <w:spacing w:after="0"/>
              <w:rPr>
                <w:sz w:val="6"/>
                <w:szCs w:val="6"/>
                <w:color w:val="auto"/>
              </w:rPr>
            </w:pPr>
          </w:p>
        </w:tc>
        <w:tc>
          <w:tcPr>
            <w:tcW w:w="226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 Sierra Point Parkway, Suite 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Brisbane, CA 94005</w:t>
      </w:r>
    </w:p>
    <w:p>
      <w:pPr>
        <w:spacing w:after="0" w:line="20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FOR THE SPECIAL MEETING OF STOCKHOLDERS</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TO BE HELD ON</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DECEMBER 3, 2024</w:t>
      </w:r>
    </w:p>
    <w:p>
      <w:pPr>
        <w:spacing w:after="0" w:line="20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or “Board of Directors”) of Tempest Therapeutics, Inc. (sometimes referred to as the “Company” or “Tempest”) is soliciting your proxy to vote at a Special Meeting of Stockholders to be held on December 3, 2024 (the “Special Meeting”), including at any adjournments or postponements of the meeting. You are invited to attend the Special Meeting to vote on the proposal described in this proxy statement. However, you do not need to attend the meeting to vote your shares. Instead, you may simply complete, sign and return the enclosed proxy card</w:t>
      </w:r>
      <w:r>
        <w:rPr>
          <w:rFonts w:ascii="Times New Roman" w:cs="Times New Roman" w:eastAsia="Times New Roman" w:hAnsi="Times New Roman"/>
          <w:sz w:val="18"/>
          <w:szCs w:val="18"/>
          <w:b w:val="1"/>
          <w:bCs w:val="1"/>
          <w:color w:val="auto"/>
        </w:rPr>
        <w:t>, or follow the instructions below to submit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over the telephone or through the internet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We intend to mail these proxy materials on or about November [    ], 2024 to all stockholders of record entitled to vote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-185420</wp:posOffset>
            </wp:positionV>
            <wp:extent cx="228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Special Meeting?</w:t>
      </w:r>
    </w:p>
    <w:p>
      <w:pPr>
        <w:spacing w:after="0" w:line="119" w:lineRule="exact"/>
        <w:rPr>
          <w:sz w:val="20"/>
          <w:szCs w:val="20"/>
          <w:color w:val="auto"/>
        </w:rPr>
      </w:pPr>
    </w:p>
    <w:p>
      <w:pPr>
        <w:ind w:left="300" w:right="359"/>
        <w:spacing w:after="0" w:line="267" w:lineRule="auto"/>
        <w:rPr>
          <w:sz w:val="20"/>
          <w:szCs w:val="20"/>
          <w:color w:val="auto"/>
        </w:rPr>
      </w:pPr>
      <w:r>
        <w:rPr>
          <w:rFonts w:ascii="Times New Roman" w:cs="Times New Roman" w:eastAsia="Times New Roman" w:hAnsi="Times New Roman"/>
          <w:sz w:val="18"/>
          <w:szCs w:val="18"/>
          <w:color w:val="auto"/>
        </w:rPr>
        <w:t xml:space="preserve">The Special Meeting will be held through a live webcast at </w:t>
      </w:r>
      <w:r>
        <w:rPr>
          <w:rFonts w:ascii="Times New Roman" w:cs="Times New Roman" w:eastAsia="Times New Roman" w:hAnsi="Times New Roman"/>
          <w:sz w:val="18"/>
          <w:szCs w:val="18"/>
          <w:i w:val="1"/>
          <w:iCs w:val="1"/>
          <w:color w:val="auto"/>
        </w:rPr>
        <w:t>www.virtualshareholdermeeting.com/TPST2024SM</w:t>
      </w:r>
      <w:r>
        <w:rPr>
          <w:rFonts w:ascii="Times New Roman" w:cs="Times New Roman" w:eastAsia="Times New Roman" w:hAnsi="Times New Roman"/>
          <w:sz w:val="18"/>
          <w:szCs w:val="18"/>
          <w:color w:val="auto"/>
        </w:rPr>
        <w:t>. You will not be able to attend the Special Meeting in person. Stockholders attending the virtual Special Meeting will be afforded the same rights and opportunities to participate as they would at an in-person meeting.</w:t>
      </w:r>
    </w:p>
    <w:p>
      <w:pPr>
        <w:spacing w:after="0" w:line="67"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 xml:space="preserve">You are entitled to attend the Special Meeting if you were a stockholder as of the close of business on [  ], 2024 (the “Record Date”), or hold a valid proxy for the meeting. To be admitted to the Special Meeting, you will need to visit </w:t>
      </w:r>
      <w:r>
        <w:rPr>
          <w:rFonts w:ascii="Times New Roman" w:cs="Times New Roman" w:eastAsia="Times New Roman" w:hAnsi="Times New Roman"/>
          <w:sz w:val="18"/>
          <w:szCs w:val="18"/>
          <w:i w:val="1"/>
          <w:iCs w:val="1"/>
          <w:color w:val="auto"/>
        </w:rPr>
        <w:t>www.virtualshareholdermeeting.com/TPST2024SM</w:t>
      </w:r>
      <w:r>
        <w:rPr>
          <w:rFonts w:ascii="Times New Roman" w:cs="Times New Roman" w:eastAsia="Times New Roman" w:hAnsi="Times New Roman"/>
          <w:sz w:val="18"/>
          <w:szCs w:val="18"/>
          <w:color w:val="auto"/>
        </w:rPr>
        <w:t xml:space="preserve"> and enter the control number found next to the label “control number” included in the proxy card in the enclosed proxy materials. If you are a beneficial stockholder, you should contact the bank, broker or other institution where you hold your account well in advance of the meeting if you have questions about obtaining your control number or proxy to vote.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Whether or not you participate in the Special Meeting, it is important that you vote your shares.</w:t>
      </w:r>
    </w:p>
    <w:p>
      <w:pPr>
        <w:spacing w:after="0" w:line="121"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The Special Meeting will begin promptly at 1:00 p.m. Pacific Time on Tuesday, December 3, 2024. We encourage you to access the Special Meeting a few minutes before it begins. Online check-in will start approximately 15 minutes before the meeting begins.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300" w:right="339"/>
        <w:spacing w:after="0" w:line="281" w:lineRule="auto"/>
        <w:rPr>
          <w:sz w:val="20"/>
          <w:szCs w:val="20"/>
          <w:color w:val="auto"/>
        </w:rPr>
      </w:pPr>
      <w:r>
        <w:rPr>
          <w:rFonts w:ascii="Times New Roman" w:cs="Times New Roman" w:eastAsia="Times New Roman" w:hAnsi="Times New Roman"/>
          <w:sz w:val="17"/>
          <w:szCs w:val="17"/>
          <w:color w:val="auto"/>
        </w:rPr>
        <w:t xml:space="preserve">If you do not have your control number and you are a registered stockholder, please contact us at cc@tempesttx.com and we will be able to provide your control number to you. If you do not have a control number, you will be able to login as a guest. To view the meeting webcast, visit </w:t>
      </w:r>
      <w:r>
        <w:rPr>
          <w:rFonts w:ascii="Times New Roman" w:cs="Times New Roman" w:eastAsia="Times New Roman" w:hAnsi="Times New Roman"/>
          <w:sz w:val="17"/>
          <w:szCs w:val="17"/>
          <w:i w:val="1"/>
          <w:iCs w:val="1"/>
          <w:color w:val="auto"/>
        </w:rPr>
        <w:t>www.virtualshareholdermeeting.com/TPST2024SM</w:t>
      </w:r>
      <w:r>
        <w:rPr>
          <w:rFonts w:ascii="Times New Roman" w:cs="Times New Roman" w:eastAsia="Times New Roman" w:hAnsi="Times New Roman"/>
          <w:sz w:val="17"/>
          <w:szCs w:val="17"/>
          <w:color w:val="auto"/>
        </w:rPr>
        <w:t xml:space="preserve"> and register as a guest. If you login as a guest, you will not be able to vote your shares or ask questions.</w:t>
      </w:r>
    </w:p>
    <w:p>
      <w:pPr>
        <w:spacing w:after="0" w:line="56"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Special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have technical difficulties or trouble accessing the virtual Special Meeting?</w:t>
      </w:r>
    </w:p>
    <w:p>
      <w:pPr>
        <w:spacing w:after="0" w:line="121" w:lineRule="exact"/>
        <w:rPr>
          <w:sz w:val="20"/>
          <w:szCs w:val="20"/>
          <w:color w:val="auto"/>
        </w:rPr>
      </w:pPr>
    </w:p>
    <w:p>
      <w:pPr>
        <w:ind w:left="300" w:right="779"/>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Special Meeting. If you encounter any difficulties accessing the virtual Special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www.virtualshareholdermeeting.com/TPST2024SM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 xml:space="preserve">A list of our record stockholders as of the close of business on the Record Date will be made available to stockholders during the meeting at </w:t>
      </w:r>
      <w:r>
        <w:rPr>
          <w:rFonts w:ascii="Times New Roman" w:cs="Times New Roman" w:eastAsia="Times New Roman" w:hAnsi="Times New Roman"/>
          <w:sz w:val="18"/>
          <w:szCs w:val="18"/>
          <w:i w:val="1"/>
          <w:iCs w:val="1"/>
          <w:color w:val="auto"/>
        </w:rPr>
        <w:t>www.virtualshareholdermeeting.com/TPST2024SM</w:t>
      </w:r>
      <w:r>
        <w:rPr>
          <w:rFonts w:ascii="Times New Roman" w:cs="Times New Roman" w:eastAsia="Times New Roman" w:hAnsi="Times New Roman"/>
          <w:sz w:val="18"/>
          <w:szCs w:val="18"/>
          <w:color w:val="auto"/>
        </w:rPr>
        <w:t>. In addition, for the 10 days prior to the Special Meeting, the list will be available for examination by any stockholder of record for a legally valid purpose during regular business hours. To access the list of record stockholders beginning [  ], 2024 and until the meeting, stockholders should email cc@tempesttx.com.</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Special Meeting?</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[  ], 2024 will be entitled to vote at the Special Meeting. On the Record Date, there were [  ] shares of common stock outstanding and entitled to vote. Whether or not you participate in the Special Meeting, it is important that you vote your shares.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539"/>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Company’s transfer agent, Computershare Trust Company, N.A., then you are a stockholder of record. As a stockholder of record, you may vote online during the meeting or vote by proxy. Whether or not you plan to attend the Special Meeting, to ensure your vote is counted, we urge you to vote by proxy by using the enclosed proxy card, or by voting over the telephone or through the internet.</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 You are also invited to attend the Special Meeting. However, since you are not the stockholder of record, you may not vote your shares online during the meeting unless you request and obtain a valid proxy from your broker, bank or other agent.</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is one matter scheduled for a vote:</w:t>
      </w:r>
    </w:p>
    <w:p>
      <w:pPr>
        <w:spacing w:after="0" w:line="117" w:lineRule="exact"/>
        <w:rPr>
          <w:sz w:val="20"/>
          <w:szCs w:val="20"/>
          <w:color w:val="auto"/>
        </w:rPr>
      </w:pPr>
    </w:p>
    <w:p>
      <w:pPr>
        <w:ind w:left="1000" w:right="35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 series of alternate amendments to our Restated Certificate of Incorporation to effect, at the option of our Board of Directors, a reverse stock split of our common stock at a ratio in the range of 1-for-2 to 1-for-15, inclusive, with such ratio to be determined by our Board of Directors in its sole discretion (“Reverse Stock Split Proposal” or “Proposal 1”).</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Special Meeting?</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those matters in accordance with their best judgment.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the matter to be voted on, you may vote “For” or “Against” or abstain from voting.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61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online during the Special Meeting, vote by proxy using the enclosed proxy card, vote by proxy over the telephone or vote by proxy through the internet. Whether or not you plan to attend the meeting, we urge you to vote by proxy to ensure your vote is counted. You may still attend the meeting and vote online during the meeting even if you have already voted by proxy.</w:t>
      </w:r>
    </w:p>
    <w:p>
      <w:pPr>
        <w:spacing w:after="0" w:line="72" w:lineRule="exact"/>
        <w:rPr>
          <w:sz w:val="20"/>
          <w:szCs w:val="20"/>
          <w:color w:val="auto"/>
        </w:rPr>
      </w:pPr>
    </w:p>
    <w:p>
      <w:pPr>
        <w:ind w:left="1000" w:right="3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during the meeting, access the Special Meeting materials by following the instructions you will receive in your email and submit an electronic ballot during the meeting.</w:t>
      </w:r>
    </w:p>
    <w:p>
      <w:pPr>
        <w:spacing w:after="0" w:line="53"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Special Meeting, we will vote your shares as you direct.</w:t>
      </w:r>
    </w:p>
    <w:p>
      <w:pPr>
        <w:spacing w:after="0" w:line="67" w:lineRule="exact"/>
        <w:rPr>
          <w:rFonts w:ascii="Times New Roman" w:cs="Times New Roman" w:eastAsia="Times New Roman" w:hAnsi="Times New Roman"/>
          <w:sz w:val="18"/>
          <w:szCs w:val="18"/>
          <w:color w:val="auto"/>
        </w:rPr>
      </w:pPr>
    </w:p>
    <w:p>
      <w:pPr>
        <w:ind w:left="1000" w:right="65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enclosed proxy card. To ensure your vote is counted, your telephone vote must be received before 11:59 p.m., Eastern Time on December 2, 2024.</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go to www.proxyvote.com to complete an electronic proxy card. You will be asked to provide the company number and control number from the enclosed proxy card. To ensure your vote is counted, your internet vote must be received before 11:59 p.m., Eastern Time on December 2, 2024.</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 xml:space="preserve">If you are a beneficial owner of shares registered in the name of your broker, bank or other agent, you should have received a voting instruction form with these proxy materials from that organization rather than from us. Simply complete and mail the voting instruction form to ensure that your vote is counted. Alternatively, you may vote by telephone or over the internet as instructed by your broker or bank. To vote online during the Special Meeting, you must obtain a valid proxy from your broker, bank or other agent. Follow the instructions from your broker, bank or other agent included with these proxy materials, or contact that organization to request a proxy form. You must also register to attend the meeting at </w:t>
      </w:r>
      <w:r>
        <w:rPr>
          <w:rFonts w:ascii="Times New Roman" w:cs="Times New Roman" w:eastAsia="Times New Roman" w:hAnsi="Times New Roman"/>
          <w:sz w:val="18"/>
          <w:szCs w:val="18"/>
          <w:i w:val="1"/>
          <w:iCs w:val="1"/>
          <w:color w:val="auto"/>
        </w:rPr>
        <w:t>www.virtualshareholdermeeting.com/TPST2024SM</w:t>
      </w:r>
      <w:r>
        <w:rPr>
          <w:rFonts w:ascii="Times New Roman" w:cs="Times New Roman" w:eastAsia="Times New Roman" w:hAnsi="Times New Roman"/>
          <w:sz w:val="18"/>
          <w:szCs w:val="18"/>
          <w:color w:val="auto"/>
        </w:rPr>
        <w:t xml:space="preserve"> using the control number as provided by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45720</wp:posOffset>
            </wp:positionV>
            <wp:extent cx="5344795" cy="715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4795" cy="715645"/>
                    </a:xfrm>
                    <a:prstGeom prst="rect">
                      <a:avLst/>
                    </a:prstGeom>
                    <a:noFill/>
                  </pic:spPr>
                </pic:pic>
              </a:graphicData>
            </a:graphic>
          </wp:anchor>
        </w:drawing>
      </w:r>
    </w:p>
    <w:p>
      <w:pPr>
        <w:spacing w:after="0" w:line="168" w:lineRule="exact"/>
        <w:rPr>
          <w:sz w:val="20"/>
          <w:szCs w:val="20"/>
          <w:color w:val="auto"/>
        </w:rPr>
      </w:pPr>
    </w:p>
    <w:p>
      <w:pPr>
        <w:ind w:left="420" w:right="43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759"/>
        <w:spacing w:after="0" w:line="282" w:lineRule="auto"/>
        <w:rPr>
          <w:sz w:val="20"/>
          <w:szCs w:val="20"/>
          <w:color w:val="auto"/>
        </w:rPr>
      </w:pPr>
      <w:r>
        <w:rPr>
          <w:rFonts w:ascii="Times New Roman" w:cs="Times New Roman" w:eastAsia="Times New Roman" w:hAnsi="Times New Roman"/>
          <w:sz w:val="18"/>
          <w:szCs w:val="18"/>
          <w:color w:val="auto"/>
        </w:rPr>
        <w:t>If you are a holder of our common stock, on each matter to be voted upon, you have one vote for each share of common stock you held as of the close of business on the Record Date.</w:t>
      </w:r>
    </w:p>
    <w:p>
      <w:pPr>
        <w:spacing w:after="0" w:line="158"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Special Meeting, your shares will not be voted.</w:t>
      </w:r>
    </w:p>
    <w:p>
      <w:pPr>
        <w:spacing w:after="0" w:line="54"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“For” the Reverse Stock Split Proposal. If any other matter is properly presented at the meeting, your proxyholder (one of the individuals named on your proxy card) will vote your shares using their best judgment.</w:t>
      </w:r>
    </w:p>
    <w:p>
      <w:pPr>
        <w:spacing w:after="0" w:line="172"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5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(the “NYSE”), brokers, banks and other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intermediaries that are subject to NYSE rules may use their discretion to vote your “uninstructed” shares with respect to matters considered to be “routine” under NYSE rules, but not with respect to “non-routine” matters. The NYSE has advised us that Proposal 1 is considered to be “routine” under NYSE rules, meaning that your broker may vote your shares on Proposal 1 in the absence of your voting instructions.</w:t>
      </w:r>
    </w:p>
    <w:p>
      <w:pPr>
        <w:spacing w:after="0" w:line="68" w:lineRule="exact"/>
        <w:rPr>
          <w:sz w:val="20"/>
          <w:szCs w:val="20"/>
          <w:color w:val="auto"/>
        </w:rPr>
      </w:pPr>
    </w:p>
    <w:p>
      <w:pPr>
        <w:ind w:left="30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A “broker non-vote” occurs when your broker submits a proxy for the meeting with respect to “routine” matters but does not vote on “non-routine” matters because you did not provide voting instructions on such matters. Because Proposal 1 is a “routine” matter, there will not be any broker non-votes at the Special Meeting.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 In addition, we have hired Sodali &amp; Co. (“Sodali”) to solicit proxies. We expect to pay Sodali a fee of $20,000 plus reasonable expenses for these services.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You can revoke your proxy at any time before the final vote at the Special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written notice that you are revoking your proxy to our Corporate Secretary at 2000 Sierra Point Parkway, Suite 400, Brisbane, CA 94005; or</w:t>
      </w:r>
    </w:p>
    <w:p>
      <w:pPr>
        <w:spacing w:after="0" w:line="53"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Special Meeting and vote online. Simply attending the meeting will not, by itself, revoke your proxy.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Special Meeting, who will separately count “For” and “Against” votes and abstentions.</w:t>
      </w:r>
    </w:p>
    <w:p>
      <w:pPr>
        <w:spacing w:after="0" w:line="50" w:lineRule="exact"/>
        <w:rPr>
          <w:sz w:val="20"/>
          <w:szCs w:val="20"/>
          <w:color w:val="auto"/>
        </w:rPr>
      </w:pPr>
    </w:p>
    <w:p>
      <w:pPr>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voting instructions to your broker, bank or other agent by the deadline provided in the materials you receive from your broker, bank or other agent.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the proposal?</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w:t>
      </w:r>
    </w:p>
    <w:p>
      <w:pPr>
        <w:spacing w:after="0" w:line="2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0" w:type="dxa"/>
            <w:vAlign w:val="bottom"/>
          </w:tcPr>
          <w:p>
            <w:pPr>
              <w:spacing w:after="0"/>
              <w:rPr>
                <w:sz w:val="1"/>
                <w:szCs w:val="1"/>
                <w:color w:val="auto"/>
              </w:rPr>
            </w:pPr>
          </w:p>
        </w:tc>
      </w:tr>
      <w:tr>
        <w:trPr>
          <w:trHeight w:val="148"/>
        </w:trPr>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220" w:type="dxa"/>
            <w:vAlign w:val="bottom"/>
          </w:tcPr>
          <w:p>
            <w:pPr>
              <w:spacing w:after="0"/>
              <w:rPr>
                <w:sz w:val="12"/>
                <w:szCs w:val="12"/>
                <w:color w:val="auto"/>
              </w:rPr>
            </w:pPr>
          </w:p>
        </w:tc>
        <w:tc>
          <w:tcPr>
            <w:tcW w:w="23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Broker Non-</w:t>
            </w:r>
          </w:p>
        </w:tc>
        <w:tc>
          <w:tcPr>
            <w:tcW w:w="0" w:type="dxa"/>
            <w:vAlign w:val="bottom"/>
          </w:tcPr>
          <w:p>
            <w:pPr>
              <w:spacing w:after="0"/>
              <w:rPr>
                <w:sz w:val="1"/>
                <w:szCs w:val="1"/>
                <w:color w:val="auto"/>
              </w:rPr>
            </w:pPr>
          </w:p>
        </w:tc>
      </w:tr>
      <w:tr>
        <w:trPr>
          <w:trHeight w:val="190"/>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w:t>
            </w:r>
          </w:p>
        </w:tc>
        <w:tc>
          <w:tcPr>
            <w:tcW w:w="0" w:type="dxa"/>
            <w:vAlign w:val="bottom"/>
          </w:tcPr>
          <w:p>
            <w:pPr>
              <w:spacing w:after="0"/>
              <w:rPr>
                <w:sz w:val="1"/>
                <w:szCs w:val="1"/>
                <w:color w:val="auto"/>
              </w:rPr>
            </w:pPr>
          </w:p>
        </w:tc>
      </w:tr>
      <w:tr>
        <w:trPr>
          <w:trHeight w:val="23"/>
        </w:trPr>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40" w:type="dxa"/>
            <w:vAlign w:val="bottom"/>
          </w:tcPr>
          <w:p>
            <w:pPr>
              <w:jc w:val="right"/>
              <w:ind w:right="442"/>
              <w:spacing w:after="0"/>
              <w:rPr>
                <w:sz w:val="20"/>
                <w:szCs w:val="20"/>
                <w:color w:val="auto"/>
              </w:rPr>
            </w:pPr>
            <w:r>
              <w:rPr>
                <w:rFonts w:ascii="Times New Roman" w:cs="Times New Roman" w:eastAsia="Times New Roman" w:hAnsi="Times New Roman"/>
                <w:sz w:val="18"/>
                <w:szCs w:val="18"/>
                <w:color w:val="auto"/>
                <w:w w:val="73"/>
              </w:rPr>
              <w:t>1.</w:t>
            </w:r>
          </w:p>
        </w:tc>
        <w:tc>
          <w:tcPr>
            <w:tcW w:w="2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Reverse Stock Split Increase</w:t>
            </w:r>
          </w:p>
        </w:tc>
        <w:tc>
          <w:tcPr>
            <w:tcW w:w="2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“For” votes from the holders of</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Not</w:t>
            </w: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Proposal</w:t>
            </w:r>
          </w:p>
        </w:tc>
        <w:tc>
          <w:tcPr>
            <w:tcW w:w="22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 majority of the voting power</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spacing w:after="0" w:line="226" w:lineRule="exact"/>
              <w:rPr>
                <w:sz w:val="20"/>
                <w:szCs w:val="20"/>
                <w:color w:val="auto"/>
              </w:rPr>
            </w:pPr>
            <w:r>
              <w:rPr>
                <w:rFonts w:ascii="Times New Roman" w:cs="Times New Roman" w:eastAsia="Times New Roman" w:hAnsi="Times New Roman"/>
                <w:sz w:val="16"/>
                <w:szCs w:val="16"/>
                <w:color w:val="auto"/>
              </w:rPr>
              <w:t>applicable</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of the votes cast by the holders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of all the shares present or</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represented by proxy at the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meeting and voting on such</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matter</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439" w:hanging="348"/>
        <w:spacing w:after="0" w:line="241"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outstanding shares entitled to vote are present at the meeting or represented by proxy. On the Record Date, there were [  ] shares outstanding and entitled to vote. Thus, the holders of [  ] shares must be present or represented by proxy at the meeting to have a quorum.</w:t>
      </w:r>
    </w:p>
    <w:p>
      <w:pPr>
        <w:spacing w:after="0" w:line="72"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online at the Special meeting. Abstentions will be counted towards the quorum requirement. If there is no quorum, either the chairperson of the meeting or the holders of a majority of shares present at the meeting or represented by proxy may adjourn the meeting to another date.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ask a question at the Special Meeting?</w:t>
      </w:r>
    </w:p>
    <w:p>
      <w:pPr>
        <w:spacing w:after="0" w:line="121"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may submit questions or comments at the Special Meeting. If you would like to submit a question, you may do so by joining the virtual meeting at </w:t>
      </w:r>
      <w:r>
        <w:rPr>
          <w:rFonts w:ascii="Times New Roman" w:cs="Times New Roman" w:eastAsia="Times New Roman" w:hAnsi="Times New Roman"/>
          <w:sz w:val="18"/>
          <w:szCs w:val="18"/>
          <w:i w:val="1"/>
          <w:iCs w:val="1"/>
          <w:color w:val="auto"/>
        </w:rPr>
        <w:t xml:space="preserve">www.virtualshareholdermeeting.com/TPST2024SM </w:t>
      </w:r>
      <w:r>
        <w:rPr>
          <w:rFonts w:ascii="Times New Roman" w:cs="Times New Roman" w:eastAsia="Times New Roman" w:hAnsi="Times New Roman"/>
          <w:sz w:val="18"/>
          <w:szCs w:val="18"/>
          <w:color w:val="auto"/>
        </w:rPr>
        <w:t>and typing your question in the box in the meeting portal.</w:t>
      </w:r>
    </w:p>
    <w:p>
      <w:pPr>
        <w:spacing w:after="0" w:line="68"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To help ensure that we have a productive and efficient meeting, and in fairness to all stockholders in attendance, you will also find posted our rules of conduct for the Special Meeting when you log in prior to the start of the Special Meeting. In accordance with the rules of conduct, we ask that you limit your remarks to one brief question or comment that is relevant to the Special Meeting or our business and that such remarks are respectful of your fellow stockholders and meeting participants. Our management may group questions by topic with a representative question read aloud and answered. In addition, questions may be ruled out of order if they are, among other things, irrelevant to our business, related to pending or threatened litigation, disorderly, repetitious of statements already made, or in furtherance of the speaker’s own personal, political or business interests. Questions will be addressed in the “Question and Answer” portion of the Special Meeting.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The proxy statement is available at </w:t>
      </w:r>
      <w:r>
        <w:rPr>
          <w:rFonts w:ascii="Times New Roman" w:cs="Times New Roman" w:eastAsia="Times New Roman" w:hAnsi="Times New Roman"/>
          <w:sz w:val="18"/>
          <w:szCs w:val="18"/>
          <w:i w:val="1"/>
          <w:iCs w:val="1"/>
          <w:color w:val="auto"/>
        </w:rPr>
        <w:t>ir.tempesttx.com.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A SERIES OF ALTERNATE AMENDMENTS TO OUR RESTATED CERTIFICATE 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TO EFFECT A REVERSE STOCK SPLIT OF OUR COMMON STOCK</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Board of Directors has unanimously approved a series of alternate amendments to our Restated Certificate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Incorporation, which would:</w:t>
      </w:r>
    </w:p>
    <w:p>
      <w:pPr>
        <w:spacing w:after="0" w:line="99" w:lineRule="exact"/>
        <w:rPr>
          <w:sz w:val="20"/>
          <w:szCs w:val="20"/>
          <w:color w:val="auto"/>
        </w:rPr>
      </w:pPr>
    </w:p>
    <w:p>
      <w:pPr>
        <w:ind w:left="1000" w:right="63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reverse stock split (“Reverse Stock Split”) of all issued and outstanding shares of our common stock, at a ratio ranging from 1-for-2 to 1-for-15, inclusive.</w:t>
      </w:r>
    </w:p>
    <w:p>
      <w:pPr>
        <w:spacing w:after="0" w:line="54"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Accordingly, effecting a Reverse Stock Split would reduce the number of outstanding shares of our common stock. The effectiveness of any one of these amendments and the abandonment of the other amendments, or the abandonment of all of these amendments, will be determined by our Board of Directors following the Special Meeting and prior to the one-year anniversary of the Special Meeting, or December 3, 2025. Our Board of Directors has recommended that these proposed amendments be presented to our stockholders for approval.</w:t>
      </w:r>
    </w:p>
    <w:p>
      <w:pPr>
        <w:spacing w:after="0" w:line="75" w:lineRule="exact"/>
        <w:rPr>
          <w:sz w:val="20"/>
          <w:szCs w:val="20"/>
          <w:color w:val="auto"/>
        </w:rPr>
      </w:pPr>
    </w:p>
    <w:p>
      <w:pPr>
        <w:ind w:left="300" w:right="719"/>
        <w:spacing w:after="0" w:line="266" w:lineRule="auto"/>
        <w:rPr>
          <w:sz w:val="20"/>
          <w:szCs w:val="20"/>
          <w:color w:val="auto"/>
        </w:rPr>
      </w:pPr>
      <w:r>
        <w:rPr>
          <w:rFonts w:ascii="Times New Roman" w:cs="Times New Roman" w:eastAsia="Times New Roman" w:hAnsi="Times New Roman"/>
          <w:sz w:val="18"/>
          <w:szCs w:val="18"/>
          <w:color w:val="auto"/>
        </w:rPr>
        <w:t>Our stockholders are being asked to approve these proposed amendments pursuant to Proposal 1, and to grant authorization to our Board of Directors to determine, at its option, whether to implement a Reverse Stock Split, including its specific timing and ratio.</w:t>
      </w:r>
    </w:p>
    <w:p>
      <w:pPr>
        <w:spacing w:after="0" w:line="68"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Should we receive the required stockholder approvals for Proposal 1, our Board of Directors will have the sole authority to elect, at any time on or prior to the one-year anniversary of the Special Meeting and without the need for any further action on the part of our stockholders, whether to effect a Reverse Stock Split and the number of whole shares of our common stock, between and including two (2) and fifteen (15), that will be combined into one share of our common stock.</w:t>
      </w:r>
    </w:p>
    <w:p>
      <w:pPr>
        <w:spacing w:after="0" w:line="75"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Notwithstanding approval of Proposal 1 by our stockholders, our Board of Directors may, at its sole option, abandon the proposed amendments and determine prior to the effectiveness of any filing with the Secretary of State of the State of Delaware not to effect any Reverse Stock Split, as permitted under Section 242(c) of the General Corporation Law of the State of Delaware. If our Board of Directors does not implement a Reverse Stock Split on or prior to the one-year anniversary of the Special Meeting, stockholder approval would again be required prior to implementing any Reverse Stock Split.</w:t>
      </w:r>
    </w:p>
    <w:p>
      <w:pPr>
        <w:spacing w:after="0" w:line="75" w:lineRule="exact"/>
        <w:rPr>
          <w:sz w:val="20"/>
          <w:szCs w:val="20"/>
          <w:color w:val="auto"/>
        </w:rPr>
      </w:pPr>
    </w:p>
    <w:p>
      <w:pPr>
        <w:ind w:left="300" w:right="319"/>
        <w:spacing w:after="0" w:line="257" w:lineRule="auto"/>
        <w:rPr>
          <w:sz w:val="20"/>
          <w:szCs w:val="20"/>
          <w:color w:val="auto"/>
        </w:rPr>
      </w:pPr>
      <w:r>
        <w:rPr>
          <w:rFonts w:ascii="Times New Roman" w:cs="Times New Roman" w:eastAsia="Times New Roman" w:hAnsi="Times New Roman"/>
          <w:sz w:val="18"/>
          <w:szCs w:val="18"/>
          <w:b w:val="1"/>
          <w:bCs w:val="1"/>
          <w:color w:val="auto"/>
        </w:rPr>
        <w:t>By approving Proposal 1, our stockholders will: (a) approve a series of alternate amendments to our Restated Certificate of Incorporation pursuant to which any whole number of outstanding shares of common stock between and including two (2) and fifteen (15) could be combined into one share of common stock; and (b) authorize our Board of Directors to file only one such amendment, as determined by the Board at its sole option, and to abandon each amendment not selected by the Board. Our Board of Directors may also elect not to undertake any Reverse Stock Split and therefore abandon all amendments.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REVERSE STOCK SPLIT OF OUR COMMON STOCK (PROPOSAL 1)</w:t>
      </w:r>
    </w:p>
    <w:p>
      <w:pPr>
        <w:spacing w:after="0" w:line="121"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and is recommending that our stockholders approve a series of alternate amendments to our Restated Certificate of Incorporation to effect a Reverse Stock Split. The text of the proposed form of Certificate of Amendment to our Restated Certificate of Incorporation, which we refer to as the Certificate of Amendment, is attached hereto as Appendix A.</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are proposing that our Board of Directors have the discretion to select the Reverse Stock Split ratio from within a range between and including 1-for-2 and 1-for-15, rather than proposing that stockholders approve a specific ratio at this time, in order to give our Board of Directors the flexibility to implement a Reverse Stock Split at a ratio that reflects the Board’s then-current assessment of the factors described below under “Criteria to be Used for Determining Whether to Implement the Reverse Stock Split.” If the Board decides to implement a Reverse Stock Split, we will file the Certificate of Amendment with the Secretary of State of the State of Delaware and the Reverse Stock Split will be effective at the time set forth in the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Reverse Stock Split</w:t>
      </w:r>
    </w:p>
    <w:p>
      <w:pPr>
        <w:spacing w:after="0" w:line="119"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 potentially improve the marketability and liquidity of our common stock. </w:t>
      </w:r>
      <w:r>
        <w:rPr>
          <w:rFonts w:ascii="Times New Roman" w:cs="Times New Roman" w:eastAsia="Times New Roman" w:hAnsi="Times New Roman"/>
          <w:sz w:val="18"/>
          <w:szCs w:val="18"/>
          <w:color w:val="auto"/>
        </w:rPr>
        <w:t>Our Board of Directors believes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market price of our common stock expected as a result of implementing a Reverse Stock Split could improve the marketability and liquidity of our common stock and encourage interest and trading in our common stock.</w:t>
      </w:r>
    </w:p>
    <w:p>
      <w:pPr>
        <w:spacing w:after="0" w:line="74" w:lineRule="exact"/>
        <w:rPr>
          <w:sz w:val="20"/>
          <w:szCs w:val="20"/>
          <w:color w:val="auto"/>
        </w:rPr>
      </w:pPr>
    </w:p>
    <w:p>
      <w:pPr>
        <w:ind w:left="1000" w:right="319" w:hanging="348"/>
        <w:spacing w:after="0" w:line="25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Requirements: We understand that many brokerage houses, institutional investors and funds have internal policies and 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w:t>
      </w:r>
    </w:p>
    <w:p>
      <w:pPr>
        <w:spacing w:after="0" w:line="79" w:lineRule="exact"/>
        <w:rPr>
          <w:rFonts w:ascii="Times New Roman" w:cs="Times New Roman" w:eastAsia="Times New Roman" w:hAnsi="Times New Roman"/>
          <w:sz w:val="18"/>
          <w:szCs w:val="18"/>
          <w:color w:val="auto"/>
        </w:rPr>
      </w:pPr>
    </w:p>
    <w:p>
      <w:pPr>
        <w:ind w:left="1000" w:right="479" w:hanging="34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w:t>
      </w:r>
    </w:p>
    <w:p>
      <w:pPr>
        <w:spacing w:after="0" w:line="75" w:lineRule="exact"/>
        <w:rPr>
          <w:rFonts w:ascii="Times New Roman" w:cs="Times New Roman" w:eastAsia="Times New Roman" w:hAnsi="Times New Roman"/>
          <w:sz w:val="18"/>
          <w:szCs w:val="18"/>
          <w:color w:val="auto"/>
        </w:rPr>
      </w:pPr>
    </w:p>
    <w:p>
      <w:pPr>
        <w:ind w:left="1000" w:right="479" w:hanging="348"/>
        <w:spacing w:after="0" w:line="312"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Costs: Investors may be dissuaded from purchasing stocks below certain prices because brokers’ commissions, as a percentage of the total transaction value, can be higher for low-priced stocks.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Criteria to be Used for Determining Whether to Implement Reverse Stock Split</w:t>
      </w:r>
    </w:p>
    <w:p>
      <w:pPr>
        <w:spacing w:after="0" w:line="121" w:lineRule="exact"/>
        <w:rPr>
          <w:sz w:val="20"/>
          <w:szCs w:val="20"/>
          <w:color w:val="auto"/>
        </w:rPr>
      </w:pPr>
    </w:p>
    <w:p>
      <w:pPr>
        <w:ind w:left="300" w:right="479"/>
        <w:spacing w:after="0" w:line="266" w:lineRule="auto"/>
        <w:rPr>
          <w:sz w:val="20"/>
          <w:szCs w:val="20"/>
          <w:color w:val="auto"/>
        </w:rPr>
      </w:pPr>
      <w:r>
        <w:rPr>
          <w:rFonts w:ascii="Times New Roman" w:cs="Times New Roman" w:eastAsia="Times New Roman" w:hAnsi="Times New Roman"/>
          <w:sz w:val="18"/>
          <w:szCs w:val="18"/>
          <w:color w:val="auto"/>
        </w:rPr>
        <w:t>In determining whether to implement the Reverse Stock Split and which Reverse Stock Split ratio to implement, if any, following receipt of stockholder approval of Proposal 1, our Board of Directors may consider, among other things, various factors, such as:</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then-prevailing trading price and trading volume of our common stock and the expected impact of the Reverse Stock Split on the trading market for our common stock in the short- and long-term;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Capital Market;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Reverse Stock Split ratio would result in the least administrative cost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general market and economic conditions; and</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when our Board of Directors desires to have the additional authorized but unissued shares of common stock that will result from the implementation of a Reverse Stock Split available to provide the flexibility to use our common stock for business and/or financial purposes, as well as to accommodate the shares of our common stock to be authorized and reserved for future equity awards.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Risks and Potential Disadvantages Associated with Reverse Stock Split</w:t>
      </w:r>
    </w:p>
    <w:p>
      <w:pPr>
        <w:spacing w:after="0" w:line="119"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We cannot assure you that the proposed Reverse Stock Split will increase our stock price for a sustained period.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that the Reverse Stock Split will increase the market price of our common stock. However, the effect of the Reverse Stock Split upon the market price of our common stock cannot be predicted with any certainty, and the history of similar reverse stock splits for companies in like circumstances is varied, particularly since some investors may view a reverse stock split negatively. It is possible that the per share price of our common stock after the Reverse Stock Split will not rise in proportion to the reduction in the number of shares of our common stock outstanding resulting from the Reverse Stock Split, and the Reverse Stock Split may not result in a per share price that would attract brokers and investors who do not trade in lower priced stocks. In addition, although we believe the Reverse Stock Split may enhance the desirability of our common stock to certain potential investors, we cannot assure you that, if implemented, our common stock will be more attractive to institutional and other long-term investors. Even if we implement the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the Reverse Stock Split is consummated and the trading price of the common stock declines, the percentage decline as an absolute number and as a percentage of our overall market capitalization may be greater than would occur in the absence of the Reverse Stock Split.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right="479"/>
        <w:spacing w:after="0" w:line="255" w:lineRule="auto"/>
        <w:rPr>
          <w:sz w:val="20"/>
          <w:szCs w:val="20"/>
          <w:color w:val="auto"/>
        </w:rPr>
      </w:pPr>
      <w:r>
        <w:rPr>
          <w:rFonts w:ascii="Times New Roman" w:cs="Times New Roman" w:eastAsia="Times New Roman" w:hAnsi="Times New Roman"/>
          <w:sz w:val="18"/>
          <w:szCs w:val="18"/>
          <w:i w:val="1"/>
          <w:iCs w:val="1"/>
          <w:color w:val="auto"/>
        </w:rPr>
        <w:t>The proposed Reverse Stock Split may decrease the liquidity of our common stock and result in higher transaction costs</w:t>
      </w:r>
      <w:r>
        <w:rPr>
          <w:rFonts w:ascii="Times New Roman" w:cs="Times New Roman" w:eastAsia="Times New Roman" w:hAnsi="Times New Roman"/>
          <w:sz w:val="18"/>
          <w:szCs w:val="18"/>
          <w:color w:val="auto"/>
        </w:rPr>
        <w:t>. The liquidity of our common stock may be negatively impacted by a Reverse Stock Split, given the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w:t>
      </w:r>
    </w:p>
    <w:p>
      <w:pPr>
        <w:spacing w:after="0" w:line="77"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i w:val="1"/>
          <w:iCs w:val="1"/>
          <w:color w:val="auto"/>
        </w:rPr>
        <w:t>The effective increase in the authorized number of shares of our common stock as a result of the Reverse Stock Split could have anti-takeover implications</w:t>
      </w:r>
      <w:r>
        <w:rPr>
          <w:rFonts w:ascii="Times New Roman" w:cs="Times New Roman" w:eastAsia="Times New Roman" w:hAnsi="Times New Roman"/>
          <w:sz w:val="18"/>
          <w:szCs w:val="18"/>
          <w:color w:val="auto"/>
        </w:rPr>
        <w:t>. The implementation of a Reverse Stock Split will result in an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authorized number of shares of our common stock, which could, under certain circumstances, have anti-takeover implications. The additional shares of common stock that would become available for issuance if this Proposal 1 is approved and a Reverse Stock Split is implemented could be used by us to oppose a hostile takeover attempt or to delay or prevent changes in control or our management. For example, the Board has adopted a stockholder rights plan which, under certain circumstances related to an acquisition of our securities that is not approved by the Board, gives certain holders the right to acquire additional shares of our common stock at a low price, and the Board may elect to maintain the rights plan indefinitely or adopt a new rights plan in the future. The Board also could strategically sell shares of common stock in a private transaction to purchasers who would oppose a takeover or favor the current Board. Although this Proposal 1 has been prompted by business and financial considerations and not by the threat of any hostile takeover attempt (nor is the Board currently aware of any such attempts directed at us), stockholders should be aware that approval of this Proposal 1 could facilitate future efforts by us to deter or prevent changes in control, including transactions in which the stockholders might otherwise receive a premium for their shares over then current market prices.</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Reverse Stock Split</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each stockholder will own a reduced number of shares of common stock. However, any Reverse Stock Split will affect all of our stockholders uniformly and will not affect any stockholder’s percentage ownership interests in Tempest, except to the extent that the Reverse Stock Split results in any of our stockholders owning a fractional share as described below. 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(assuming there is no impact as a result of the payment of cash in lieu of issuing fractional shares)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principal effects of a Reverse Stock Split will be that:</w:t>
      </w:r>
    </w:p>
    <w:p>
      <w:pPr>
        <w:spacing w:after="0" w:line="50" w:lineRule="exact"/>
        <w:rPr>
          <w:sz w:val="20"/>
          <w:szCs w:val="20"/>
          <w:color w:val="auto"/>
        </w:rPr>
      </w:pPr>
    </w:p>
    <w:p>
      <w:pPr>
        <w:ind w:left="1000" w:right="33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Reverse Stock Split ratio selected by the Board, each two (2) to fifteen (15) shares of our common stock owned by a stockholder will be combined into one new share of our common stock;</w:t>
      </w:r>
    </w:p>
    <w:p>
      <w:pPr>
        <w:ind w:left="1000" w:right="33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p>
    <w:p>
      <w:pPr>
        <w:jc w:val="both"/>
        <w:ind w:left="1000" w:right="8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authorized shares of our common stock will not be reduced proportionally to the Reverse Stock Split and, therefore, the Reverse Stock Split will result in an effective increase in the authorized number of shares of our common stock;</w:t>
      </w:r>
    </w:p>
    <w:p>
      <w:pPr>
        <w:ind w:left="1000" w:right="379" w:hanging="348"/>
        <w:spacing w:after="0" w:line="255"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(if any),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p>
    <w:p>
      <w:pPr>
        <w:spacing w:after="0" w:line="3" w:lineRule="exact"/>
        <w:rPr>
          <w:rFonts w:ascii="Times New Roman" w:cs="Times New Roman" w:eastAsia="Times New Roman" w:hAnsi="Times New Roman"/>
          <w:sz w:val="18"/>
          <w:szCs w:val="18"/>
          <w:color w:val="auto"/>
        </w:rPr>
      </w:pPr>
    </w:p>
    <w:p>
      <w:pPr>
        <w:ind w:left="1000" w:right="73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then reserved for issuance under our equity compensation plans will be reduced proportionately based upon the Reverse Stock Split ratio selected by the Board.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6" w:lineRule="auto"/>
        <w:rPr>
          <w:sz w:val="20"/>
          <w:szCs w:val="20"/>
          <w:color w:val="auto"/>
        </w:rPr>
      </w:pPr>
      <w:r>
        <w:rPr>
          <w:rFonts w:ascii="Times New Roman" w:cs="Times New Roman" w:eastAsia="Times New Roman" w:hAnsi="Times New Roman"/>
          <w:sz w:val="18"/>
          <w:szCs w:val="18"/>
          <w:color w:val="auto"/>
        </w:rPr>
        <w:t>The following table contains approximate information, based on share information as of [      ], 2024, relating to our outstanding common stock based on the proposed Reverse Stock Split ratios (without giving effect to the treatment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-313055</wp:posOffset>
            </wp:positionV>
            <wp:extent cx="3429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3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2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Reserved for</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but Unissued and</w:t>
            </w:r>
          </w:p>
        </w:tc>
        <w:tc>
          <w:tcPr>
            <w:tcW w:w="0" w:type="dxa"/>
            <w:vAlign w:val="bottom"/>
          </w:tcPr>
          <w:p>
            <w:pPr>
              <w:spacing w:after="0"/>
              <w:rPr>
                <w:sz w:val="1"/>
                <w:szCs w:val="1"/>
                <w:color w:val="auto"/>
              </w:rPr>
            </w:pPr>
          </w:p>
        </w:tc>
      </w:tr>
      <w:tr>
        <w:trPr>
          <w:trHeight w:val="190"/>
        </w:trPr>
        <w:tc>
          <w:tcPr>
            <w:tcW w:w="3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w:t>
            </w: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Unreserved</w:t>
            </w:r>
          </w:p>
        </w:tc>
        <w:tc>
          <w:tcPr>
            <w:tcW w:w="0" w:type="dxa"/>
            <w:vAlign w:val="bottom"/>
          </w:tcPr>
          <w:p>
            <w:pPr>
              <w:spacing w:after="0"/>
              <w:rPr>
                <w:sz w:val="1"/>
                <w:szCs w:val="1"/>
                <w:color w:val="auto"/>
              </w:rPr>
            </w:pPr>
          </w:p>
        </w:tc>
      </w:tr>
      <w:tr>
        <w:trPr>
          <w:trHeight w:val="23"/>
        </w:trPr>
        <w:tc>
          <w:tcPr>
            <w:tcW w:w="3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2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1:2</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1:3</w:t>
            </w:r>
          </w:p>
        </w:tc>
        <w:tc>
          <w:tcPr>
            <w:tcW w:w="12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1:4</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1:5</w:t>
            </w:r>
          </w:p>
        </w:tc>
        <w:tc>
          <w:tcPr>
            <w:tcW w:w="12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1:6</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1:7</w:t>
            </w:r>
          </w:p>
        </w:tc>
        <w:tc>
          <w:tcPr>
            <w:tcW w:w="12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1:8</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1:9</w:t>
            </w:r>
          </w:p>
        </w:tc>
        <w:tc>
          <w:tcPr>
            <w:tcW w:w="12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1:10</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1:11</w:t>
            </w:r>
          </w:p>
        </w:tc>
        <w:tc>
          <w:tcPr>
            <w:tcW w:w="12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1:12</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1:13</w:t>
            </w:r>
          </w:p>
        </w:tc>
        <w:tc>
          <w:tcPr>
            <w:tcW w:w="12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1:14</w:t>
            </w:r>
          </w:p>
        </w:tc>
        <w:tc>
          <w:tcPr>
            <w:tcW w:w="12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1:15</w:t>
            </w:r>
          </w:p>
        </w:tc>
        <w:tc>
          <w:tcPr>
            <w:tcW w:w="1220" w:type="dxa"/>
            <w:vAlign w:val="bottom"/>
            <w:gridSpan w:val="2"/>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100,000,000</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2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619"/>
        <w:spacing w:after="0" w:line="266" w:lineRule="auto"/>
        <w:rPr>
          <w:sz w:val="20"/>
          <w:szCs w:val="20"/>
          <w:color w:val="auto"/>
        </w:rPr>
      </w:pPr>
      <w:r>
        <w:rPr>
          <w:rFonts w:ascii="Times New Roman" w:cs="Times New Roman" w:eastAsia="Times New Roman" w:hAnsi="Times New Roman"/>
          <w:sz w:val="18"/>
          <w:szCs w:val="18"/>
          <w:color w:val="auto"/>
        </w:rPr>
        <w:t>After the effective date of any Reverse Stock Split that our Board of Directors elects to implement, our common stock would have a new Committee on Uniform Securities Identification Procedures (CUSIP) number, a number used to identify our common stock.</w:t>
      </w:r>
    </w:p>
    <w:p>
      <w:pPr>
        <w:spacing w:after="0" w:line="68" w:lineRule="exact"/>
        <w:rPr>
          <w:sz w:val="20"/>
          <w:szCs w:val="20"/>
          <w:color w:val="auto"/>
        </w:rPr>
      </w:pPr>
    </w:p>
    <w:p>
      <w:pPr>
        <w:ind w:left="300" w:right="299"/>
        <w:spacing w:after="0" w:line="255" w:lineRule="auto"/>
        <w:rPr>
          <w:sz w:val="20"/>
          <w:szCs w:val="20"/>
          <w:color w:val="auto"/>
        </w:rPr>
      </w:pPr>
      <w:r>
        <w:rPr>
          <w:rFonts w:ascii="Times New Roman" w:cs="Times New Roman" w:eastAsia="Times New Roman" w:hAnsi="Times New Roman"/>
          <w:sz w:val="18"/>
          <w:szCs w:val="18"/>
          <w:color w:val="auto"/>
        </w:rPr>
        <w:t>Our common stock is currently registered under Section 12(b) of the Securities Exchange Act of 1934, as amended (the “Exchange Act”), and we are subject to the periodic reporting and other requirements of the Exchange Act. The implementation of any proposed Reverse Stock Split will not affect the registration of our common stock under the Exchange Act. Our common stock would continue to be listed on the Nasdaq Capital Market under the symbol “TPST” immediately following the Reverse Stock Split, although it is likely that Nasdaq would add the letter “D” to the end of the trading symbol for a period of twenty trading days after the effective date of the Reverse Stock Split to indicate that the Reverse Stock Split had occurred.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 Time</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proposed Reverse Stock Split would become effective at 5:00 p.m., Eastern Time, on the business day following the filing of a Certificate of Amendment with the office of the Secretary of State of the State of Delaware, or such later date or other time as is set forth in the Certificate of Amendment, which date and time we refer to in this Proposal 1 as the Effective Time. Except as explained below with respect to fractional shares, effective as of the Effective Time, shares of common stock issued and outstanding immediately prior thereto will be combined, automatically and without any action on the part of us or our stockholders, into a fewer number of new shares of our common stock in accordance with the Reverse Stock Split ratio determined by our Board within the limits set forth in this Proposal 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Payment In Lieu of Fractional Shares</w:t>
      </w:r>
    </w:p>
    <w:p>
      <w:pPr>
        <w:spacing w:after="0" w:line="121"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any Reverse Stock Split. Instead, in lieu of any fractional shares to which a stockholder of record would otherwise be entitled as a result of the Reverse Stock Split, Tempest will pay cash (without interest) equal to such fraction multiplied by the average of the closing sales prices of the common stock on the Nasdaq Capital Market during regular trading hours for the five consecutive trading days immediately preceding the Effective Time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As of [      ], 2024, there were [      ] stockholders of record of our common stock. Upon stockholder approval of this Proposal 1, if our Board of Directors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nine shares of common stock immediately prior to the Reverse Stock Split and the Reverse Stock Split ratio selected by the Board was 1-for-10, then such stockholder would cease to be a stockholder of Tempest following the Reverse Stock Split and would not have any voting, dividend or other rights except to receive payment for the fractional share as described above. Based on our stockholders of record as of [      ], 2024, and assuming a Reverse Stock Split ratio of 1-for-10, we expect that cashing out fractional stockholders will [reduce the number of stockholders of record by only [    ] record stockholder[s]][not reduce the number of stockholders of record]. In addition, we do not intend for this transaction to be the first step in a series of plans or proposals of a “going private transaction” within the meaning of Rule 13e-3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-1539240</wp:posOffset>
            </wp:positionV>
            <wp:extent cx="342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-1539240</wp:posOffset>
            </wp:positionV>
            <wp:extent cx="3429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4560570</wp:posOffset>
            </wp:positionH>
            <wp:positionV relativeFrom="paragraph">
              <wp:posOffset>-579120</wp:posOffset>
            </wp:positionV>
            <wp:extent cx="3429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-304800</wp:posOffset>
            </wp:positionV>
            <wp:extent cx="228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and Beneficial Stockholders</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If this Proposal 1 is approved by our stockholders and our Board of Directors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and making payment for fractional shares than those that would be put in place by us for registered stockholders. If you hold your shares with such a bank, broker or other nominee and if you have questions in this regard, you are encouraged to contact your nominee.</w:t>
      </w:r>
    </w:p>
    <w:p>
      <w:pPr>
        <w:spacing w:after="0" w:line="86"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If this Proposal 1 is approved by our stockholders and our Board of Directors elects to implement a Reverse Stock Split, stockholders of record holding some or all of their shares in certificate form will receive a letter of transmittal from Tempest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until such stockholder has surrendered such stockholder’s outstanding certificate(s) together with the properly completed and executed letter of transmittal to the exchange agent.</w:t>
      </w:r>
    </w:p>
    <w:p>
      <w:pPr>
        <w:spacing w:after="0" w:line="86"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STOCKHOLDERS SHOULD NOT DESTROY ANY PRE-SPLIT STOCK CERTIFICATE AND SHOULD NOT SUBMIT ANY CERTIFICATES UNTIL THEY ARE REQUESTED TO DO SO.</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Consequences</w:t>
      </w:r>
    </w:p>
    <w:p>
      <w:pPr>
        <w:spacing w:after="0" w:line="121" w:lineRule="exact"/>
        <w:rPr>
          <w:sz w:val="20"/>
          <w:szCs w:val="20"/>
          <w:color w:val="auto"/>
        </w:rPr>
      </w:pPr>
    </w:p>
    <w:p>
      <w:pPr>
        <w:ind w:left="300" w:right="419"/>
        <w:spacing w:after="0" w:line="273" w:lineRule="auto"/>
        <w:rPr>
          <w:sz w:val="20"/>
          <w:szCs w:val="20"/>
          <w:color w:val="auto"/>
        </w:rPr>
      </w:pPr>
      <w:r>
        <w:rPr>
          <w:rFonts w:ascii="Times New Roman" w:cs="Times New Roman" w:eastAsia="Times New Roman" w:hAnsi="Times New Roman"/>
          <w:sz w:val="17"/>
          <w:szCs w:val="17"/>
          <w:color w:val="auto"/>
        </w:rPr>
        <w:t>The par value per share of our common stock would remain unchanged at $0.001 per share after any Reverse Stock Split. As a result, on the Effective Time, the stated capital on our balance sheet attributable to the common stock would be reduced proportionally, based on the actual Reverse Stock Split ratio, from its present amount, and the additional paid-in capital account would be credited with the amount by which the stated capital would be reduced. The net income or loss per share of common stock would be increased because there would be fewer shares of common stock outstanding. The Reverse Stock Split would be reflected retrospectively in our financial statements. We do not anticipate that any other accounting consequences would arise as a result of any Reverse Stock Split.</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stockholders are not entitled to dissenters’ or appraisal rights under the General Corporation Law of the State of Delaware with respect to the proposed alternate amendments to our Restated Certificate of Incorporation to allow for a Reverse Stock Split.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2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a Reverse Stock Split that are generally expected to be applicable to U.S. Holders (as defined below) of our common stock who hold their common shares as capital assets within the meaning of Section 1221 of Internal Revenue Code of 1986, as amended (the “Code”) (generally property held for investment). This summary is based on provisions of the Code, applicable Treasury Regulations promulgated thereunder, judicial authority and current administrative rulings and practices as in effect on the date of this proxy statement. Changes to these laws could alter the tax consequences described below, possibly with retroactive effect, which may result in the U.S. federal income tax consequences of the Reverse Stock Split differing substantially from the consequences summarized below. We have not sought and will not seek an opinion of counsel or a ruling from the Internal Revenue Service regarding the federal income tax consequences of a Reverse Stock Split.</w:t>
      </w:r>
    </w:p>
    <w:p>
      <w:pPr>
        <w:spacing w:after="0" w:line="86"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This discussion is for general information only and does not purport to consider all aspects of U.S. federal income taxation that might be relevant to a U.S. Holder. This discussion does not address the tax consequences which may apply to stockholders subject to special rules, such as financial institutions, insurance companies, tax-exempt organizations dealers in securities, real estate investment trusts, regulated investment companies, stockholders who hold their pre-reverse split shares through individual retirement or other tax-deferred accounts, stockholders who are not U.S. Holders (as defined below), stockholders who have a functional currency other than the U.S. dollar, partnerships or other entities classified as partnerships or disregarded entities for U.S. federal income tax purposes (or persons holding our common stock through such entities), stockholders who hold the pre-reverse split shares as part of a straddle, hedge, or conversion transaction, stockholders who hold the pre-reverse split shares as qualified small business stock within the meaning of Section 1202 of the Code or Section 1244 stock for purposes of Section 1244 of the Code, stockholders who acquired their stock in a transaction subject to the gain rollover provisions of Section 1045 of the Code, or stockholders who acquired their pre-reverse split shares pursuant to the exercise of employee stock options or otherwise as compensation.</w:t>
      </w:r>
    </w:p>
    <w:p>
      <w:pPr>
        <w:spacing w:after="0" w:line="7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In addition, this summary does not address: (a) the tax consequences of transactions effectuated before, after or at the same time as the Reverse Stock Split, whether or not they are in connection with the Reverse Stock Split; (b) any U.S. federal non-income tax consequences of the Reverse Stock Split, including estate, gift or other tax consequences; (c) any state, local or non-U.S. tax consequences of the Reverse Stock Split; (d) the alternative minimum tax, the Medicare contribution tax on net investment income, or special tax accounting rules under Section 451(b) of the Code, or (e) tax consequences to holders of options, warrants or similar rights to acquire our common stock. Stockholders are urged to consult their own tax advisors to determine the particular consequences to them.</w:t>
      </w:r>
    </w:p>
    <w:p>
      <w:pPr>
        <w:spacing w:after="0" w:line="8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any of the following:</w:t>
      </w:r>
    </w:p>
    <w:p>
      <w:pPr>
        <w:spacing w:after="0" w:line="54" w:lineRule="exact"/>
        <w:rPr>
          <w:sz w:val="20"/>
          <w:szCs w:val="20"/>
          <w:color w:val="auto"/>
        </w:rPr>
      </w:pPr>
    </w:p>
    <w:p>
      <w:pPr>
        <w:ind w:left="1000" w:right="7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or someone treated as a U.S. citizen or resident for U.S. federal income tax purposes;</w:t>
      </w:r>
    </w:p>
    <w:p>
      <w:pPr>
        <w:spacing w:after="0" w:line="53"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000" w:right="459" w:hanging="348"/>
        <w:spacing w:after="0" w:line="25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U.S. Treasury Regulations to be treated as a United States person for U.S. federal income tax purposes.</w:t>
      </w:r>
    </w:p>
    <w:p>
      <w:pPr>
        <w:spacing w:after="0" w:line="75"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The Reverse Stock Split should constitute a “recapitalization” for U.S. federal income tax purposes. In general, the federal income tax consequences of a Reverse Stock Split will vary depending upon whether a U.S. Holder receives cash for fractional shares or solely a reduced number of shares of common stock in exchange for their old shares of common stock. We believe that because the Reverse Stock Split is not part of a plan to increase periodically a stockholder’s proportionate interest in our assets or earnings and profits, the Reverse Stock Split should have the following federal income tax effects. A U.S. Holder who receives solely a reduced number of shares of common stock will generally not recognize gain or loss in the Reverse Stock Split. A U.S. Holder’s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39"/>
        <w:spacing w:after="0" w:line="274" w:lineRule="auto"/>
        <w:rPr>
          <w:sz w:val="20"/>
          <w:szCs w:val="20"/>
          <w:color w:val="auto"/>
        </w:rPr>
      </w:pPr>
      <w:r>
        <w:rPr>
          <w:rFonts w:ascii="Times New Roman" w:cs="Times New Roman" w:eastAsia="Times New Roman" w:hAnsi="Times New Roman"/>
          <w:sz w:val="17"/>
          <w:szCs w:val="17"/>
          <w:color w:val="auto"/>
        </w:rPr>
        <w:t>aggregate tax basis in the reduced number of shares of common stock should equal the U.S. Holder’s aggregate tax basis in its old shares of common stock and such U.S. Holder’s holding period in the reduced number of shares will include the holding period in its old shares exchanged. Treasury Regulations provide detailed rules for allocating the tax basis and holding period of the shares of common stock surrendered to the shares of common stock received in a recapitalization pursuant to the Reverse Stock Split. U.S. Holders should consult their tax advisors as to application of the foregoing rules where shares of common stock were acquired at different times or at different prices.</w:t>
      </w:r>
    </w:p>
    <w:p>
      <w:pPr>
        <w:spacing w:after="0" w:line="6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as a result of the Reverse Stock Split should generally recognize gain or loss equal to the difference, if any, between the amount of cash received and the stockholder’s basis in the fractional share. Such gain or loss will be a capital gain or loss and will be short term if the pre-reverse split shares were held for one year or less and long term if held more than one year. Long-term capital gains of non-corporate U.S. Holders are generally subject to preferential tax rates. There are limitations on the deductibility of capital losses under the Code. A U.S. Holder’s aggregate tax basis in the reduced number of shares of common stock should equal the U.S. Holder’s aggregate tax basis in its old shares of common stock decreased by the basis allocated to the fractional share for which such U.S. Holder is entitled to receive cash, and the holding period of the reduced number of shares received will include the holding period of the old shares exchanged.</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will not recognize any gain or loss as a result of the proposed Reverse Stock Split.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STOCKHOLDERS VOTE “FOR”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APPROVAL OF A REVERSE STOCK SPLIT AS SET FORTH IN PROPOSAL 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99" w:lineRule="exact"/>
        <w:rPr>
          <w:sz w:val="20"/>
          <w:szCs w:val="20"/>
          <w:color w:val="auto"/>
        </w:rPr>
      </w:pPr>
    </w:p>
    <w:p>
      <w:pPr>
        <w:ind w:left="300" w:right="399"/>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October 1, 2024 by: (i) each director; (ii) each of our named executive officers; (iii) all current executive officers and directors of the Company as a group; and (iv) all those known by the Company to be beneficial owners of more than five percent of its common stock.</w:t>
      </w:r>
    </w:p>
    <w:p>
      <w:pPr>
        <w:spacing w:after="0" w:line="72"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75" w:lineRule="exact"/>
        <w:rPr>
          <w:sz w:val="20"/>
          <w:szCs w:val="20"/>
          <w:color w:val="auto"/>
        </w:rPr>
      </w:pPr>
    </w:p>
    <w:p>
      <w:pPr>
        <w:ind w:left="300" w:right="359"/>
        <w:spacing w:after="0" w:line="277" w:lineRule="auto"/>
        <w:rPr>
          <w:sz w:val="20"/>
          <w:szCs w:val="20"/>
          <w:color w:val="auto"/>
        </w:rPr>
      </w:pPr>
      <w:r>
        <w:rPr>
          <w:rFonts w:ascii="Times New Roman" w:cs="Times New Roman" w:eastAsia="Times New Roman" w:hAnsi="Times New Roman"/>
          <w:sz w:val="17"/>
          <w:szCs w:val="17"/>
          <w:color w:val="auto"/>
        </w:rPr>
        <w:t>Applicable percentage ownership is based on 26,565,886 shares of our common stock issued and outstanding as of October 1, 2024.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October 1, 2024. However, these shares are not considered outstanding for the purpose of computing the percentage ownership of any other person.</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Beneficial Ownership</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240" w:type="dxa"/>
            <w:vAlign w:val="bottom"/>
            <w:vMerge w:val="restart"/>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214"/>
        </w:trPr>
        <w:tc>
          <w:tcPr>
            <w:tcW w:w="606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50"/>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Entities affiliated with Versant Venture Capital</w:t>
            </w:r>
            <w:r>
              <w:rPr>
                <w:rFonts w:ascii="Times New Roman" w:cs="Times New Roman" w:eastAsia="Times New Roman" w:hAnsi="Times New Roman"/>
                <w:sz w:val="28"/>
                <w:szCs w:val="28"/>
                <w:color w:val="auto"/>
                <w:vertAlign w:val="superscript"/>
              </w:rPr>
              <w:t>(2)</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3,507,056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 )</w:t>
            </w:r>
          </w:p>
        </w:tc>
        <w:tc>
          <w:tcPr>
            <w:tcW w:w="1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Stephen Brady</w:t>
            </w:r>
            <w:r>
              <w:rPr>
                <w:rFonts w:ascii="Times New Roman" w:cs="Times New Roman" w:eastAsia="Times New Roman" w:hAnsi="Times New Roman"/>
                <w:sz w:val="28"/>
                <w:szCs w:val="28"/>
                <w:color w:val="auto"/>
                <w:vertAlign w:val="superscript"/>
              </w:rPr>
              <w:t>(3)</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790,442</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Samuel Whiting</w:t>
            </w:r>
            <w:r>
              <w:rPr>
                <w:rFonts w:ascii="Times New Roman" w:cs="Times New Roman" w:eastAsia="Times New Roman" w:hAnsi="Times New Roman"/>
                <w:sz w:val="28"/>
                <w:szCs w:val="28"/>
                <w:color w:val="auto"/>
                <w:vertAlign w:val="superscript"/>
              </w:rPr>
              <w:t>(4)</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284,108</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63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Michael Raab</w:t>
            </w:r>
            <w:r>
              <w:rPr>
                <w:rFonts w:ascii="Times New Roman" w:cs="Times New Roman" w:eastAsia="Times New Roman" w:hAnsi="Times New Roman"/>
                <w:sz w:val="28"/>
                <w:szCs w:val="28"/>
                <w:color w:val="auto"/>
                <w:vertAlign w:val="superscript"/>
              </w:rPr>
              <w:t>(5)</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49,206</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Nicholas Maestas</w:t>
            </w:r>
            <w:r>
              <w:rPr>
                <w:rFonts w:ascii="Times New Roman" w:cs="Times New Roman" w:eastAsia="Times New Roman" w:hAnsi="Times New Roman"/>
                <w:sz w:val="28"/>
                <w:szCs w:val="28"/>
                <w:color w:val="auto"/>
                <w:vertAlign w:val="superscript"/>
              </w:rPr>
              <w:t>(6)</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125,838</w:t>
            </w: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Geoff Nichol</w:t>
            </w:r>
            <w:r>
              <w:rPr>
                <w:rFonts w:ascii="Times New Roman" w:cs="Times New Roman" w:eastAsia="Times New Roman" w:hAnsi="Times New Roman"/>
                <w:sz w:val="28"/>
                <w:szCs w:val="28"/>
                <w:color w:val="auto"/>
                <w:vertAlign w:val="superscript"/>
              </w:rPr>
              <w:t>(7)</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20,735</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Christine Pellizzari</w:t>
            </w:r>
            <w:r>
              <w:rPr>
                <w:rFonts w:ascii="Times New Roman" w:cs="Times New Roman" w:eastAsia="Times New Roman" w:hAnsi="Times New Roman"/>
                <w:sz w:val="28"/>
                <w:szCs w:val="28"/>
                <w:color w:val="auto"/>
                <w:vertAlign w:val="superscript"/>
              </w:rPr>
              <w:t>(8)</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18,335</w:t>
            </w:r>
          </w:p>
        </w:tc>
        <w:tc>
          <w:tcPr>
            <w:tcW w:w="9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3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Ronit Simantov</w:t>
            </w:r>
            <w:r>
              <w:rPr>
                <w:rFonts w:ascii="Times New Roman" w:cs="Times New Roman" w:eastAsia="Times New Roman" w:hAnsi="Times New Roman"/>
                <w:sz w:val="28"/>
                <w:szCs w:val="28"/>
                <w:color w:val="auto"/>
                <w:vertAlign w:val="superscript"/>
              </w:rPr>
              <w:t>(9)</w:t>
            </w:r>
          </w:p>
        </w:tc>
        <w:tc>
          <w:tcPr>
            <w:tcW w:w="11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18,335</w:t>
            </w: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(7 persons)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1,306,999</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54"/>
        </w:trPr>
        <w:tc>
          <w:tcPr>
            <w:tcW w:w="60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ownership of less than one percent.</w:t>
      </w:r>
    </w:p>
    <w:p>
      <w:pPr>
        <w:spacing w:after="0" w:line="42" w:lineRule="exact"/>
        <w:rPr>
          <w:sz w:val="20"/>
          <w:szCs w:val="20"/>
          <w:color w:val="auto"/>
        </w:rPr>
      </w:pPr>
    </w:p>
    <w:p>
      <w:pPr>
        <w:ind w:left="640" w:right="659" w:hanging="348"/>
        <w:spacing w:after="0" w:line="258"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for each director and executive officer is c/o Tempest Therapeutics, Inc., 2000 Sierra Point Parkway, Suite 400, Brisbane, California, 94005.</w:t>
      </w:r>
    </w:p>
    <w:p>
      <w:pPr>
        <w:ind w:left="640" w:right="319" w:hanging="348"/>
        <w:spacing w:after="0" w:line="236" w:lineRule="auto"/>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indicated ownership is based solely on a Schedule 13D/A filed with the SEC by Versant Venture Capital IV, L.P. (“</w:t>
      </w:r>
      <w:r>
        <w:rPr>
          <w:rFonts w:ascii="Times New Roman" w:cs="Times New Roman" w:eastAsia="Times New Roman" w:hAnsi="Times New Roman"/>
          <w:sz w:val="14"/>
          <w:szCs w:val="14"/>
          <w:b w:val="1"/>
          <w:bCs w:val="1"/>
          <w:i w:val="1"/>
          <w:iCs w:val="1"/>
          <w:color w:val="auto"/>
        </w:rPr>
        <w:t>Versant IV</w:t>
      </w:r>
      <w:r>
        <w:rPr>
          <w:rFonts w:ascii="Times New Roman" w:cs="Times New Roman" w:eastAsia="Times New Roman" w:hAnsi="Times New Roman"/>
          <w:sz w:val="14"/>
          <w:szCs w:val="14"/>
          <w:color w:val="auto"/>
        </w:rPr>
        <w:t>”), Versant Side Fund IV, L.P. (“</w:t>
      </w:r>
      <w:r>
        <w:rPr>
          <w:rFonts w:ascii="Times New Roman" w:cs="Times New Roman" w:eastAsia="Times New Roman" w:hAnsi="Times New Roman"/>
          <w:sz w:val="14"/>
          <w:szCs w:val="14"/>
          <w:b w:val="1"/>
          <w:bCs w:val="1"/>
          <w:i w:val="1"/>
          <w:iCs w:val="1"/>
          <w:color w:val="auto"/>
        </w:rPr>
        <w:t>Side Fund IV</w:t>
      </w:r>
      <w:r>
        <w:rPr>
          <w:rFonts w:ascii="Times New Roman" w:cs="Times New Roman" w:eastAsia="Times New Roman" w:hAnsi="Times New Roman"/>
          <w:sz w:val="14"/>
          <w:szCs w:val="14"/>
          <w:color w:val="auto"/>
        </w:rPr>
        <w:t>”), Versant Ventures IV, LLC (“</w:t>
      </w:r>
      <w:r>
        <w:rPr>
          <w:rFonts w:ascii="Times New Roman" w:cs="Times New Roman" w:eastAsia="Times New Roman" w:hAnsi="Times New Roman"/>
          <w:sz w:val="14"/>
          <w:szCs w:val="14"/>
          <w:b w:val="1"/>
          <w:bCs w:val="1"/>
          <w:i w:val="1"/>
          <w:iCs w:val="1"/>
          <w:color w:val="auto"/>
        </w:rPr>
        <w:t>LLC IV</w:t>
      </w:r>
      <w:r>
        <w:rPr>
          <w:rFonts w:ascii="Times New Roman" w:cs="Times New Roman" w:eastAsia="Times New Roman" w:hAnsi="Times New Roman"/>
          <w:sz w:val="14"/>
          <w:szCs w:val="14"/>
          <w:color w:val="auto"/>
        </w:rPr>
        <w:t>”), Versant Venture Capital VI, L.P. (“</w:t>
      </w:r>
      <w:r>
        <w:rPr>
          <w:rFonts w:ascii="Times New Roman" w:cs="Times New Roman" w:eastAsia="Times New Roman" w:hAnsi="Times New Roman"/>
          <w:sz w:val="14"/>
          <w:szCs w:val="14"/>
          <w:b w:val="1"/>
          <w:bCs w:val="1"/>
          <w:i w:val="1"/>
          <w:iCs w:val="1"/>
          <w:color w:val="auto"/>
        </w:rPr>
        <w:t>Versant VI</w:t>
      </w:r>
      <w:r>
        <w:rPr>
          <w:rFonts w:ascii="Times New Roman" w:cs="Times New Roman" w:eastAsia="Times New Roman" w:hAnsi="Times New Roman"/>
          <w:sz w:val="14"/>
          <w:szCs w:val="14"/>
          <w:color w:val="auto"/>
        </w:rPr>
        <w:t>”), Versant Ventures VI GP, L.P. (“</w:t>
      </w:r>
      <w:r>
        <w:rPr>
          <w:rFonts w:ascii="Times New Roman" w:cs="Times New Roman" w:eastAsia="Times New Roman" w:hAnsi="Times New Roman"/>
          <w:sz w:val="14"/>
          <w:szCs w:val="14"/>
          <w:b w:val="1"/>
          <w:bCs w:val="1"/>
          <w:i w:val="1"/>
          <w:iCs w:val="1"/>
          <w:color w:val="auto"/>
        </w:rPr>
        <w:t>GP VI</w:t>
      </w:r>
      <w:r>
        <w:rPr>
          <w:rFonts w:ascii="Times New Roman" w:cs="Times New Roman" w:eastAsia="Times New Roman" w:hAnsi="Times New Roman"/>
          <w:sz w:val="14"/>
          <w:szCs w:val="14"/>
          <w:color w:val="auto"/>
        </w:rPr>
        <w:t>”), Versant Ventures VI GP-GP, LLC (“</w:t>
      </w:r>
      <w:r>
        <w:rPr>
          <w:rFonts w:ascii="Times New Roman" w:cs="Times New Roman" w:eastAsia="Times New Roman" w:hAnsi="Times New Roman"/>
          <w:sz w:val="14"/>
          <w:szCs w:val="14"/>
          <w:b w:val="1"/>
          <w:bCs w:val="1"/>
          <w:i w:val="1"/>
          <w:iCs w:val="1"/>
          <w:color w:val="auto"/>
        </w:rPr>
        <w:t>LLC VI</w:t>
      </w:r>
      <w:r>
        <w:rPr>
          <w:rFonts w:ascii="Times New Roman" w:cs="Times New Roman" w:eastAsia="Times New Roman" w:hAnsi="Times New Roman"/>
          <w:sz w:val="14"/>
          <w:szCs w:val="14"/>
          <w:color w:val="auto"/>
        </w:rPr>
        <w:t>”), Versant Vantage II, L.P. (“</w:t>
      </w:r>
      <w:r>
        <w:rPr>
          <w:rFonts w:ascii="Times New Roman" w:cs="Times New Roman" w:eastAsia="Times New Roman" w:hAnsi="Times New Roman"/>
          <w:sz w:val="14"/>
          <w:szCs w:val="14"/>
          <w:b w:val="1"/>
          <w:bCs w:val="1"/>
          <w:i w:val="1"/>
          <w:iCs w:val="1"/>
          <w:color w:val="auto"/>
        </w:rPr>
        <w:t>Vantage II LP</w:t>
      </w:r>
      <w:r>
        <w:rPr>
          <w:rFonts w:ascii="Times New Roman" w:cs="Times New Roman" w:eastAsia="Times New Roman" w:hAnsi="Times New Roman"/>
          <w:sz w:val="14"/>
          <w:szCs w:val="14"/>
          <w:color w:val="auto"/>
        </w:rPr>
        <w:t>”), Versant Vantage II GP, L.P. (“</w:t>
      </w:r>
      <w:r>
        <w:rPr>
          <w:rFonts w:ascii="Times New Roman" w:cs="Times New Roman" w:eastAsia="Times New Roman" w:hAnsi="Times New Roman"/>
          <w:sz w:val="14"/>
          <w:szCs w:val="14"/>
          <w:b w:val="1"/>
          <w:bCs w:val="1"/>
          <w:i w:val="1"/>
          <w:iCs w:val="1"/>
          <w:color w:val="auto"/>
        </w:rPr>
        <w:t>Vantage II GP</w:t>
      </w:r>
      <w:r>
        <w:rPr>
          <w:rFonts w:ascii="Times New Roman" w:cs="Times New Roman" w:eastAsia="Times New Roman" w:hAnsi="Times New Roman"/>
          <w:sz w:val="14"/>
          <w:szCs w:val="14"/>
          <w:color w:val="auto"/>
        </w:rPr>
        <w:t>”), Versant Vantage II GP-GP, LLC (“</w:t>
      </w:r>
      <w:r>
        <w:rPr>
          <w:rFonts w:ascii="Times New Roman" w:cs="Times New Roman" w:eastAsia="Times New Roman" w:hAnsi="Times New Roman"/>
          <w:sz w:val="14"/>
          <w:szCs w:val="14"/>
          <w:b w:val="1"/>
          <w:bCs w:val="1"/>
          <w:i w:val="1"/>
          <w:iCs w:val="1"/>
          <w:color w:val="auto"/>
        </w:rPr>
        <w:t>Vantage II LLC</w:t>
      </w:r>
      <w:r>
        <w:rPr>
          <w:rFonts w:ascii="Times New Roman" w:cs="Times New Roman" w:eastAsia="Times New Roman" w:hAnsi="Times New Roman"/>
          <w:sz w:val="14"/>
          <w:szCs w:val="14"/>
          <w:color w:val="auto"/>
        </w:rPr>
        <w:t>” and, with Versant IV, Side Fund IV, LLC IV, Versant VI, GP VI, LLC VI, Vantage II LP and Vantage II GP, collectively, the “</w:t>
      </w:r>
      <w:r>
        <w:rPr>
          <w:rFonts w:ascii="Times New Roman" w:cs="Times New Roman" w:eastAsia="Times New Roman" w:hAnsi="Times New Roman"/>
          <w:sz w:val="14"/>
          <w:szCs w:val="14"/>
          <w:b w:val="1"/>
          <w:bCs w:val="1"/>
          <w:i w:val="1"/>
          <w:iCs w:val="1"/>
          <w:color w:val="auto"/>
        </w:rPr>
        <w:t>Versant Reporting Persons</w:t>
      </w:r>
      <w:r>
        <w:rPr>
          <w:rFonts w:ascii="Times New Roman" w:cs="Times New Roman" w:eastAsia="Times New Roman" w:hAnsi="Times New Roman"/>
          <w:sz w:val="14"/>
          <w:szCs w:val="14"/>
          <w:color w:val="auto"/>
        </w:rPr>
        <w:t>”). LLC IV is the general partner of Versant IV and Side Fund IV, and LLC IV has voting and dispositive power over the shares held by Versant IV and Side Fund IV. LLC VI is the general partner of GP VI, which is the general partner of Versant VI. Each of LLC VI and GP VI share voting and dispositive power over the shares held by Versant VI. Vantage II LLC is the general partner of Vantage II GP, which is the general partner of Vantage II LP. Each of Vantage II LLC and Vantage II GP share voting and dispositive power over the shares held by Vantage II LP. Represents (i) 209,941 shares of common stock held by Versant VI, (ii) 2,118,644 shares of common stock held by Vantage II LP, (iii) 1,171,094 shares of common stock held by Versant IV, and (iv) 7,377 shares of common stock held by Side Fund IV, as reported on Schedule 13D filed with the SEC on May 9, 2022, as amended by Schedule 13D/A filed with the SEC on November 9, 2023, Schedule 13D/A filed with the SEC on February 8, 2024, Schedule 13D/A filed with the SEC on May 13, 2024 and Schedule 13D/A filed with the SEC on August 12, 2024. Thomas Woiwode, Kirk Nielsen, Bradley Bolzon, Robin Praeger, William Link, Samuel Colella, Rebecca Robertson, Brian Atwood, Ross Jaffe and Charles Warden, the managing members of LLC IV, may be deemed to possess voting and dispositive control over the shares held by Versant IV and Side Fund IV, and may be deemed to have indirect beneficial ownership of the shares held by such entities but disclaims beneficial ownership of such securities, except to the extent of their respective pecuniary interest therein, if any, and except for purposes of determining their obligations under Section 13(d) of the Securities Exchange Act of 1934, as amended (“Section 13(d)”). Thomas Woiwode, Bradley Bolzon, Jerel Davis, Kirk Nielsen, Clare Ozawa and Robin Praeger, the managing directors of LLC VI, may be deemed to possess voting and dispositive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right="479"/>
        <w:spacing w:after="0" w:line="236" w:lineRule="auto"/>
        <w:rPr>
          <w:sz w:val="20"/>
          <w:szCs w:val="20"/>
          <w:color w:val="auto"/>
        </w:rPr>
      </w:pPr>
      <w:r>
        <w:rPr>
          <w:rFonts w:ascii="Times New Roman" w:cs="Times New Roman" w:eastAsia="Times New Roman" w:hAnsi="Times New Roman"/>
          <w:sz w:val="14"/>
          <w:szCs w:val="14"/>
          <w:color w:val="auto"/>
        </w:rPr>
        <w:t>control over the shares held by Versant VI and may be deemed to have indirect beneficial ownership of the shares held by such entity but disclaims beneficial ownership of such securities, except to the extent of their respective pecuniary interest therein, if any, and except for purposes of determining their obligations under Section 13(d). The address of each of these persons and entities is One Sansome, Suite 1650, San Francisco, CA 94104.</w:t>
      </w:r>
    </w:p>
    <w:p>
      <w:pPr>
        <w:spacing w:after="0" w:line="15" w:lineRule="exact"/>
        <w:rPr>
          <w:sz w:val="20"/>
          <w:szCs w:val="20"/>
          <w:color w:val="auto"/>
        </w:rPr>
      </w:pPr>
    </w:p>
    <w:p>
      <w:pPr>
        <w:ind w:left="640" w:right="53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46,376 shares of common stock and (ii) 744,066 shares of common stock subject to options that are exercisable within 60 days of October 1, 2024.</w:t>
      </w:r>
    </w:p>
    <w:p>
      <w:pPr>
        <w:ind w:left="640" w:right="3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9,573 shares of common stock and (ii) 274,535 shares of common stock subject to options that are exercisable within 60 days of October 1, 2024.</w:t>
      </w: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49,206 shares of common stock subject to options that are exercisable within 60 days of October 1, 2024.</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8,668 shares of common stock and (ii) 117,170 shares of common stock subject to options that are exercisable within 60 days of October 1, 2024.</w:t>
      </w: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20,735 shares of common stock subject to options that are exercisable within 60 days of October 1,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18,335 shares of common stock subject to options that are exercisable within 60 days of October 1, 2024.</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18,335 shares of common stock subject to options that are exercisable within 60 days of October 1, 2024.</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79" w:lineRule="exact"/>
        <w:rPr>
          <w:sz w:val="20"/>
          <w:szCs w:val="20"/>
          <w:color w:val="auto"/>
        </w:rPr>
      </w:pPr>
    </w:p>
    <w:p>
      <w:pPr>
        <w:ind w:left="300" w:right="2959"/>
        <w:spacing w:after="0" w:line="408" w:lineRule="auto"/>
        <w:rPr>
          <w:sz w:val="20"/>
          <w:szCs w:val="20"/>
          <w:color w:val="auto"/>
        </w:rPr>
      </w:pPr>
      <w:r>
        <w:rPr>
          <w:rFonts w:ascii="Times New Roman" w:cs="Times New Roman" w:eastAsia="Times New Roman" w:hAnsi="Times New Roman"/>
          <w:sz w:val="17"/>
          <w:szCs w:val="17"/>
          <w:b w:val="1"/>
          <w:bCs w:val="1"/>
          <w:color w:val="auto"/>
        </w:rPr>
        <w:t xml:space="preserve">Stockholder Proposals for the 2025 Annual Meeting of Stockholders </w:t>
      </w:r>
      <w:r>
        <w:rPr>
          <w:rFonts w:ascii="Times New Roman" w:cs="Times New Roman" w:eastAsia="Times New Roman" w:hAnsi="Times New Roman"/>
          <w:sz w:val="17"/>
          <w:szCs w:val="17"/>
          <w:i w:val="1"/>
          <w:iCs w:val="1"/>
          <w:color w:val="auto"/>
        </w:rPr>
        <w:t>Requirements for stockholder proposals to be brought before an annual meeting</w:t>
      </w:r>
    </w:p>
    <w:p>
      <w:pPr>
        <w:spacing w:after="0" w:line="1" w:lineRule="exact"/>
        <w:rPr>
          <w:sz w:val="20"/>
          <w:szCs w:val="20"/>
          <w:color w:val="auto"/>
        </w:rPr>
      </w:pPr>
    </w:p>
    <w:p>
      <w:pPr>
        <w:ind w:left="300" w:right="739"/>
        <w:spacing w:after="0" w:line="272" w:lineRule="auto"/>
        <w:rPr>
          <w:sz w:val="20"/>
          <w:szCs w:val="20"/>
          <w:color w:val="auto"/>
        </w:rPr>
      </w:pPr>
      <w:r>
        <w:rPr>
          <w:rFonts w:ascii="Times New Roman" w:cs="Times New Roman" w:eastAsia="Times New Roman" w:hAnsi="Times New Roman"/>
          <w:sz w:val="17"/>
          <w:szCs w:val="17"/>
          <w:color w:val="auto"/>
        </w:rPr>
        <w:t>Our Bylaws provide that, for stockholder director nominations or other proposals to be considered at an annual meeting, the stockholder must give timely notice thereof in writing to our Corporate Secretary at Tempest Therapeutics, Inc., 2000 Sierra Point Parkway, Suite 400, Brisbane, California, 94005. To be timely for the</w:t>
      </w:r>
    </w:p>
    <w:p>
      <w:pPr>
        <w:spacing w:after="0" w:line="2"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2025 Annual Meeting of Stockholders, a stockholder’s notice must be delivered to or mailed and received by our Secretary at our principal executive offices between February 13, 2025 and March 15, 2025; provided, however, that if the date of that annual meeting of stockholders is advanced by more than 20 days or delayed by more than 60 days from the anniversary of the preceding year’s annual meeting, you must give the required notice not earlier than the 120th day prior to the meeting date and not later than the 90th day prior to the meeting date or, if later than the 90th day prior to such meeting date, the 10th day following the day on which public disclosure of that meeting date is first made. A stockholder’s notice to the Secretary must also set forth the information required by our Bylaws, including your name and address and the class and number of shares of our stock that you beneficially own.</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Requirements for stockholder proposals to be considered for inclusion in our proxy materials.</w:t>
      </w:r>
    </w:p>
    <w:p>
      <w:pPr>
        <w:spacing w:after="0" w:line="119"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Stockholder proposals submitted pursuant to Rule 14a-8 under the Exchange Act, and intended to be presented at the 2025 Annual Meeting of Stockholders must be received by us not later than December 24, 2024 in order to be considered for inclusion in our proxy materials for that meeting. In addition, stockholders who intend to solicit proxies in support of director nominees other than our nominees must also comply with the additional requirements of Rule 14a-19.</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300" w:right="399"/>
        <w:spacing w:after="0" w:line="281"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the delivery requirements for proxy statement materials with respect to two or more stockholders sharing the same address by delivering a single set of these materials addressed to those stockholders. This process, which is commonly referred to as “householding,” potentially means extra convenience for stockholders and cost savings for companies.</w:t>
      </w:r>
    </w:p>
    <w:p>
      <w:pPr>
        <w:spacing w:after="0" w:line="56"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For this meeting, a number of brokers with account holders who are our stockholders will be “householding” the Company’s proxy materials. A single set of Special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Special Meeting materials, please notify your broker or us. Direct your written request to Tempest Therapeutics, Inc., Attention: Corporate Secretary,</w:t>
      </w:r>
    </w:p>
    <w:p>
      <w:pPr>
        <w:spacing w:after="0" w:line="3" w:lineRule="exact"/>
        <w:rPr>
          <w:sz w:val="20"/>
          <w:szCs w:val="20"/>
          <w:color w:val="auto"/>
        </w:rPr>
      </w:pPr>
    </w:p>
    <w:p>
      <w:pPr>
        <w:jc w:val="both"/>
        <w:ind w:left="300" w:right="459"/>
        <w:spacing w:after="0" w:line="255" w:lineRule="auto"/>
        <w:rPr>
          <w:sz w:val="20"/>
          <w:szCs w:val="20"/>
          <w:color w:val="auto"/>
        </w:rPr>
      </w:pPr>
      <w:r>
        <w:rPr>
          <w:rFonts w:ascii="Times New Roman" w:cs="Times New Roman" w:eastAsia="Times New Roman" w:hAnsi="Times New Roman"/>
          <w:sz w:val="18"/>
          <w:szCs w:val="18"/>
          <w:color w:val="auto"/>
        </w:rPr>
        <w:t>2000 Sierra Point Parkway, Suite 400, Brisbane, CA 94005. Stockholders who currently receive multiple copies of the Special Meeting materials at their addresses and would like to request “householding” of their communications should contact their brokers.</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99"/>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Special Meeting. If any other matters are properly brought before the meeting, it is the intention of the persons named in the accompanying proxy to vote on such matters in accordance with their best judgment.</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Nicholas Maestas</w:t>
      </w:r>
    </w:p>
    <w:p>
      <w:pPr>
        <w:spacing w:after="0" w:line="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95" w:lineRule="exact"/>
        <w:rPr>
          <w:sz w:val="20"/>
          <w:szCs w:val="20"/>
          <w:color w:val="auto"/>
        </w:rPr>
      </w:pPr>
    </w:p>
    <w:p>
      <w:pPr>
        <w:ind w:left="300" w:right="5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Tempest Therapeutics, Inc.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General Corporation Law of the State of Delaware (the “</w:t>
      </w:r>
      <w:r>
        <w:rPr>
          <w:rFonts w:ascii="Times New Roman" w:cs="Times New Roman" w:eastAsia="Times New Roman" w:hAnsi="Times New Roman"/>
          <w:sz w:val="18"/>
          <w:szCs w:val="18"/>
          <w:b w:val="1"/>
          <w:bCs w:val="1"/>
          <w:i w:val="1"/>
          <w:iCs w:val="1"/>
          <w:color w:val="auto"/>
        </w:rPr>
        <w:t>General Corporation Law</w:t>
      </w:r>
      <w:r>
        <w:rPr>
          <w:rFonts w:ascii="Times New Roman" w:cs="Times New Roman" w:eastAsia="Times New Roman" w:hAnsi="Times New Roman"/>
          <w:sz w:val="18"/>
          <w:szCs w:val="18"/>
          <w:color w:val="auto"/>
        </w:rPr>
        <w:t>”),</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121" w:lineRule="exact"/>
        <w:rPr>
          <w:sz w:val="20"/>
          <w:szCs w:val="20"/>
          <w:color w:val="auto"/>
        </w:rPr>
      </w:pPr>
    </w:p>
    <w:p>
      <w:pPr>
        <w:ind w:left="1000" w:right="379" w:hanging="348"/>
        <w:spacing w:after="0" w:line="256"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Tempest Therapeutics, Inc., and the original certificate of incorporation of the Corporation was filed with the Secretary of State of the State of Delaware on April 5, 2011 under the name OvaStem, Inc. A Restated Certificate of Incorporation of the Corporation was filed with the Secretary of State of the State of Delaware on April 30, 2013 (the “</w:t>
      </w:r>
      <w:r>
        <w:rPr>
          <w:rFonts w:ascii="Times New Roman" w:cs="Times New Roman" w:eastAsia="Times New Roman" w:hAnsi="Times New Roman"/>
          <w:sz w:val="18"/>
          <w:szCs w:val="18"/>
          <w:b w:val="1"/>
          <w:bCs w:val="1"/>
          <w:i w:val="1"/>
          <w:iCs w:val="1"/>
          <w:color w:val="auto"/>
        </w:rPr>
        <w:t>Prior Certificate</w:t>
      </w:r>
      <w:r>
        <w:rPr>
          <w:rFonts w:ascii="Times New Roman" w:cs="Times New Roman" w:eastAsia="Times New Roman" w:hAnsi="Times New Roman"/>
          <w:sz w:val="18"/>
          <w:szCs w:val="18"/>
          <w:color w:val="auto"/>
        </w:rPr>
        <w:t>”). Certificates of Amendment to the Prior Certificate were filed with the Secretary of State of the State of Delaware on December 6, 2018, December 7, 2018, June 24, 2021 and June 25, 2021.</w:t>
      </w:r>
    </w:p>
    <w:p>
      <w:pPr>
        <w:spacing w:after="0" w:line="79" w:lineRule="exact"/>
        <w:rPr>
          <w:rFonts w:ascii="Times New Roman" w:cs="Times New Roman" w:eastAsia="Times New Roman" w:hAnsi="Times New Roman"/>
          <w:sz w:val="18"/>
          <w:szCs w:val="18"/>
          <w:color w:val="auto"/>
        </w:rPr>
      </w:pPr>
    </w:p>
    <w:p>
      <w:pPr>
        <w:ind w:left="1000" w:right="419" w:hanging="348"/>
        <w:spacing w:after="0" w:line="261" w:lineRule="auto"/>
        <w:tabs>
          <w:tab w:leader="none" w:pos="10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was duly adopted by the Board of Directors of the Corporation pursuant to Sections 141 and 242 of the General Corporation Law proposing this Amendment of the Corporation’s Restated Certificate of Incorporation and declaring the advisability of this Amendment of the Restated Certificate of Incorporation, which resolution setting forth the proposed amendment is as follows:</w:t>
      </w:r>
    </w:p>
    <w:p>
      <w:pPr>
        <w:spacing w:after="0" w:line="71" w:lineRule="exact"/>
        <w:rPr>
          <w:rFonts w:ascii="Times New Roman" w:cs="Times New Roman" w:eastAsia="Times New Roman" w:hAnsi="Times New Roman"/>
          <w:sz w:val="18"/>
          <w:szCs w:val="18"/>
          <w:color w:val="auto"/>
        </w:rPr>
      </w:pPr>
    </w:p>
    <w:p>
      <w:pPr>
        <w:ind w:left="102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Section C of Article FOURTH of the Restated Certificate of Incorporation of the Corporation, as amended, be and hereby is, deleted in its entirety and the following paragraphs are inserted in lieu thereof:</w:t>
      </w:r>
    </w:p>
    <w:p>
      <w:pPr>
        <w:spacing w:after="0" w:line="6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time of [5:00] p.m., Eastern Time, on [Date]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each [two</w:t>
      </w:r>
    </w:p>
    <w:p>
      <w:pPr>
        <w:spacing w:after="0" w:line="31" w:lineRule="exact"/>
        <w:rPr>
          <w:rFonts w:ascii="Times New Roman" w:cs="Times New Roman" w:eastAsia="Times New Roman" w:hAnsi="Times New Roman"/>
          <w:sz w:val="18"/>
          <w:szCs w:val="18"/>
          <w:color w:val="auto"/>
        </w:rPr>
      </w:pPr>
    </w:p>
    <w:p>
      <w:pPr>
        <w:ind w:left="1260" w:hanging="248"/>
        <w:spacing w:after="0"/>
        <w:tabs>
          <w:tab w:leader="none" w:pos="12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three (3) / four (4) / five (5) / six (6) / seven (7) / eight (8) / nine (9) / ten (10) / eleven (11) / twelve</w:t>
      </w:r>
    </w:p>
    <w:p>
      <w:pPr>
        <w:spacing w:after="0" w:line="9" w:lineRule="exact"/>
        <w:rPr>
          <w:rFonts w:ascii="Times New Roman" w:cs="Times New Roman" w:eastAsia="Times New Roman" w:hAnsi="Times New Roman"/>
          <w:sz w:val="18"/>
          <w:szCs w:val="18"/>
          <w:color w:val="auto"/>
        </w:rPr>
      </w:pPr>
    </w:p>
    <w:p>
      <w:pPr>
        <w:ind w:left="1020" w:right="319" w:hanging="8"/>
        <w:spacing w:after="0" w:line="243" w:lineRule="auto"/>
        <w:tabs>
          <w:tab w:leader="none" w:pos="1365"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thirteen (13) / fourteen (14) / fifteen (15)]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shares of Common Stock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(the “</w:t>
      </w:r>
      <w:r>
        <w:rPr>
          <w:rFonts w:ascii="Times New Roman" w:cs="Times New Roman" w:eastAsia="Times New Roman" w:hAnsi="Times New Roman"/>
          <w:sz w:val="18"/>
          <w:szCs w:val="18"/>
          <w:b w:val="1"/>
          <w:bCs w:val="1"/>
          <w:i w:val="1"/>
          <w:iCs w:val="1"/>
          <w:color w:val="auto"/>
        </w:rPr>
        <w:t>Reverse Split</w:t>
      </w:r>
      <w:r>
        <w:rPr>
          <w:rFonts w:ascii="Times New Roman" w:cs="Times New Roman" w:eastAsia="Times New Roman" w:hAnsi="Times New Roman"/>
          <w:sz w:val="18"/>
          <w:szCs w:val="18"/>
          <w:color w:val="auto"/>
        </w:rPr>
        <w:t>”); provided, however,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Capital Market during regular trading hours for the five (5) consecutive trading days immediately preceding the Effective Time. Each stock certificate that, immediately prior to the Effective Time, represented shares of pre-Reverse Split Common Stock shall, from 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w:t>
      </w:r>
    </w:p>
    <w:p>
      <w:pPr>
        <w:spacing w:after="0" w:line="60" w:lineRule="exact"/>
        <w:rPr>
          <w:rFonts w:ascii="Times New Roman" w:cs="Times New Roman" w:eastAsia="Times New Roman" w:hAnsi="Times New Roman"/>
          <w:sz w:val="18"/>
          <w:szCs w:val="18"/>
          <w:color w:val="auto"/>
        </w:rPr>
      </w:pPr>
    </w:p>
    <w:p>
      <w:pPr>
        <w:ind w:left="460" w:right="399" w:hanging="175"/>
        <w:spacing w:after="0" w:line="2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These amendments approve the combination of any whole number of shares of Common Stock between and including two (2) and fifteen (15) into one (1) share of Common Stock. By these amendments, the stockholders would approve each of the alternate amendments proposed by the Corporation’s Board of Directors. If the reverse stock split proposal is approved by stockholders, the Certificate of Amendment filed with the Secretary of State of the State of Delaware will include only that reverse stock split ratio determined by the Corporation’s Board of Directors to be in the best interests of the Corporation and its stockholders. The other amendments will be abandoned pursuant to Section 242(c) of the General Corporation Law of the State of Delaware. The Corporation’s Board of Directors may also elect not to effect any reverse stock split, in which case all proposed alternate amendments will be abandoned.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-711835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299"/>
        <w:spacing w:after="0" w:line="254" w:lineRule="auto"/>
        <w:rPr>
          <w:sz w:val="20"/>
          <w:szCs w:val="20"/>
          <w:color w:val="auto"/>
        </w:rPr>
      </w:pPr>
      <w:r>
        <w:rPr>
          <w:rFonts w:ascii="Times New Roman" w:cs="Times New Roman" w:eastAsia="Times New Roman" w:hAnsi="Times New Roman"/>
          <w:sz w:val="18"/>
          <w:szCs w:val="18"/>
          <w:color w:val="auto"/>
        </w:rPr>
        <w:t>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w:t>
      </w:r>
    </w:p>
    <w:p>
      <w:pPr>
        <w:spacing w:after="0" w:line="80" w:lineRule="exact"/>
        <w:rPr>
          <w:sz w:val="20"/>
          <w:szCs w:val="20"/>
          <w:color w:val="auto"/>
        </w:rPr>
      </w:pPr>
    </w:p>
    <w:p>
      <w:pPr>
        <w:ind w:left="1000" w:right="31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pursuant to a resolution of the Board of Directors, this Certificate of Amendment was submitted to the stockholders of the Corporation for their approval, and was duly adopted at a special meeting of the stockholders of the Corporation, in accordance with the provisions of Section 242 of the General Corporation Law of the State of Delaware.</w:t>
      </w:r>
    </w:p>
    <w:p>
      <w:pPr>
        <w:spacing w:after="0" w:line="68" w:lineRule="exact"/>
        <w:rPr>
          <w:sz w:val="20"/>
          <w:szCs w:val="20"/>
          <w:color w:val="auto"/>
        </w:rPr>
      </w:pPr>
    </w:p>
    <w:p>
      <w:pPr>
        <w:ind w:left="300" w:right="67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signed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this         day of         202 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-49530</wp:posOffset>
            </wp:positionV>
            <wp:extent cx="457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2023110</wp:posOffset>
            </wp:positionH>
            <wp:positionV relativeFrom="paragraph">
              <wp:posOffset>-49530</wp:posOffset>
            </wp:positionV>
            <wp:extent cx="770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0890" cy="8890"/>
                    </a:xfrm>
                    <a:prstGeom prst="rect">
                      <a:avLst/>
                    </a:prstGeom>
                    <a:noFill/>
                  </pic:spPr>
                </pic:pic>
              </a:graphicData>
            </a:graphic>
          </wp:anchor>
        </w:drawing>
      </w:r>
    </w:p>
    <w:p>
      <w:pPr>
        <w:spacing w:after="0" w:line="17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Tempest Therapeutics, Inc.</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24606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93345</wp:posOffset>
            </wp:positionV>
            <wp:extent cx="6643370" cy="8597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
      <w:numFmt w:val="bullet"/>
      <w:start w:val="1"/>
    </w:lvl>
    <w:lvl w:ilvl="1">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3"/>
    </w:lvl>
  </w:abstractNum>
  <w:abstractNum w:abstractNumId="15">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abstractNum>
  <w:abstractNum w:abstractNumId="16">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2"/>
    </w:lvl>
  </w:abstractNum>
  <w:abstractNum w:abstractNumId="17">
    <w:nsid w:val="431BD7B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2024-10-29T15:35:45Z</dcterms:created>
  <dcterms:modified xsi:type="dcterms:W3CDTF">2024-10-29T15:35:45Z</dcterms:modified>
</cp:coreProperties>
</file>