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688340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-228600</wp:posOffset>
            </wp:positionV>
            <wp:extent cx="1045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5845"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96520</wp:posOffset>
            </wp:positionV>
            <wp:extent cx="10458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35" w:lineRule="exact"/>
        <w:rPr>
          <w:sz w:val="24"/>
          <w:szCs w:val="24"/>
          <w:color w:val="auto"/>
        </w:rPr>
      </w:pPr>
    </w:p>
    <w:p>
      <w:pPr>
        <w:ind w:left="700" w:right="340" w:hanging="469"/>
        <w:spacing w:after="0" w:line="254" w:lineRule="auto"/>
        <w:tabs>
          <w:tab w:leader="none" w:pos="7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8" w:lineRule="exact"/>
        <w:rPr>
          <w:sz w:val="24"/>
          <w:szCs w:val="24"/>
          <w:color w:val="auto"/>
        </w:rPr>
      </w:pPr>
    </w:p>
    <w:p>
      <w:pPr>
        <w:ind w:left="700" w:right="340" w:hanging="469"/>
        <w:spacing w:after="0" w:line="262" w:lineRule="auto"/>
        <w:tabs>
          <w:tab w:leader="none" w:pos="70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30" w:lineRule="exact"/>
        <w:rPr>
          <w:sz w:val="24"/>
          <w:szCs w:val="24"/>
          <w:color w:val="auto"/>
        </w:rPr>
      </w:pPr>
    </w:p>
    <w:p>
      <w:pPr>
        <w:ind w:left="3800"/>
        <w:spacing w:after="0"/>
        <w:tabs>
          <w:tab w:leader="none" w:pos="6560" w:val="left"/>
          <w:tab w:leader="none" w:pos="73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r>
        <w:rPr>
          <w:sz w:val="20"/>
          <w:szCs w:val="20"/>
          <w:color w:val="auto"/>
        </w:rPr>
        <w:tab/>
      </w:r>
      <w:r>
        <w:rPr>
          <w:rFonts w:ascii="Times New Roman" w:cs="Times New Roman" w:eastAsia="Times New Roman" w:hAnsi="Times New Roman"/>
          <w:sz w:val="16"/>
          <w:szCs w:val="16"/>
          <w:b w:val="1"/>
          <w:bCs w:val="1"/>
          <w:color w:val="FFFFFF"/>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3743960</wp:posOffset>
            </wp:positionH>
            <wp:positionV relativeFrom="paragraph">
              <wp:posOffset>-3175</wp:posOffset>
            </wp:positionV>
            <wp:extent cx="9601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No. 001-35890</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Tempest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-289560</wp:posOffset>
            </wp:positionV>
            <wp:extent cx="10458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69215</wp:posOffset>
            </wp:positionV>
            <wp:extent cx="10458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22" w:lineRule="exact"/>
        <w:rPr>
          <w:sz w:val="24"/>
          <w:szCs w:val="24"/>
          <w:color w:val="auto"/>
        </w:rPr>
      </w:pPr>
    </w:p>
    <w:tbl>
      <w:tblPr>
        <w:tblLayout w:type="fixed"/>
        <w:tblInd w:w="2900" w:type="dxa"/>
        <w:tblCellMar>
          <w:top w:w="0" w:type="dxa"/>
          <w:left w:w="0" w:type="dxa"/>
          <w:bottom w:w="0" w:type="dxa"/>
          <w:right w:w="0" w:type="dxa"/>
        </w:tblCellMar>
      </w:tblPr>
      <w:tr>
        <w:trPr>
          <w:trHeight w:val="212"/>
        </w:trPr>
        <w:tc>
          <w:tcPr>
            <w:tcW w:w="3080" w:type="dxa"/>
            <w:vAlign w:val="bottom"/>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6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45-1472564</w:t>
            </w:r>
          </w:p>
        </w:tc>
      </w:tr>
      <w:tr>
        <w:trPr>
          <w:trHeight w:val="283"/>
        </w:trPr>
        <w:tc>
          <w:tcPr>
            <w:tcW w:w="3080" w:type="dxa"/>
            <w:vAlign w:val="bottom"/>
          </w:tcPr>
          <w:p>
            <w:pPr>
              <w:jc w:val="center"/>
              <w:ind w:right="35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66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rPr>
              <w:t>(I.R.S. Employer</w:t>
            </w:r>
          </w:p>
        </w:tc>
      </w:tr>
      <w:tr>
        <w:trPr>
          <w:trHeight w:val="284"/>
        </w:trPr>
        <w:tc>
          <w:tcPr>
            <w:tcW w:w="3080" w:type="dxa"/>
            <w:vAlign w:val="bottom"/>
          </w:tcPr>
          <w:p>
            <w:pPr>
              <w:jc w:val="center"/>
              <w:ind w:right="35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166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83"/>
        </w:trPr>
        <w:tc>
          <w:tcPr>
            <w:tcW w:w="3080" w:type="dxa"/>
            <w:vAlign w:val="bottom"/>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2000 Sierra Point Parkway, Suite 400</w:t>
            </w:r>
          </w:p>
        </w:tc>
        <w:tc>
          <w:tcPr>
            <w:tcW w:w="1660" w:type="dxa"/>
            <w:vAlign w:val="bottom"/>
          </w:tcPr>
          <w:p>
            <w:pPr>
              <w:spacing w:after="0"/>
              <w:rPr>
                <w:sz w:val="24"/>
                <w:szCs w:val="24"/>
                <w:color w:val="auto"/>
              </w:rPr>
            </w:pPr>
          </w:p>
        </w:tc>
      </w:tr>
      <w:tr>
        <w:trPr>
          <w:trHeight w:val="283"/>
        </w:trPr>
        <w:tc>
          <w:tcPr>
            <w:tcW w:w="3080" w:type="dxa"/>
            <w:vAlign w:val="bottom"/>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Brisbane, California</w:t>
            </w:r>
          </w:p>
        </w:tc>
        <w:tc>
          <w:tcPr>
            <w:tcW w:w="16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94005</w:t>
            </w:r>
          </w:p>
        </w:tc>
      </w:tr>
      <w:tr>
        <w:trPr>
          <w:trHeight w:val="284"/>
        </w:trPr>
        <w:tc>
          <w:tcPr>
            <w:tcW w:w="3080" w:type="dxa"/>
            <w:vAlign w:val="bottom"/>
          </w:tcPr>
          <w:p>
            <w:pPr>
              <w:jc w:val="center"/>
              <w:ind w:right="35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66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(415) 798-8589</w:t>
      </w:r>
    </w:p>
    <w:p>
      <w:pPr>
        <w:spacing w:after="0" w:line="122"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72390</wp:posOffset>
            </wp:positionV>
            <wp:extent cx="10458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31" w:lineRule="exact"/>
        <w:rPr>
          <w:sz w:val="24"/>
          <w:szCs w:val="24"/>
          <w:color w:val="auto"/>
        </w:rPr>
      </w:pPr>
    </w:p>
    <w:tbl>
      <w:tblPr>
        <w:tblLayout w:type="fixed"/>
        <w:tblInd w:w="120" w:type="dxa"/>
        <w:tblCellMar>
          <w:top w:w="0" w:type="dxa"/>
          <w:left w:w="0" w:type="dxa"/>
          <w:bottom w:w="0" w:type="dxa"/>
          <w:right w:w="0" w:type="dxa"/>
        </w:tblCellMar>
      </w:tblPr>
      <w:tr>
        <w:trPr>
          <w:trHeight w:val="166"/>
        </w:trPr>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580" w:type="dxa"/>
            <w:vAlign w:val="bottom"/>
            <w:gridSpan w:val="2"/>
          </w:tcPr>
          <w:p>
            <w:pPr>
              <w:ind w:left="1580"/>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2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Name of each exchange</w:t>
            </w:r>
          </w:p>
        </w:tc>
      </w:tr>
      <w:tr>
        <w:trPr>
          <w:trHeight w:val="259"/>
        </w:trPr>
        <w:tc>
          <w:tcPr>
            <w:tcW w:w="358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200" w:type="dxa"/>
            <w:vAlign w:val="bottom"/>
          </w:tcPr>
          <w:p>
            <w:pPr>
              <w:spacing w:after="0"/>
              <w:rPr>
                <w:sz w:val="22"/>
                <w:szCs w:val="22"/>
                <w:color w:val="auto"/>
              </w:rPr>
            </w:pPr>
          </w:p>
        </w:tc>
        <w:tc>
          <w:tcPr>
            <w:tcW w:w="338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3"/>
                <w:szCs w:val="13"/>
                <w:b w:val="1"/>
                <w:bCs w:val="1"/>
                <w:color w:val="auto"/>
              </w:rPr>
              <w:t>Symbol(s)</w:t>
            </w:r>
          </w:p>
        </w:tc>
        <w:tc>
          <w:tcPr>
            <w:tcW w:w="200" w:type="dxa"/>
            <w:vAlign w:val="bottom"/>
          </w:tcPr>
          <w:p>
            <w:pPr>
              <w:spacing w:after="0"/>
              <w:rPr>
                <w:sz w:val="22"/>
                <w:szCs w:val="22"/>
                <w:color w:val="auto"/>
              </w:rPr>
            </w:pP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on which registered</w:t>
            </w: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$0.001 par value</w:t>
            </w:r>
          </w:p>
        </w:tc>
        <w:tc>
          <w:tcPr>
            <w:tcW w:w="200" w:type="dxa"/>
            <w:vAlign w:val="bottom"/>
          </w:tcPr>
          <w:p>
            <w:pPr>
              <w:spacing w:after="0"/>
              <w:rPr>
                <w:sz w:val="19"/>
                <w:szCs w:val="19"/>
                <w:color w:val="auto"/>
              </w:rPr>
            </w:pPr>
          </w:p>
        </w:tc>
        <w:tc>
          <w:tcPr>
            <w:tcW w:w="358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TPST</w:t>
            </w:r>
          </w:p>
        </w:tc>
        <w:tc>
          <w:tcPr>
            <w:tcW w:w="2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Series A Junior Participating Preferred Purchase Rights</w:t>
            </w:r>
          </w:p>
        </w:tc>
        <w:tc>
          <w:tcPr>
            <w:tcW w:w="200" w:type="dxa"/>
            <w:vAlign w:val="bottom"/>
          </w:tcPr>
          <w:p>
            <w:pPr>
              <w:spacing w:after="0"/>
              <w:rPr>
                <w:sz w:val="17"/>
                <w:szCs w:val="17"/>
                <w:color w:val="auto"/>
              </w:rPr>
            </w:pPr>
          </w:p>
        </w:tc>
        <w:tc>
          <w:tcPr>
            <w:tcW w:w="3580" w:type="dxa"/>
            <w:vAlign w:val="bottom"/>
            <w:gridSpan w:val="2"/>
          </w:tcPr>
          <w:p>
            <w:pPr>
              <w:ind w:left="1560"/>
              <w:spacing w:after="0"/>
              <w:rPr>
                <w:sz w:val="20"/>
                <w:szCs w:val="20"/>
                <w:color w:val="auto"/>
              </w:rPr>
            </w:pPr>
            <w:r>
              <w:rPr>
                <w:rFonts w:ascii="Times New Roman" w:cs="Times New Roman" w:eastAsia="Times New Roman" w:hAnsi="Times New Roman"/>
                <w:sz w:val="14"/>
                <w:szCs w:val="14"/>
                <w:color w:val="auto"/>
              </w:rPr>
              <w:t>N/A</w:t>
            </w:r>
          </w:p>
        </w:tc>
        <w:tc>
          <w:tcPr>
            <w:tcW w:w="2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68" w:lineRule="exact"/>
        <w:rPr>
          <w:sz w:val="24"/>
          <w:szCs w:val="24"/>
          <w:color w:val="auto"/>
        </w:rPr>
      </w:pPr>
    </w:p>
    <w:p>
      <w:pPr>
        <w:ind w:right="220"/>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00"/>
        <w:spacing w:after="0" w:line="16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4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80" w:type="dxa"/>
        <w:tblCellMar>
          <w:top w:w="0" w:type="dxa"/>
          <w:left w:w="0" w:type="dxa"/>
          <w:bottom w:w="0" w:type="dxa"/>
          <w:right w:w="0" w:type="dxa"/>
        </w:tblCellMar>
      </w:tblPr>
      <w:tr>
        <w:trPr>
          <w:trHeight w:val="239"/>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42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44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Accelerated filer</w:t>
            </w:r>
          </w:p>
        </w:tc>
        <w:tc>
          <w:tcPr>
            <w:tcW w:w="2060" w:type="dxa"/>
            <w:vAlign w:val="bottom"/>
          </w:tcPr>
          <w:p>
            <w:pPr>
              <w:ind w:left="19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42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44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060" w:type="dxa"/>
            <w:vAlign w:val="bottom"/>
          </w:tcPr>
          <w:p>
            <w:pPr>
              <w:ind w:left="19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7"/>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142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4420" w:type="dxa"/>
            <w:vAlign w:val="bottom"/>
          </w:tcPr>
          <w:p>
            <w:pPr>
              <w:spacing w:after="0"/>
              <w:rPr>
                <w:sz w:val="22"/>
                <w:szCs w:val="22"/>
                <w:color w:val="auto"/>
              </w:rPr>
            </w:pPr>
          </w:p>
        </w:tc>
        <w:tc>
          <w:tcPr>
            <w:tcW w:w="2060" w:type="dxa"/>
            <w:vAlign w:val="bottom"/>
          </w:tcPr>
          <w:p>
            <w:pPr>
              <w:spacing w:after="0"/>
              <w:rPr>
                <w:sz w:val="22"/>
                <w:szCs w:val="22"/>
                <w:color w:val="auto"/>
              </w:rPr>
            </w:pPr>
          </w:p>
        </w:tc>
      </w:tr>
    </w:tbl>
    <w:p>
      <w:pPr>
        <w:spacing w:after="0" w:line="73" w:lineRule="exact"/>
        <w:rPr>
          <w:sz w:val="24"/>
          <w:szCs w:val="24"/>
          <w:color w:val="auto"/>
        </w:rPr>
      </w:pPr>
    </w:p>
    <w:p>
      <w:pPr>
        <w:spacing w:after="0" w:line="17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60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Registrant’s Common Stock, $0.001 par value per share, outstanding as of October 30, 2025 was 4,440,161.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635000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20" w:type="dxa"/>
            <w:vAlign w:val="bottom"/>
            <w:gridSpan w:val="10"/>
          </w:tcPr>
          <w:p>
            <w:pPr>
              <w:jc w:val="center"/>
              <w:ind w:right="3860"/>
              <w:spacing w:after="0"/>
              <w:rPr>
                <w:sz w:val="20"/>
                <w:szCs w:val="20"/>
                <w:color w:val="auto"/>
              </w:rPr>
            </w:pPr>
            <w:r>
              <w:rPr>
                <w:rFonts w:ascii="Times New Roman" w:cs="Times New Roman" w:eastAsia="Times New Roman" w:hAnsi="Times New Roman"/>
                <w:sz w:val="16"/>
                <w:szCs w:val="16"/>
                <w:b w:val="1"/>
                <w:bCs w:val="1"/>
                <w:color w:val="auto"/>
              </w:rPr>
              <w:t>INDEX TO FORM 10-Q</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411"/>
        </w:trPr>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50"/>
        </w:trPr>
        <w:tc>
          <w:tcPr>
            <w:tcW w:w="10660" w:type="dxa"/>
            <w:vAlign w:val="bottom"/>
            <w:gridSpan w:val="23"/>
          </w:tcPr>
          <w:p>
            <w:pPr>
              <w:ind w:left="80"/>
              <w:spacing w:after="0"/>
              <w:rPr>
                <w:sz w:val="20"/>
                <w:szCs w:val="20"/>
                <w:color w:val="auto"/>
              </w:rPr>
            </w:pPr>
            <w:r>
              <w:rPr>
                <w:rFonts w:ascii="Times New Roman" w:cs="Times New Roman" w:eastAsia="Times New Roman" w:hAnsi="Times New Roman"/>
                <w:sz w:val="18"/>
                <w:szCs w:val="18"/>
                <w:color w:val="0000FF"/>
              </w:rPr>
              <w:t>Special Note Regarding Forward-Looking Statements</w:t>
            </w:r>
          </w:p>
        </w:tc>
        <w:tc>
          <w:tcPr>
            <w:tcW w:w="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0000FF"/>
                <w:w w:val="99"/>
              </w:rPr>
              <w:t>3</w:t>
            </w:r>
          </w:p>
        </w:tc>
        <w:tc>
          <w:tcPr>
            <w:tcW w:w="240" w:type="dxa"/>
            <w:vAlign w:val="bottom"/>
          </w:tcPr>
          <w:p>
            <w:pPr>
              <w:spacing w:after="0"/>
              <w:rPr>
                <w:sz w:val="21"/>
                <w:szCs w:val="21"/>
                <w:color w:val="auto"/>
              </w:rPr>
            </w:pPr>
          </w:p>
        </w:tc>
      </w:tr>
      <w:tr>
        <w:trPr>
          <w:trHeight w:val="250"/>
        </w:trPr>
        <w:tc>
          <w:tcPr>
            <w:tcW w:w="80" w:type="dxa"/>
            <w:vAlign w:val="bottom"/>
          </w:tcPr>
          <w:p>
            <w:pPr>
              <w:spacing w:after="0"/>
              <w:rPr>
                <w:sz w:val="21"/>
                <w:szCs w:val="21"/>
                <w:color w:val="auto"/>
              </w:rPr>
            </w:pPr>
          </w:p>
        </w:tc>
        <w:tc>
          <w:tcPr>
            <w:tcW w:w="760" w:type="dxa"/>
            <w:vAlign w:val="bottom"/>
            <w:tcBorders>
              <w:top w:val="single" w:sz="8" w:color="0000FF"/>
            </w:tcBorders>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380" w:type="dxa"/>
            <w:vAlign w:val="bottom"/>
            <w:tcBorders>
              <w:top w:val="single" w:sz="8" w:color="0000FF"/>
            </w:tcBorders>
          </w:tcPr>
          <w:p>
            <w:pPr>
              <w:spacing w:after="0"/>
              <w:rPr>
                <w:sz w:val="21"/>
                <w:szCs w:val="21"/>
                <w:color w:val="auto"/>
              </w:rPr>
            </w:pPr>
          </w:p>
        </w:tc>
        <w:tc>
          <w:tcPr>
            <w:tcW w:w="460" w:type="dxa"/>
            <w:vAlign w:val="bottom"/>
            <w:tcBorders>
              <w:top w:val="single" w:sz="8" w:color="0000FF"/>
            </w:tcBorders>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320" w:type="dxa"/>
            <w:vAlign w:val="bottom"/>
          </w:tcPr>
          <w:p>
            <w:pPr>
              <w:spacing w:after="0"/>
              <w:rPr>
                <w:sz w:val="21"/>
                <w:szCs w:val="21"/>
                <w:color w:val="auto"/>
              </w:rPr>
            </w:pPr>
          </w:p>
        </w:tc>
        <w:tc>
          <w:tcPr>
            <w:tcW w:w="312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rPr>
              <w:t>PART I — FINANCIAL INFORMATION</w:t>
            </w:r>
          </w:p>
        </w:tc>
        <w:tc>
          <w:tcPr>
            <w:tcW w:w="3260" w:type="dxa"/>
            <w:vAlign w:val="bottom"/>
            <w:gridSpan w:val="6"/>
          </w:tcPr>
          <w:p>
            <w:pPr>
              <w:spacing w:after="0"/>
              <w:rPr>
                <w:sz w:val="21"/>
                <w:szCs w:val="21"/>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5</w:t>
            </w:r>
          </w:p>
        </w:tc>
        <w:tc>
          <w:tcPr>
            <w:tcW w:w="240" w:type="dxa"/>
            <w:vAlign w:val="bottom"/>
          </w:tcPr>
          <w:p>
            <w:pPr>
              <w:spacing w:after="0"/>
              <w:rPr>
                <w:sz w:val="21"/>
                <w:szCs w:val="21"/>
                <w:color w:val="auto"/>
              </w:rPr>
            </w:pPr>
          </w:p>
        </w:tc>
      </w:tr>
      <w:tr>
        <w:trPr>
          <w:trHeight w:val="250"/>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Item 1.</w:t>
            </w:r>
          </w:p>
        </w:tc>
        <w:tc>
          <w:tcPr>
            <w:tcW w:w="93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5</w:t>
            </w:r>
          </w:p>
        </w:tc>
        <w:tc>
          <w:tcPr>
            <w:tcW w:w="240" w:type="dxa"/>
            <w:vAlign w:val="bottom"/>
          </w:tcPr>
          <w:p>
            <w:pPr>
              <w:spacing w:after="0"/>
              <w:rPr>
                <w:sz w:val="21"/>
                <w:szCs w:val="21"/>
                <w:color w:val="auto"/>
              </w:rPr>
            </w:pPr>
          </w:p>
        </w:tc>
      </w:tr>
      <w:tr>
        <w:trPr>
          <w:trHeight w:val="20"/>
        </w:trPr>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3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September 30, 2025 and December 31, 2024</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5</w:t>
            </w:r>
          </w:p>
        </w:tc>
        <w:tc>
          <w:tcPr>
            <w:tcW w:w="240" w:type="dxa"/>
            <w:vAlign w:val="bottom"/>
          </w:tcPr>
          <w:p>
            <w:pPr>
              <w:spacing w:after="0"/>
              <w:rPr>
                <w:sz w:val="21"/>
                <w:szCs w:val="21"/>
                <w:color w:val="auto"/>
              </w:rPr>
            </w:pPr>
          </w:p>
        </w:tc>
      </w:tr>
      <w:tr>
        <w:trPr>
          <w:trHeight w:val="20"/>
        </w:trPr>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3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Nine Months Ended September 30, 2025 and 2024</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6</w:t>
            </w:r>
          </w:p>
        </w:tc>
        <w:tc>
          <w:tcPr>
            <w:tcW w:w="240" w:type="dxa"/>
            <w:vAlign w:val="bottom"/>
          </w:tcPr>
          <w:p>
            <w:pPr>
              <w:spacing w:after="0"/>
              <w:rPr>
                <w:sz w:val="21"/>
                <w:szCs w:val="21"/>
                <w:color w:val="auto"/>
              </w:rPr>
            </w:pPr>
          </w:p>
        </w:tc>
      </w:tr>
      <w:tr>
        <w:trPr>
          <w:trHeight w:val="20"/>
        </w:trPr>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3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Nine Months Ended September 30, 2025 and</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0"/>
        </w:trPr>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FF"/>
                <w:w w:val="88"/>
              </w:rPr>
              <w:t>2024</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7</w:t>
            </w:r>
          </w:p>
        </w:tc>
        <w:tc>
          <w:tcPr>
            <w:tcW w:w="24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3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2025 and 2024</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8</w:t>
            </w:r>
          </w:p>
        </w:tc>
        <w:tc>
          <w:tcPr>
            <w:tcW w:w="240" w:type="dxa"/>
            <w:vAlign w:val="bottom"/>
          </w:tcPr>
          <w:p>
            <w:pPr>
              <w:spacing w:after="0"/>
              <w:rPr>
                <w:sz w:val="21"/>
                <w:szCs w:val="21"/>
                <w:color w:val="auto"/>
              </w:rPr>
            </w:pPr>
          </w:p>
        </w:tc>
      </w:tr>
      <w:tr>
        <w:trPr>
          <w:trHeight w:val="20"/>
        </w:trPr>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3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9</w:t>
            </w:r>
          </w:p>
        </w:tc>
        <w:tc>
          <w:tcPr>
            <w:tcW w:w="240" w:type="dxa"/>
            <w:vAlign w:val="bottom"/>
          </w:tcPr>
          <w:p>
            <w:pPr>
              <w:spacing w:after="0"/>
              <w:rPr>
                <w:sz w:val="21"/>
                <w:szCs w:val="21"/>
                <w:color w:val="auto"/>
              </w:rPr>
            </w:pPr>
          </w:p>
        </w:tc>
      </w:tr>
      <w:tr>
        <w:trPr>
          <w:trHeight w:val="20"/>
        </w:trPr>
        <w:tc>
          <w:tcPr>
            <w:tcW w:w="840" w:type="dxa"/>
            <w:vAlign w:val="bottom"/>
            <w:gridSpan w:val="2"/>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Item 2.</w:t>
            </w:r>
          </w:p>
        </w:tc>
        <w:tc>
          <w:tcPr>
            <w:tcW w:w="93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19</w:t>
            </w:r>
          </w:p>
        </w:tc>
        <w:tc>
          <w:tcPr>
            <w:tcW w:w="240" w:type="dxa"/>
            <w:vAlign w:val="bottom"/>
          </w:tcPr>
          <w:p>
            <w:pPr>
              <w:spacing w:after="0"/>
              <w:rPr>
                <w:sz w:val="21"/>
                <w:szCs w:val="21"/>
                <w:color w:val="auto"/>
              </w:rPr>
            </w:pPr>
          </w:p>
        </w:tc>
      </w:tr>
      <w:tr>
        <w:trPr>
          <w:trHeight w:val="20"/>
        </w:trPr>
        <w:tc>
          <w:tcPr>
            <w:tcW w:w="840" w:type="dxa"/>
            <w:vAlign w:val="bottom"/>
            <w:gridSpan w:val="2"/>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5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Item 3.</w:t>
            </w:r>
          </w:p>
        </w:tc>
        <w:tc>
          <w:tcPr>
            <w:tcW w:w="93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28</w:t>
            </w:r>
          </w:p>
        </w:tc>
        <w:tc>
          <w:tcPr>
            <w:tcW w:w="240" w:type="dxa"/>
            <w:vAlign w:val="bottom"/>
          </w:tcPr>
          <w:p>
            <w:pPr>
              <w:spacing w:after="0"/>
              <w:rPr>
                <w:sz w:val="21"/>
                <w:szCs w:val="21"/>
                <w:color w:val="auto"/>
              </w:rPr>
            </w:pPr>
          </w:p>
        </w:tc>
      </w:tr>
      <w:tr>
        <w:trPr>
          <w:trHeight w:val="20"/>
        </w:trPr>
        <w:tc>
          <w:tcPr>
            <w:tcW w:w="840" w:type="dxa"/>
            <w:vAlign w:val="bottom"/>
            <w:gridSpan w:val="2"/>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560" w:type="dxa"/>
            <w:vAlign w:val="bottom"/>
            <w:tcBorders>
              <w:left w:val="single" w:sz="8" w:color="0000FF"/>
            </w:tcBorders>
          </w:tcPr>
          <w:p>
            <w:pPr>
              <w:spacing w:after="0" w:line="20" w:lineRule="exact"/>
              <w:rPr>
                <w:sz w:val="1"/>
                <w:szCs w:val="1"/>
                <w:color w:val="auto"/>
              </w:rPr>
            </w:pPr>
          </w:p>
        </w:tc>
        <w:tc>
          <w:tcPr>
            <w:tcW w:w="342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Item 4.</w:t>
            </w:r>
          </w:p>
        </w:tc>
        <w:tc>
          <w:tcPr>
            <w:tcW w:w="93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28</w:t>
            </w:r>
          </w:p>
        </w:tc>
        <w:tc>
          <w:tcPr>
            <w:tcW w:w="240" w:type="dxa"/>
            <w:vAlign w:val="bottom"/>
          </w:tcPr>
          <w:p>
            <w:pPr>
              <w:spacing w:after="0"/>
              <w:rPr>
                <w:sz w:val="21"/>
                <w:szCs w:val="21"/>
                <w:color w:val="auto"/>
              </w:rPr>
            </w:pPr>
          </w:p>
        </w:tc>
      </w:tr>
      <w:tr>
        <w:trPr>
          <w:trHeight w:val="520"/>
        </w:trPr>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PART II — OTHER INFORMATION</w:t>
            </w:r>
          </w:p>
        </w:tc>
        <w:tc>
          <w:tcPr>
            <w:tcW w:w="3420" w:type="dxa"/>
            <w:vAlign w:val="bottom"/>
            <w:gridSpan w:val="7"/>
          </w:tcPr>
          <w:p>
            <w:pPr>
              <w:spacing w:after="0"/>
              <w:rPr>
                <w:sz w:val="24"/>
                <w:szCs w:val="2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29</w:t>
            </w:r>
          </w:p>
        </w:tc>
        <w:tc>
          <w:tcPr>
            <w:tcW w:w="240" w:type="dxa"/>
            <w:vAlign w:val="bottom"/>
          </w:tcPr>
          <w:p>
            <w:pPr>
              <w:spacing w:after="0"/>
              <w:rPr>
                <w:sz w:val="24"/>
                <w:szCs w:val="24"/>
                <w:color w:val="auto"/>
              </w:rPr>
            </w:pPr>
          </w:p>
        </w:tc>
      </w:tr>
      <w:tr>
        <w:trPr>
          <w:trHeight w:val="250"/>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Item 1.</w:t>
            </w:r>
          </w:p>
        </w:tc>
        <w:tc>
          <w:tcPr>
            <w:tcW w:w="93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29</w:t>
            </w:r>
          </w:p>
        </w:tc>
        <w:tc>
          <w:tcPr>
            <w:tcW w:w="240" w:type="dxa"/>
            <w:vAlign w:val="bottom"/>
          </w:tcPr>
          <w:p>
            <w:pPr>
              <w:spacing w:after="0"/>
              <w:rPr>
                <w:sz w:val="21"/>
                <w:szCs w:val="21"/>
                <w:color w:val="auto"/>
              </w:rPr>
            </w:pPr>
          </w:p>
        </w:tc>
      </w:tr>
      <w:tr>
        <w:trPr>
          <w:trHeight w:val="20"/>
        </w:trPr>
        <w:tc>
          <w:tcPr>
            <w:tcW w:w="840" w:type="dxa"/>
            <w:vAlign w:val="bottom"/>
            <w:gridSpan w:val="2"/>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80" w:type="dxa"/>
            <w:vAlign w:val="bottom"/>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Item 1A.</w:t>
            </w:r>
          </w:p>
        </w:tc>
        <w:tc>
          <w:tcPr>
            <w:tcW w:w="93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29</w:t>
            </w:r>
          </w:p>
        </w:tc>
        <w:tc>
          <w:tcPr>
            <w:tcW w:w="240" w:type="dxa"/>
            <w:vAlign w:val="bottom"/>
          </w:tcPr>
          <w:p>
            <w:pPr>
              <w:spacing w:after="0"/>
              <w:rPr>
                <w:sz w:val="21"/>
                <w:szCs w:val="21"/>
                <w:color w:val="auto"/>
              </w:rPr>
            </w:pPr>
          </w:p>
        </w:tc>
      </w:tr>
      <w:tr>
        <w:trPr>
          <w:trHeight w:val="20"/>
        </w:trPr>
        <w:tc>
          <w:tcPr>
            <w:tcW w:w="840" w:type="dxa"/>
            <w:vAlign w:val="bottom"/>
            <w:gridSpan w:val="2"/>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80" w:type="dxa"/>
            <w:vAlign w:val="bottom"/>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Item 2.</w:t>
            </w:r>
          </w:p>
        </w:tc>
        <w:tc>
          <w:tcPr>
            <w:tcW w:w="93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82</w:t>
            </w:r>
          </w:p>
        </w:tc>
        <w:tc>
          <w:tcPr>
            <w:tcW w:w="240" w:type="dxa"/>
            <w:vAlign w:val="bottom"/>
          </w:tcPr>
          <w:p>
            <w:pPr>
              <w:spacing w:after="0"/>
              <w:rPr>
                <w:sz w:val="21"/>
                <w:szCs w:val="21"/>
                <w:color w:val="auto"/>
              </w:rPr>
            </w:pPr>
          </w:p>
        </w:tc>
      </w:tr>
      <w:tr>
        <w:trPr>
          <w:trHeight w:val="20"/>
        </w:trPr>
        <w:tc>
          <w:tcPr>
            <w:tcW w:w="840" w:type="dxa"/>
            <w:vAlign w:val="bottom"/>
            <w:gridSpan w:val="2"/>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980" w:type="dxa"/>
            <w:vAlign w:val="bottom"/>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Item 3.</w:t>
            </w:r>
          </w:p>
        </w:tc>
        <w:tc>
          <w:tcPr>
            <w:tcW w:w="93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82</w:t>
            </w:r>
          </w:p>
        </w:tc>
        <w:tc>
          <w:tcPr>
            <w:tcW w:w="240" w:type="dxa"/>
            <w:vAlign w:val="bottom"/>
          </w:tcPr>
          <w:p>
            <w:pPr>
              <w:spacing w:after="0"/>
              <w:rPr>
                <w:sz w:val="21"/>
                <w:szCs w:val="21"/>
                <w:color w:val="auto"/>
              </w:rPr>
            </w:pPr>
          </w:p>
        </w:tc>
      </w:tr>
      <w:tr>
        <w:trPr>
          <w:trHeight w:val="20"/>
        </w:trPr>
        <w:tc>
          <w:tcPr>
            <w:tcW w:w="840" w:type="dxa"/>
            <w:vAlign w:val="bottom"/>
            <w:gridSpan w:val="2"/>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7000" w:type="dxa"/>
            <w:vAlign w:val="bottom"/>
            <w:gridSpan w:val="1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Item 4.</w:t>
            </w:r>
          </w:p>
        </w:tc>
        <w:tc>
          <w:tcPr>
            <w:tcW w:w="93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82</w:t>
            </w:r>
          </w:p>
        </w:tc>
        <w:tc>
          <w:tcPr>
            <w:tcW w:w="240" w:type="dxa"/>
            <w:vAlign w:val="bottom"/>
          </w:tcPr>
          <w:p>
            <w:pPr>
              <w:spacing w:after="0"/>
              <w:rPr>
                <w:sz w:val="21"/>
                <w:szCs w:val="21"/>
                <w:color w:val="auto"/>
              </w:rPr>
            </w:pPr>
          </w:p>
        </w:tc>
      </w:tr>
      <w:tr>
        <w:trPr>
          <w:trHeight w:val="20"/>
        </w:trPr>
        <w:tc>
          <w:tcPr>
            <w:tcW w:w="840" w:type="dxa"/>
            <w:vAlign w:val="bottom"/>
            <w:gridSpan w:val="2"/>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60" w:type="dxa"/>
            <w:vAlign w:val="bottom"/>
            <w:gridSpan w:val="1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Item 5.</w:t>
            </w:r>
          </w:p>
        </w:tc>
        <w:tc>
          <w:tcPr>
            <w:tcW w:w="93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82</w:t>
            </w:r>
          </w:p>
        </w:tc>
        <w:tc>
          <w:tcPr>
            <w:tcW w:w="240" w:type="dxa"/>
            <w:vAlign w:val="bottom"/>
          </w:tcPr>
          <w:p>
            <w:pPr>
              <w:spacing w:after="0"/>
              <w:rPr>
                <w:sz w:val="21"/>
                <w:szCs w:val="21"/>
                <w:color w:val="auto"/>
              </w:rPr>
            </w:pPr>
          </w:p>
        </w:tc>
      </w:tr>
      <w:tr>
        <w:trPr>
          <w:trHeight w:val="20"/>
        </w:trPr>
        <w:tc>
          <w:tcPr>
            <w:tcW w:w="840" w:type="dxa"/>
            <w:vAlign w:val="bottom"/>
            <w:gridSpan w:val="2"/>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20" w:type="dxa"/>
            <w:vAlign w:val="bottom"/>
            <w:gridSpan w:val="1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Item 6.</w:t>
            </w:r>
          </w:p>
        </w:tc>
        <w:tc>
          <w:tcPr>
            <w:tcW w:w="93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83</w:t>
            </w:r>
          </w:p>
        </w:tc>
        <w:tc>
          <w:tcPr>
            <w:tcW w:w="240" w:type="dxa"/>
            <w:vAlign w:val="bottom"/>
          </w:tcPr>
          <w:p>
            <w:pPr>
              <w:spacing w:after="0"/>
              <w:rPr>
                <w:sz w:val="21"/>
                <w:szCs w:val="21"/>
                <w:color w:val="auto"/>
              </w:rPr>
            </w:pPr>
          </w:p>
        </w:tc>
      </w:tr>
      <w:tr>
        <w:trPr>
          <w:trHeight w:val="250"/>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Signatures</w:t>
            </w:r>
          </w:p>
        </w:tc>
        <w:tc>
          <w:tcPr>
            <w:tcW w:w="3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655"/>
        </w:trPr>
        <w:tc>
          <w:tcPr>
            <w:tcW w:w="8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4340" w:type="dxa"/>
            <w:vAlign w:val="bottom"/>
            <w:gridSpan w:val="1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763"/>
        </w:trPr>
        <w:tc>
          <w:tcPr>
            <w:tcW w:w="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(including within the meaning of Section 21E of the Securities Exchange Act of 1934, as amended, and Section 27A of the Securities Act of 1933, as amended (the “Securities Act”)) about us and our industry that involve substantial risks and uncertainties. These statements may discuss goals, intentions and expectations as to future plans, trends, events, results of operations or financial condition, or otherwise, based on current beliefs of our management, as well as assumptions made by, and information currently available to, our management. Forward-looking statements generally include statements that are predictive in nature and depend upon or refer to future events or conditions, and include words such as “may,” “will,” “should,” “would,” “could,” “expect,” “anticipate,” “plan,” “likely,” “believe,” “estimate,” “intend,” and other similar expressions.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whether we are successful in implementing our strategic review (which includes our plans to advance our clinical-stage programs and maximize stockholder value); our strategies, prospects, plans, expectations or objectives for future operations; the progress, scope or timing of the development of our product candidates; the benefits that may be derived from any future products or the commercial or market opportunity with respect to any of our future products; our ability to protect our intellectual property rights; our anticipated operations, financial position, ability to raise capital to fund operations, revenues, costs or expenses; statements regarding future economic conditions or performance; statements of belief and any statement of assumptions underlying any of the foregoing. These risks and uncertainties include, but are not limited to, the risks included in this Quarterly Report on Form 10-Q under Part II, Item 1A, “Risk Factors.” Other sections of this Quarterly Report on Form 10-Q, as well as our other disclosures and filings,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update or revise any forward-looking statements contained in this report, whether as a result of new information, future events or otherwise.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 contained in this Quarterly Report on Form 10-Q include, but are not limited to, statements about:</w:t>
      </w:r>
    </w:p>
    <w:p>
      <w:pPr>
        <w:spacing w:after="0" w:line="185" w:lineRule="exact"/>
        <w:rPr>
          <w:sz w:val="20"/>
          <w:szCs w:val="20"/>
          <w:color w:val="auto"/>
        </w:rPr>
      </w:pPr>
    </w:p>
    <w:p>
      <w:pPr>
        <w:ind w:left="280" w:hanging="272"/>
        <w:spacing w:after="0" w:line="261" w:lineRule="auto"/>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exploration of strategic alternatives to maximize stockholder value, in a timely manner or at all, and whether we will be able to obtain sufficient funding to complete this process and whether any such transactions would generate value for stockholders;</w:t>
      </w:r>
    </w:p>
    <w:p>
      <w:pPr>
        <w:ind w:left="280" w:hanging="272"/>
        <w:spacing w:after="0"/>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future growth and our ability to manage such growth;</w:t>
      </w:r>
    </w:p>
    <w:p>
      <w:pPr>
        <w:spacing w:after="0" w:line="9" w:lineRule="exact"/>
        <w:rPr>
          <w:rFonts w:ascii="Times New Roman" w:cs="Times New Roman" w:eastAsia="Times New Roman" w:hAnsi="Times New Roman"/>
          <w:sz w:val="18"/>
          <w:szCs w:val="18"/>
          <w:color w:val="auto"/>
        </w:rPr>
      </w:pPr>
    </w:p>
    <w:p>
      <w:pPr>
        <w:ind w:left="280" w:hanging="272"/>
        <w:spacing w:after="0" w:line="250" w:lineRule="auto"/>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obtain regulatory approval for and commercialize amezalpat (previously known as TPST-1120) and TPST-1495 and any future product candidates;</w:t>
      </w:r>
    </w:p>
    <w:p>
      <w:pPr>
        <w:ind w:left="280" w:hanging="272"/>
        <w:spacing w:after="0"/>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regulatory approval, efficacy and commercialization of competing products;</w:t>
      </w:r>
    </w:p>
    <w:p>
      <w:pPr>
        <w:spacing w:after="0" w:line="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sales and marketing capabilities or enter into agreements with third parties to market and sell our product candidates;</w:t>
      </w:r>
    </w:p>
    <w:p>
      <w:pPr>
        <w:spacing w:after="0" w:line="9" w:lineRule="exact"/>
        <w:rPr>
          <w:rFonts w:ascii="Times New Roman" w:cs="Times New Roman" w:eastAsia="Times New Roman" w:hAnsi="Times New Roman"/>
          <w:sz w:val="18"/>
          <w:szCs w:val="18"/>
          <w:color w:val="auto"/>
        </w:rPr>
      </w:pPr>
    </w:p>
    <w:p>
      <w:pPr>
        <w:ind w:left="280" w:hanging="272"/>
        <w:spacing w:after="0" w:line="250" w:lineRule="auto"/>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regulatory approval for our product candidates or future product candidates in the United States and in any foreign countries in which we make seek to do business;</w:t>
      </w:r>
    </w:p>
    <w:p>
      <w:pPr>
        <w:ind w:left="280" w:hanging="272"/>
        <w:spacing w:after="0"/>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hire our board of directors, senior management, or operational personnel;</w:t>
      </w:r>
    </w:p>
    <w:p>
      <w:pPr>
        <w:spacing w:after="0" w:line="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our corporate infrastructure, including our ability to design and maintain an effective system of internal controls;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80" w:hanging="272"/>
        <w:spacing w:after="0" w:line="261" w:lineRule="auto"/>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and overall fluctuations in the financial markets in the United States and abroad, including as a result of bank failures, the imposition of tariffs in the United States and abroad, public health crises or geopolitical tensions;</w:t>
      </w:r>
    </w:p>
    <w:p>
      <w:pPr>
        <w:ind w:left="280" w:hanging="272"/>
        <w:spacing w:after="0"/>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current U.S. government shutdown, and funding shortages at governmental and regulatory agencies on which we rely;</w:t>
      </w:r>
    </w:p>
    <w:p>
      <w:pPr>
        <w:spacing w:after="0" w:line="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regarding the period during which we will qualify as a smaller reporting company under the federal securities laws; and</w:t>
      </w:r>
    </w:p>
    <w:p>
      <w:pPr>
        <w:spacing w:after="0" w:line="9" w:lineRule="exact"/>
        <w:rPr>
          <w:rFonts w:ascii="Times New Roman" w:cs="Times New Roman" w:eastAsia="Times New Roman" w:hAnsi="Times New Roman"/>
          <w:sz w:val="18"/>
          <w:szCs w:val="18"/>
          <w:color w:val="auto"/>
        </w:rPr>
      </w:pPr>
    </w:p>
    <w:p>
      <w:pPr>
        <w:ind w:left="280" w:hanging="272"/>
        <w:spacing w:after="0" w:line="260" w:lineRule="auto"/>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maintain and enforce intellectual property protection for our products and technology, as well as our ability to operate our business without infringing, misappropriating or otherwise violating the intellectual property rights of others.</w:t>
      </w:r>
    </w:p>
    <w:p>
      <w:pPr>
        <w:spacing w:after="0" w:line="1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read this Quarterly Report on Form 10-Q as well as the documents that we reference in,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context suggests otherwise, references in this Quarterly Report on Form 10-Q to “Tempest,” “the Company,” “we,” “us,” and “our” refer to Tempest Therapeutics, Inc. and, where appropriate, its subsidiaries.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6"/>
          <w:szCs w:val="16"/>
          <w:b w:val="1"/>
          <w:bCs w:val="1"/>
          <w:color w:val="auto"/>
        </w:rPr>
        <w:t>TEMPEST THERAPEUTICS, INC.</w:t>
      </w:r>
    </w:p>
    <w:p>
      <w:pPr>
        <w:spacing w:after="0" w:line="1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1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7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30,268</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tcPr>
          <w:p>
            <w:pPr>
              <w:spacing w:after="0"/>
              <w:rPr>
                <w:sz w:val="18"/>
                <w:szCs w:val="18"/>
                <w:color w:val="auto"/>
              </w:rPr>
            </w:pPr>
          </w:p>
        </w:tc>
      </w:tr>
      <w:tr>
        <w:trPr>
          <w:trHeight w:val="210"/>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31,474</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8,643</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18"/>
                <w:szCs w:val="18"/>
                <w:color w:val="auto"/>
              </w:rPr>
            </w:pPr>
          </w:p>
        </w:tc>
      </w:tr>
      <w:tr>
        <w:trPr>
          <w:trHeight w:val="250"/>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17,129</w:t>
            </w:r>
          </w:p>
        </w:tc>
        <w:tc>
          <w:tcPr>
            <w:tcW w:w="16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41,488</w:t>
            </w:r>
          </w:p>
        </w:tc>
        <w:tc>
          <w:tcPr>
            <w:tcW w:w="100" w:type="dxa"/>
            <w:vAlign w:val="bottom"/>
            <w:shd w:val="clear" w:color="auto" w:fill="CFF0FC"/>
          </w:tcPr>
          <w:p>
            <w:pPr>
              <w:spacing w:after="0"/>
              <w:rPr>
                <w:sz w:val="21"/>
                <w:szCs w:val="21"/>
                <w:color w:val="auto"/>
              </w:rPr>
            </w:pPr>
          </w:p>
        </w:tc>
      </w:tr>
      <w:tr>
        <w:trPr>
          <w:trHeight w:val="196"/>
        </w:trPr>
        <w:tc>
          <w:tcPr>
            <w:tcW w:w="77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 w:type="dxa"/>
            <w:vAlign w:val="bottom"/>
            <w:tcBorders>
              <w:top w:val="single" w:sz="8" w:color="CFF0F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loan payable (net of discount and issuance costs of nil and $74, respectively)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6,354</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payable</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FF0FC"/>
          </w:tcPr>
          <w:p>
            <w:pPr>
              <w:spacing w:after="0"/>
              <w:rPr>
                <w:sz w:val="18"/>
                <w:szCs w:val="18"/>
                <w:color w:val="auto"/>
              </w:rPr>
            </w:pPr>
          </w:p>
        </w:tc>
      </w:tr>
      <w:tr>
        <w:trPr>
          <w:trHeight w:val="210"/>
        </w:trPr>
        <w:tc>
          <w:tcPr>
            <w:tcW w:w="774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14,220</w:t>
            </w:r>
          </w:p>
        </w:tc>
        <w:tc>
          <w:tcPr>
            <w:tcW w:w="100" w:type="dxa"/>
            <w:vAlign w:val="bottom"/>
            <w:tcBorders>
              <w:top w:val="single" w:sz="8" w:color="CFF0FC"/>
            </w:tcBorders>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22,362</w:t>
            </w:r>
          </w:p>
        </w:tc>
        <w:tc>
          <w:tcPr>
            <w:tcW w:w="100" w:type="dxa"/>
            <w:vAlign w:val="bottom"/>
          </w:tcPr>
          <w:p>
            <w:pPr>
              <w:spacing w:after="0"/>
              <w:rPr>
                <w:sz w:val="18"/>
                <w:szCs w:val="18"/>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8"/>
        </w:trPr>
        <w:tc>
          <w:tcPr>
            <w:tcW w:w="7740" w:type="dxa"/>
            <w:vAlign w:val="bottom"/>
            <w:shd w:val="clear" w:color="auto" w:fill="CFF0FC"/>
          </w:tcPr>
          <w:p>
            <w:pPr>
              <w:ind w:left="140"/>
              <w:spacing w:after="0" w:line="177" w:lineRule="exact"/>
              <w:rPr>
                <w:sz w:val="20"/>
                <w:szCs w:val="20"/>
                <w:color w:val="auto"/>
              </w:rPr>
            </w:pPr>
            <w:r>
              <w:rPr>
                <w:rFonts w:ascii="Times New Roman" w:cs="Times New Roman" w:eastAsia="Times New Roman" w:hAnsi="Times New Roman"/>
                <w:sz w:val="18"/>
                <w:szCs w:val="18"/>
                <w:color w:val="auto"/>
              </w:rPr>
              <w:t>Common stock, $0.001 par value; 100,000,000 shares authorized; 4,440,161 and 3,382,432 shares</w:t>
            </w: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54"/>
        </w:trPr>
        <w:tc>
          <w:tcPr>
            <w:tcW w:w="7740" w:type="dxa"/>
            <w:vAlign w:val="bottom"/>
            <w:shd w:val="clear" w:color="auto" w:fill="CFF0FC"/>
          </w:tcPr>
          <w:p>
            <w:pPr>
              <w:ind w:left="140"/>
              <w:spacing w:after="0" w:line="255" w:lineRule="exact"/>
              <w:rPr>
                <w:sz w:val="20"/>
                <w:szCs w:val="20"/>
                <w:color w:val="auto"/>
              </w:rPr>
            </w:pPr>
            <w:r>
              <w:rPr>
                <w:rFonts w:ascii="Times New Roman" w:cs="Times New Roman" w:eastAsia="Times New Roman" w:hAnsi="Times New Roman"/>
                <w:sz w:val="18"/>
                <w:szCs w:val="18"/>
                <w:color w:val="auto"/>
              </w:rPr>
              <w:t>issued and outstanding at September 30, 2025 and December 31, 2024, respectively</w:t>
            </w:r>
            <w:r>
              <w:rPr>
                <w:rFonts w:ascii="Times New Roman" w:cs="Times New Roman" w:eastAsia="Times New Roman" w:hAnsi="Times New Roman"/>
                <w:sz w:val="24"/>
                <w:szCs w:val="24"/>
                <w:color w:val="auto"/>
                <w:vertAlign w:val="superscript"/>
              </w:rPr>
              <w:t>(1)</w:t>
            </w: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2"/>
                <w:szCs w:val="22"/>
                <w:color w:val="auto"/>
              </w:rPr>
            </w:pPr>
          </w:p>
        </w:tc>
      </w:tr>
      <w:tr>
        <w:trPr>
          <w:trHeight w:val="216"/>
        </w:trPr>
        <w:tc>
          <w:tcPr>
            <w:tcW w:w="774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Additional paid-in capital</w:t>
            </w:r>
            <w:r>
              <w:rPr>
                <w:rFonts w:ascii="Times New Roman" w:cs="Times New Roman" w:eastAsia="Times New Roman" w:hAnsi="Times New Roman"/>
                <w:sz w:val="24"/>
                <w:szCs w:val="24"/>
                <w:color w:val="auto"/>
                <w:vertAlign w:val="superscript"/>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226,229</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(229,347)</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(207,106)</w:t>
            </w:r>
          </w:p>
        </w:tc>
      </w:tr>
      <w:tr>
        <w:trPr>
          <w:trHeight w:val="209"/>
        </w:trPr>
        <w:tc>
          <w:tcPr>
            <w:tcW w:w="774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 w:type="dxa"/>
            <w:vAlign w:val="bottom"/>
            <w:tcBorders>
              <w:top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6,346</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19,126</w:t>
            </w:r>
          </w:p>
        </w:tc>
        <w:tc>
          <w:tcPr>
            <w:tcW w:w="100" w:type="dxa"/>
            <w:vAlign w:val="bottom"/>
            <w:tcBorders>
              <w:top w:val="single" w:sz="8" w:color="CFF0FC"/>
            </w:tcBorders>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41,488</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-2682240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-2665095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-2682240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-2665095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-1559560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-1276985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-1276985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-299720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760" w:right="960" w:hanging="3"/>
        <w:spacing w:after="0" w:line="261" w:lineRule="auto"/>
        <w:tabs>
          <w:tab w:leader="none" w:pos="964"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Results, including shares issued and outstanding have been adjusted to reflect the one-for-thirteen stock split effected in April 2025. See Note 1, Organization and Description of the Business, for details.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6"/>
          <w:szCs w:val="16"/>
          <w:b w:val="1"/>
          <w:bCs w:val="1"/>
          <w:color w:val="auto"/>
        </w:rPr>
        <w:t>TEMPEST THERAPEUTICS, INC.</w:t>
      </w:r>
    </w:p>
    <w:p>
      <w:pPr>
        <w:spacing w:after="0" w:line="2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spacing w:after="0" w:line="1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2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Nine Months Ended September</w:t>
            </w:r>
          </w:p>
        </w:tc>
        <w:tc>
          <w:tcPr>
            <w:tcW w:w="0" w:type="dxa"/>
            <w:vAlign w:val="bottom"/>
          </w:tcPr>
          <w:p>
            <w:pPr>
              <w:spacing w:after="0"/>
              <w:rPr>
                <w:sz w:val="1"/>
                <w:szCs w:val="1"/>
                <w:color w:val="auto"/>
              </w:rPr>
            </w:pPr>
          </w:p>
        </w:tc>
      </w:tr>
      <w:tr>
        <w:trPr>
          <w:trHeight w:val="212"/>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30,</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8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(3,597)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(10,551)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(22,498)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(28,108)</w:t>
            </w:r>
          </w:p>
        </w:tc>
        <w:tc>
          <w:tcPr>
            <w:tcW w:w="0" w:type="dxa"/>
            <w:vAlign w:val="bottom"/>
          </w:tcPr>
          <w:p>
            <w:pPr>
              <w:spacing w:after="0"/>
              <w:rPr>
                <w:sz w:val="1"/>
                <w:szCs w:val="1"/>
                <w:color w:val="auto"/>
              </w:rPr>
            </w:pPr>
          </w:p>
        </w:tc>
      </w:tr>
      <w:tr>
        <w:trPr>
          <w:trHeight w:val="21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tcPr>
          <w:p>
            <w:pPr>
              <w:spacing w:after="0"/>
              <w:rPr>
                <w:sz w:val="18"/>
                <w:szCs w:val="18"/>
                <w:color w:val="auto"/>
              </w:rPr>
            </w:pPr>
          </w:p>
        </w:tc>
        <w:tc>
          <w:tcPr>
            <w:tcW w:w="14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(3,511)</w:t>
            </w:r>
          </w:p>
        </w:tc>
        <w:tc>
          <w:tcPr>
            <w:tcW w:w="1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(10,556)</w:t>
            </w:r>
          </w:p>
        </w:tc>
        <w:tc>
          <w:tcPr>
            <w:tcW w:w="1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(22,241)</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(28,030)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98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Net loss per share of common stock, RSUs and pre-funded warrants, basic and</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(0.79)</w:t>
            </w:r>
          </w:p>
        </w:tc>
        <w:tc>
          <w:tcPr>
            <w:tcW w:w="140" w:type="dxa"/>
            <w:vAlign w:val="bottom"/>
            <w:shd w:val="clear" w:color="auto" w:fill="CFF0FC"/>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(5.32)</w:t>
            </w:r>
          </w:p>
        </w:tc>
        <w:tc>
          <w:tcPr>
            <w:tcW w:w="14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shd w:val="clear" w:color="auto" w:fill="CFF0FC"/>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(15.48)</w:t>
            </w:r>
          </w:p>
        </w:tc>
        <w:tc>
          <w:tcPr>
            <w:tcW w:w="0" w:type="dxa"/>
            <w:vAlign w:val="bottom"/>
          </w:tcPr>
          <w:p>
            <w:pPr>
              <w:spacing w:after="0"/>
              <w:rPr>
                <w:sz w:val="1"/>
                <w:szCs w:val="1"/>
                <w:color w:val="auto"/>
              </w:rPr>
            </w:pPr>
          </w:p>
        </w:tc>
      </w:tr>
      <w:tr>
        <w:trPr>
          <w:trHeight w:val="234"/>
        </w:trPr>
        <w:tc>
          <w:tcPr>
            <w:tcW w:w="5980" w:type="dxa"/>
            <w:vAlign w:val="bottom"/>
            <w:shd w:val="clear" w:color="auto" w:fill="CFF0FC"/>
          </w:tcPr>
          <w:p>
            <w:pPr>
              <w:spacing w:after="0" w:line="174" w:lineRule="exact"/>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12"/>
                <w:szCs w:val="12"/>
                <w:color w:val="auto"/>
              </w:rPr>
              <w:t>(1)</w:t>
            </w:r>
          </w:p>
        </w:tc>
        <w:tc>
          <w:tcPr>
            <w:tcW w:w="80" w:type="dxa"/>
            <w:vAlign w:val="bottom"/>
            <w:vMerge w:val="continue"/>
            <w:shd w:val="clear" w:color="auto" w:fill="CCEEFF"/>
          </w:tcPr>
          <w:p>
            <w:pPr>
              <w:spacing w:after="0"/>
              <w:rPr>
                <w:sz w:val="20"/>
                <w:szCs w:val="20"/>
                <w:color w:val="auto"/>
              </w:rPr>
            </w:pPr>
          </w:p>
        </w:tc>
        <w:tc>
          <w:tcPr>
            <w:tcW w:w="1260" w:type="dxa"/>
            <w:vAlign w:val="bottom"/>
            <w:gridSpan w:val="2"/>
            <w:vMerge w:val="continue"/>
            <w:shd w:val="clear" w:color="auto" w:fill="CCEEFF"/>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5980" w:type="dxa"/>
            <w:vAlign w:val="bottom"/>
            <w:tcBorders>
              <w:top w:val="single" w:sz="8" w:color="CFF0FC"/>
            </w:tcBorders>
          </w:tcPr>
          <w:p>
            <w:pPr>
              <w:spacing w:after="0" w:line="158" w:lineRule="exact"/>
              <w:rPr>
                <w:sz w:val="20"/>
                <w:szCs w:val="20"/>
                <w:color w:val="auto"/>
              </w:rPr>
            </w:pPr>
            <w:r>
              <w:rPr>
                <w:rFonts w:ascii="Times New Roman" w:cs="Times New Roman" w:eastAsia="Times New Roman" w:hAnsi="Times New Roman"/>
                <w:sz w:val="18"/>
                <w:szCs w:val="18"/>
                <w:color w:val="auto"/>
              </w:rPr>
              <w:t>Weighted-average shares of common stock, RSUs and pre-funded warrants</w:t>
            </w:r>
          </w:p>
        </w:tc>
        <w:tc>
          <w:tcPr>
            <w:tcW w:w="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59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outstanding, basic and diluted</w:t>
            </w:r>
            <w:r>
              <w:rPr>
                <w:rFonts w:ascii="Times New Roman" w:cs="Times New Roman" w:eastAsia="Times New Roman" w:hAnsi="Times New Roman"/>
                <w:sz w:val="24"/>
                <w:szCs w:val="24"/>
                <w:color w:val="auto"/>
                <w:vertAlign w:val="superscript"/>
              </w:rPr>
              <w:t>(1)</w:t>
            </w:r>
          </w:p>
        </w:tc>
        <w:tc>
          <w:tcPr>
            <w:tcW w:w="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4,440,111</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1,985,133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3,897,256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1,810,566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-1569085</wp:posOffset>
            </wp:positionV>
            <wp:extent cx="768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-1569085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-1569085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-1569085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-1012190</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-1012190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-1012190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-1012190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-720725</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-720725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-720725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-720725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-300355</wp:posOffset>
            </wp:positionV>
            <wp:extent cx="768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-283210</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-300355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-283210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-300355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-283210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-300355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-283210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right="940" w:firstLine="8"/>
        <w:spacing w:after="0" w:line="258"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including shares of common stock, have been adjusted to reflect the one-for-thirteen stock split effected in April 2025. See Note 1, Organization and Description of the Business, for details.</w:t>
      </w:r>
    </w:p>
    <w:p>
      <w:pPr>
        <w:spacing w:after="0" w:line="183"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TEMPEST THERAPEUTICS, INC.</w:t>
      </w:r>
    </w:p>
    <w:p>
      <w:pPr>
        <w:spacing w:after="0" w:line="2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1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5"/>
        </w:trPr>
        <w:tc>
          <w:tcPr>
            <w:tcW w:w="4000" w:type="dxa"/>
            <w:vAlign w:val="bottom"/>
          </w:tcPr>
          <w:p>
            <w:pPr>
              <w:spacing w:after="0"/>
              <w:rPr>
                <w:sz w:val="24"/>
                <w:szCs w:val="24"/>
                <w:color w:val="auto"/>
              </w:rPr>
            </w:pPr>
          </w:p>
        </w:tc>
        <w:tc>
          <w:tcPr>
            <w:tcW w:w="2600" w:type="dxa"/>
            <w:vAlign w:val="bottom"/>
            <w:gridSpan w:val="4"/>
            <w:vMerge w:val="restart"/>
          </w:tcPr>
          <w:p>
            <w:pPr>
              <w:jc w:val="right"/>
              <w:ind w:right="707"/>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center"/>
              <w:ind w:right="147"/>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2600" w:type="dxa"/>
            <w:vAlign w:val="bottom"/>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107"/>
              <w:spacing w:after="0" w:line="175" w:lineRule="exact"/>
              <w:rPr>
                <w:sz w:val="20"/>
                <w:szCs w:val="20"/>
                <w:color w:val="auto"/>
              </w:rPr>
            </w:pPr>
            <w:r>
              <w:rPr>
                <w:rFonts w:ascii="Times New Roman" w:cs="Times New Roman" w:eastAsia="Times New Roman" w:hAnsi="Times New Roman"/>
                <w:sz w:val="16"/>
                <w:szCs w:val="16"/>
                <w:b w:val="1"/>
                <w:bCs w:val="1"/>
                <w:color w:val="auto"/>
              </w:rPr>
              <w:t>Paid-In</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20"/>
              <w:spacing w:after="0" w:line="175"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center"/>
              <w:ind w:right="240"/>
              <w:spacing w:after="0" w:line="175"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46"/>
        </w:trPr>
        <w:tc>
          <w:tcPr>
            <w:tcW w:w="4000" w:type="dxa"/>
            <w:vAlign w:val="bottom"/>
          </w:tcPr>
          <w:p>
            <w:pPr>
              <w:spacing w:after="0"/>
              <w:rPr>
                <w:sz w:val="21"/>
                <w:szCs w:val="21"/>
                <w:color w:val="auto"/>
              </w:rPr>
            </w:pPr>
          </w:p>
        </w:tc>
        <w:tc>
          <w:tcPr>
            <w:tcW w:w="120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16"/>
                <w:szCs w:val="16"/>
                <w:b w:val="1"/>
                <w:bCs w:val="1"/>
                <w:color w:val="auto"/>
              </w:rPr>
              <w:t>Shares</w:t>
            </w:r>
            <w:r>
              <w:rPr>
                <w:rFonts w:ascii="Times New Roman" w:cs="Times New Roman" w:eastAsia="Times New Roman" w:hAnsi="Times New Roman"/>
                <w:sz w:val="21"/>
                <w:szCs w:val="21"/>
                <w:b w:val="1"/>
                <w:bCs w:val="1"/>
                <w:color w:val="auto"/>
                <w:vertAlign w:val="superscript"/>
              </w:rPr>
              <w:t>(1)</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6"/>
                <w:szCs w:val="16"/>
                <w:b w:val="1"/>
                <w:bCs w:val="1"/>
                <w:color w:val="auto"/>
              </w:rPr>
              <w:t>Amount</w:t>
            </w:r>
            <w:r>
              <w:rPr>
                <w:rFonts w:ascii="Times New Roman" w:cs="Times New Roman" w:eastAsia="Times New Roman" w:hAnsi="Times New Roman"/>
                <w:sz w:val="21"/>
                <w:szCs w:val="21"/>
                <w:b w:val="1"/>
                <w:bCs w:val="1"/>
                <w:color w:val="auto"/>
                <w:vertAlign w:val="superscript"/>
              </w:rPr>
              <w:t>(1)</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107"/>
              <w:spacing w:after="0"/>
              <w:rPr>
                <w:sz w:val="20"/>
                <w:szCs w:val="20"/>
                <w:color w:val="auto"/>
              </w:rPr>
            </w:pPr>
            <w:r>
              <w:rPr>
                <w:rFonts w:ascii="Times New Roman" w:cs="Times New Roman" w:eastAsia="Times New Roman" w:hAnsi="Times New Roman"/>
                <w:sz w:val="16"/>
                <w:szCs w:val="16"/>
                <w:b w:val="1"/>
                <w:bCs w:val="1"/>
                <w:color w:val="auto"/>
                <w:w w:val="95"/>
              </w:rPr>
              <w:t>Capital</w:t>
            </w:r>
            <w:r>
              <w:rPr>
                <w:rFonts w:ascii="Times New Roman" w:cs="Times New Roman" w:eastAsia="Times New Roman" w:hAnsi="Times New Roman"/>
                <w:sz w:val="21"/>
                <w:szCs w:val="21"/>
                <w:b w:val="1"/>
                <w:bCs w:val="1"/>
                <w:color w:val="auto"/>
                <w:w w:val="95"/>
                <w:vertAlign w:val="superscript"/>
              </w:rPr>
              <w:t>(1)</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40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 December 31, 2024</w:t>
            </w:r>
          </w:p>
        </w:tc>
        <w:tc>
          <w:tcPr>
            <w:tcW w:w="1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3,382,432</w:t>
            </w:r>
          </w:p>
        </w:tc>
        <w:tc>
          <w:tcPr>
            <w:tcW w:w="400" w:type="dxa"/>
            <w:vAlign w:val="bottom"/>
            <w:gridSpan w:val="2"/>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c>
          <w:tcPr>
            <w:tcW w:w="400" w:type="dxa"/>
            <w:vAlign w:val="bottom"/>
            <w:gridSpan w:val="2"/>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226,229</w:t>
            </w:r>
          </w:p>
        </w:tc>
        <w:tc>
          <w:tcPr>
            <w:tcW w:w="3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(207,106)</w:t>
            </w:r>
          </w:p>
        </w:tc>
        <w:tc>
          <w:tcPr>
            <w:tcW w:w="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19,126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in connection with at-the-market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133,521</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1,443</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1,444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offering (net of issuance costs of $84)</w:t>
            </w:r>
          </w:p>
        </w:tc>
        <w:tc>
          <w:tcPr>
            <w:tcW w:w="12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1,389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1,389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under equity plan awards</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3,649</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(10,860)</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(10,860)</w:t>
            </w:r>
          </w:p>
        </w:tc>
        <w:tc>
          <w:tcPr>
            <w:tcW w:w="0" w:type="dxa"/>
            <w:vAlign w:val="bottom"/>
          </w:tcPr>
          <w:p>
            <w:pPr>
              <w:spacing w:after="0"/>
              <w:rPr>
                <w:sz w:val="1"/>
                <w:szCs w:val="1"/>
                <w:color w:val="auto"/>
              </w:rPr>
            </w:pPr>
          </w:p>
        </w:tc>
      </w:tr>
      <w:tr>
        <w:trPr>
          <w:trHeight w:val="20"/>
        </w:trPr>
        <w:tc>
          <w:tcPr>
            <w:tcW w:w="400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 March 31, 2025</w:t>
            </w: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3,519,602</w:t>
            </w:r>
          </w:p>
        </w:tc>
        <w:tc>
          <w:tcPr>
            <w:tcW w:w="240" w:type="dxa"/>
            <w:vAlign w:val="bottom"/>
          </w:tcPr>
          <w:p>
            <w:pPr>
              <w:spacing w:after="0"/>
              <w:rPr>
                <w:sz w:val="12"/>
                <w:szCs w:val="12"/>
                <w:color w:val="auto"/>
              </w:rPr>
            </w:pPr>
          </w:p>
        </w:tc>
        <w:tc>
          <w:tcPr>
            <w:tcW w:w="16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2"/>
                <w:szCs w:val="12"/>
                <w:color w:val="auto"/>
              </w:rPr>
            </w:pPr>
          </w:p>
        </w:tc>
        <w:tc>
          <w:tcPr>
            <w:tcW w:w="1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229,095</w:t>
            </w: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(217,966)</w:t>
            </w:r>
          </w:p>
        </w:tc>
        <w:tc>
          <w:tcPr>
            <w:tcW w:w="2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11,133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for cash (net of issuance costs of $319)</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584,253</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3,570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3,570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pre-funded warrants, (net of issuance costs of $230)</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334,000</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1,858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1,858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(7,870)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(7,870)</w:t>
            </w:r>
          </w:p>
        </w:tc>
        <w:tc>
          <w:tcPr>
            <w:tcW w:w="0" w:type="dxa"/>
            <w:vAlign w:val="bottom"/>
          </w:tcPr>
          <w:p>
            <w:pPr>
              <w:spacing w:after="0"/>
              <w:rPr>
                <w:sz w:val="1"/>
                <w:szCs w:val="1"/>
                <w:color w:val="auto"/>
              </w:rPr>
            </w:pPr>
          </w:p>
        </w:tc>
      </w:tr>
      <w:tr>
        <w:trPr>
          <w:trHeight w:val="182"/>
        </w:trPr>
        <w:tc>
          <w:tcPr>
            <w:tcW w:w="400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 June 30, 2025</w:t>
            </w:r>
          </w:p>
        </w:tc>
        <w:tc>
          <w:tcPr>
            <w:tcW w:w="12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4,437,855</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235,615</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(225,836)</w:t>
            </w: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9,783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0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Stock-based compensation</w:t>
            </w:r>
          </w:p>
        </w:tc>
        <w:tc>
          <w:tcPr>
            <w:tcW w:w="12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61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right"/>
              <w:ind w:right="1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under equity plan awards</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2,306</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(3,511)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(3,511)</w:t>
            </w:r>
          </w:p>
        </w:tc>
        <w:tc>
          <w:tcPr>
            <w:tcW w:w="0" w:type="dxa"/>
            <w:vAlign w:val="bottom"/>
          </w:tcPr>
          <w:p>
            <w:pPr>
              <w:spacing w:after="0"/>
              <w:rPr>
                <w:sz w:val="1"/>
                <w:szCs w:val="1"/>
                <w:color w:val="auto"/>
              </w:rPr>
            </w:pPr>
          </w:p>
        </w:tc>
      </w:tr>
      <w:tr>
        <w:trPr>
          <w:trHeight w:val="182"/>
        </w:trPr>
        <w:tc>
          <w:tcPr>
            <w:tcW w:w="400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 September 30, 2025</w:t>
            </w:r>
          </w:p>
        </w:tc>
        <w:tc>
          <w:tcPr>
            <w:tcW w:w="12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4,440,161</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235,689</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(229,347)</w:t>
            </w: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6,346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596"/>
        </w:trPr>
        <w:tc>
          <w:tcPr>
            <w:tcW w:w="4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4000" w:type="dxa"/>
            <w:vAlign w:val="bottom"/>
          </w:tcPr>
          <w:p>
            <w:pPr>
              <w:spacing w:after="0"/>
              <w:rPr>
                <w:sz w:val="24"/>
                <w:szCs w:val="24"/>
                <w:color w:val="auto"/>
              </w:rPr>
            </w:pPr>
          </w:p>
        </w:tc>
        <w:tc>
          <w:tcPr>
            <w:tcW w:w="2600" w:type="dxa"/>
            <w:vAlign w:val="bottom"/>
            <w:gridSpan w:val="4"/>
            <w:vMerge w:val="restart"/>
          </w:tcPr>
          <w:p>
            <w:pPr>
              <w:jc w:val="right"/>
              <w:ind w:right="707"/>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center"/>
              <w:ind w:right="147"/>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2600" w:type="dxa"/>
            <w:vAlign w:val="bottom"/>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107"/>
              <w:spacing w:after="0" w:line="175" w:lineRule="exact"/>
              <w:rPr>
                <w:sz w:val="20"/>
                <w:szCs w:val="20"/>
                <w:color w:val="auto"/>
              </w:rPr>
            </w:pPr>
            <w:r>
              <w:rPr>
                <w:rFonts w:ascii="Times New Roman" w:cs="Times New Roman" w:eastAsia="Times New Roman" w:hAnsi="Times New Roman"/>
                <w:sz w:val="16"/>
                <w:szCs w:val="16"/>
                <w:b w:val="1"/>
                <w:bCs w:val="1"/>
                <w:color w:val="auto"/>
              </w:rPr>
              <w:t>Paid-In</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20"/>
              <w:spacing w:after="0" w:line="175"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center"/>
              <w:ind w:right="240"/>
              <w:spacing w:after="0" w:line="175"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46"/>
        </w:trPr>
        <w:tc>
          <w:tcPr>
            <w:tcW w:w="4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 — December 31, 2023</w:t>
            </w:r>
          </w:p>
        </w:tc>
        <w:tc>
          <w:tcPr>
            <w:tcW w:w="1200" w:type="dxa"/>
            <w:vAlign w:val="bottom"/>
          </w:tcPr>
          <w:p>
            <w:pPr>
              <w:jc w:val="right"/>
              <w:ind w:right="247"/>
              <w:spacing w:after="0"/>
              <w:rPr>
                <w:sz w:val="20"/>
                <w:szCs w:val="20"/>
                <w:color w:val="auto"/>
              </w:rPr>
            </w:pPr>
            <w:r>
              <w:rPr>
                <w:rFonts w:ascii="Times New Roman" w:cs="Times New Roman" w:eastAsia="Times New Roman" w:hAnsi="Times New Roman"/>
                <w:sz w:val="16"/>
                <w:szCs w:val="16"/>
                <w:b w:val="1"/>
                <w:bCs w:val="1"/>
                <w:color w:val="auto"/>
              </w:rPr>
              <w:t>Shares</w:t>
            </w:r>
            <w:r>
              <w:rPr>
                <w:rFonts w:ascii="Times New Roman" w:cs="Times New Roman" w:eastAsia="Times New Roman" w:hAnsi="Times New Roman"/>
                <w:sz w:val="21"/>
                <w:szCs w:val="21"/>
                <w:b w:val="1"/>
                <w:bCs w:val="1"/>
                <w:color w:val="auto"/>
                <w:vertAlign w:val="superscript"/>
              </w:rPr>
              <w:t>(1)</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67"/>
              <w:spacing w:after="0"/>
              <w:rPr>
                <w:sz w:val="20"/>
                <w:szCs w:val="20"/>
                <w:color w:val="auto"/>
              </w:rPr>
            </w:pPr>
            <w:r>
              <w:rPr>
                <w:rFonts w:ascii="Times New Roman" w:cs="Times New Roman" w:eastAsia="Times New Roman" w:hAnsi="Times New Roman"/>
                <w:sz w:val="16"/>
                <w:szCs w:val="16"/>
                <w:b w:val="1"/>
                <w:bCs w:val="1"/>
                <w:color w:val="auto"/>
              </w:rPr>
              <w:t>Amount</w:t>
            </w:r>
            <w:r>
              <w:rPr>
                <w:rFonts w:ascii="Times New Roman" w:cs="Times New Roman" w:eastAsia="Times New Roman" w:hAnsi="Times New Roman"/>
                <w:sz w:val="21"/>
                <w:szCs w:val="21"/>
                <w:b w:val="1"/>
                <w:bCs w:val="1"/>
                <w:color w:val="auto"/>
                <w:vertAlign w:val="superscript"/>
              </w:rPr>
              <w:t>(1)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center"/>
              <w:ind w:right="107"/>
              <w:spacing w:after="0"/>
              <w:rPr>
                <w:sz w:val="20"/>
                <w:szCs w:val="20"/>
                <w:color w:val="auto"/>
              </w:rPr>
            </w:pPr>
            <w:r>
              <w:rPr>
                <w:rFonts w:ascii="Times New Roman" w:cs="Times New Roman" w:eastAsia="Times New Roman" w:hAnsi="Times New Roman"/>
                <w:sz w:val="16"/>
                <w:szCs w:val="16"/>
                <w:b w:val="1"/>
                <w:bCs w:val="1"/>
                <w:color w:val="auto"/>
                <w:w w:val="95"/>
              </w:rPr>
              <w:t>Capital</w:t>
            </w:r>
            <w:r>
              <w:rPr>
                <w:rFonts w:ascii="Times New Roman" w:cs="Times New Roman" w:eastAsia="Times New Roman" w:hAnsi="Times New Roman"/>
                <w:sz w:val="21"/>
                <w:szCs w:val="21"/>
                <w:b w:val="1"/>
                <w:bCs w:val="1"/>
                <w:color w:val="auto"/>
                <w:w w:val="95"/>
                <w:vertAlign w:val="superscript"/>
              </w:rPr>
              <w:t>(1)</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142"/>
        </w:trPr>
        <w:tc>
          <w:tcPr>
            <w:tcW w:w="4000" w:type="dxa"/>
            <w:vAlign w:val="bottom"/>
            <w:vMerge w:val="continue"/>
          </w:tcPr>
          <w:p>
            <w:pPr>
              <w:spacing w:after="0"/>
              <w:rPr>
                <w:sz w:val="12"/>
                <w:szCs w:val="12"/>
                <w:color w:val="auto"/>
              </w:rPr>
            </w:pPr>
          </w:p>
        </w:tc>
        <w:tc>
          <w:tcPr>
            <w:tcW w:w="12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1,695,788</w:t>
            </w:r>
          </w:p>
        </w:tc>
        <w:tc>
          <w:tcPr>
            <w:tcW w:w="240" w:type="dxa"/>
            <w:vAlign w:val="bottom"/>
          </w:tcPr>
          <w:p>
            <w:pPr>
              <w:spacing w:after="0"/>
              <w:rPr>
                <w:sz w:val="12"/>
                <w:szCs w:val="12"/>
                <w:color w:val="auto"/>
              </w:rPr>
            </w:pPr>
          </w:p>
        </w:tc>
        <w:tc>
          <w:tcPr>
            <w:tcW w:w="16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2"/>
                <w:szCs w:val="12"/>
                <w:color w:val="auto"/>
              </w:rPr>
            </w:pPr>
          </w:p>
        </w:tc>
        <w:tc>
          <w:tcPr>
            <w:tcW w:w="180" w:type="dxa"/>
            <w:vAlign w:val="bottom"/>
            <w:tcBorders>
              <w:top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192,029</w:t>
            </w:r>
          </w:p>
        </w:tc>
        <w:tc>
          <w:tcPr>
            <w:tcW w:w="22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(165,263)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26,768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0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in connection with at-the-market</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4,329</w:t>
            </w: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offering (net of issuance costs of $8)</w:t>
            </w:r>
          </w:p>
        </w:tc>
        <w:tc>
          <w:tcPr>
            <w:tcW w:w="120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1,318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under equity plan awards</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8,901</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(7,904)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(7,904)</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 March 31, 2024</w:t>
            </w:r>
          </w:p>
        </w:tc>
        <w:tc>
          <w:tcPr>
            <w:tcW w:w="1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1,709,018</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193,797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(173,167)</w:t>
            </w:r>
          </w:p>
        </w:tc>
        <w:tc>
          <w:tcPr>
            <w:tcW w:w="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20,632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in connection with at-the-market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164,118</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4,557</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4,557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offering (net of issuance costs of $261)</w:t>
            </w:r>
          </w:p>
        </w:tc>
        <w:tc>
          <w:tcPr>
            <w:tcW w:w="12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1,320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1,320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under equity plan awards</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9,615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(9,570)</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(9,570)</w:t>
            </w:r>
          </w:p>
        </w:tc>
        <w:tc>
          <w:tcPr>
            <w:tcW w:w="0" w:type="dxa"/>
            <w:vAlign w:val="bottom"/>
          </w:tcPr>
          <w:p>
            <w:pPr>
              <w:spacing w:after="0"/>
              <w:rPr>
                <w:sz w:val="1"/>
                <w:szCs w:val="1"/>
                <w:color w:val="auto"/>
              </w:rPr>
            </w:pPr>
          </w:p>
        </w:tc>
      </w:tr>
      <w:tr>
        <w:trPr>
          <w:trHeight w:val="142"/>
        </w:trPr>
        <w:tc>
          <w:tcPr>
            <w:tcW w:w="400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BALANCE — June 30, 2024</w:t>
            </w:r>
          </w:p>
        </w:tc>
        <w:tc>
          <w:tcPr>
            <w:tcW w:w="12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1,882,751</w:t>
            </w:r>
          </w:p>
        </w:tc>
        <w:tc>
          <w:tcPr>
            <w:tcW w:w="240" w:type="dxa"/>
            <w:vAlign w:val="bottom"/>
            <w:tcBorders>
              <w:top w:val="single" w:sz="8" w:color="CFF0FC"/>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tcBorders>
              <w:top w:val="single" w:sz="8" w:color="CFF0FC"/>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199,674</w:t>
            </w:r>
          </w:p>
        </w:tc>
        <w:tc>
          <w:tcPr>
            <w:tcW w:w="220" w:type="dxa"/>
            <w:vAlign w:val="bottom"/>
            <w:tcBorders>
              <w:top w:val="single" w:sz="8" w:color="CFF0FC"/>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(182,737)</w:t>
            </w:r>
          </w:p>
        </w:tc>
        <w:tc>
          <w:tcPr>
            <w:tcW w:w="120" w:type="dxa"/>
            <w:vAlign w:val="bottom"/>
            <w:tcBorders>
              <w:top w:val="single" w:sz="8" w:color="CFF0FC"/>
              <w:bottom w:val="single" w:sz="8" w:color="CFF0FC"/>
            </w:tcBorders>
          </w:tcPr>
          <w:p>
            <w:pPr>
              <w:spacing w:after="0"/>
              <w:rPr>
                <w:sz w:val="12"/>
                <w:szCs w:val="12"/>
                <w:color w:val="auto"/>
              </w:rPr>
            </w:pPr>
          </w:p>
        </w:tc>
        <w:tc>
          <w:tcPr>
            <w:tcW w:w="80" w:type="dxa"/>
            <w:vAlign w:val="bottom"/>
            <w:tcBorders>
              <w:top w:val="single" w:sz="8" w:color="CFF0FC"/>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16,939</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400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2"/>
                <w:szCs w:val="12"/>
                <w:color w:val="auto"/>
              </w:rPr>
              <w:t>Issuance of common stock in connection with at-the-market</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156,202</w:t>
            </w:r>
          </w:p>
        </w:tc>
        <w:tc>
          <w:tcPr>
            <w:tcW w:w="2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3,629</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3,629</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offering (net of issuance costs of $112)</w:t>
            </w:r>
          </w:p>
        </w:tc>
        <w:tc>
          <w:tcPr>
            <w:tcW w:w="120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under equity plan awards</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4,573</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(10,556)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(10,556)</w:t>
            </w:r>
          </w:p>
        </w:tc>
        <w:tc>
          <w:tcPr>
            <w:tcW w:w="0" w:type="dxa"/>
            <w:vAlign w:val="bottom"/>
          </w:tcPr>
          <w:p>
            <w:pPr>
              <w:spacing w:after="0"/>
              <w:rPr>
                <w:sz w:val="1"/>
                <w:szCs w:val="1"/>
                <w:color w:val="auto"/>
              </w:rPr>
            </w:pPr>
          </w:p>
        </w:tc>
      </w:tr>
      <w:tr>
        <w:trPr>
          <w:trHeight w:val="182"/>
        </w:trPr>
        <w:tc>
          <w:tcPr>
            <w:tcW w:w="400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 September 30, 2024</w:t>
            </w:r>
          </w:p>
        </w:tc>
        <w:tc>
          <w:tcPr>
            <w:tcW w:w="12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2,043,526</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204,748</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(193,293)</w:t>
            </w: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11,457</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-4525645</wp:posOffset>
            </wp:positionV>
            <wp:extent cx="16630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63065"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-3814445</wp:posOffset>
            </wp:positionV>
            <wp:extent cx="774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-3814445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-3814445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-3814445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-3814445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-3230880</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-3214370</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-3230880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-3214370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-3230880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-3214370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-3230880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-3214370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-3230880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-3214370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-2820035</wp:posOffset>
            </wp:positionV>
            <wp:extent cx="774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-2802255</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-2820035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-2802255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-2820035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-2802255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-2820035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-2802255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-2820035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-2802255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-2014220</wp:posOffset>
            </wp:positionV>
            <wp:extent cx="166306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663065"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-728345</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-728345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-728345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-728345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-25400</wp:posOffset>
            </wp:positionV>
            <wp:extent cx="774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-8255</wp:posOffset>
            </wp:positionV>
            <wp:extent cx="774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-25400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-8255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-25400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-8255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right="620" w:firstLine="8"/>
        <w:spacing w:after="0" w:line="260"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issued and outstanding have been adjusted to reflect the one-for-thirteen stock split effected in April 2025. See Note 1, Organization and Description of the Business, for details.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40" w:type="dxa"/>
            <w:vAlign w:val="bottom"/>
          </w:tcPr>
          <w:p>
            <w:pPr>
              <w:jc w:val="center"/>
              <w:ind w:left="3511"/>
              <w:spacing w:after="0"/>
              <w:rPr>
                <w:sz w:val="20"/>
                <w:szCs w:val="20"/>
                <w:color w:val="auto"/>
              </w:rPr>
            </w:pPr>
            <w:r>
              <w:rPr>
                <w:rFonts w:ascii="Times New Roman" w:cs="Times New Roman" w:eastAsia="Times New Roman" w:hAnsi="Times New Roman"/>
                <w:sz w:val="16"/>
                <w:szCs w:val="16"/>
                <w:b w:val="1"/>
                <w:bCs w:val="1"/>
                <w:color w:val="auto"/>
              </w:rPr>
              <w:t>TEMPEST THERAPEUTICS, INC.</w:t>
            </w: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jc w:val="center"/>
              <w:ind w:left="3531"/>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jc w:val="center"/>
              <w:ind w:left="3471"/>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640" w:type="dxa"/>
            <w:vAlign w:val="bottom"/>
          </w:tcPr>
          <w:p>
            <w:pPr>
              <w:jc w:val="center"/>
              <w:ind w:left="3531"/>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980" w:type="dxa"/>
            <w:vAlign w:val="bottom"/>
          </w:tcPr>
          <w:p>
            <w:pPr>
              <w:spacing w:after="0"/>
              <w:rPr>
                <w:sz w:val="18"/>
                <w:szCs w:val="18"/>
                <w:color w:val="auto"/>
              </w:rPr>
            </w:pPr>
          </w:p>
        </w:tc>
        <w:tc>
          <w:tcPr>
            <w:tcW w:w="1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Nine Months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20" w:type="dxa"/>
            <w:vAlign w:val="bottom"/>
            <w:gridSpan w:val="3"/>
            <w:vMerge w:val="continue"/>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6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Ended September 30,</w:t>
            </w: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64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(22,241)</w:t>
            </w:r>
          </w:p>
        </w:tc>
        <w:tc>
          <w:tcPr>
            <w:tcW w:w="62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(28,030)</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expense</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lease expense</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Non-cash interest and other expense, net</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9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(1,528)</w:t>
            </w: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9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(3,032)</w:t>
            </w:r>
          </w:p>
        </w:tc>
        <w:tc>
          <w:tcPr>
            <w:tcW w:w="6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16"/>
        </w:trPr>
        <w:tc>
          <w:tcPr>
            <w:tcW w:w="7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payable</w:t>
            </w:r>
          </w:p>
        </w:tc>
        <w:tc>
          <w:tcPr>
            <w:tcW w:w="9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w:t>
            </w:r>
          </w:p>
        </w:tc>
        <w:tc>
          <w:tcPr>
            <w:tcW w:w="6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(606)</w:t>
            </w:r>
          </w:p>
        </w:tc>
        <w:tc>
          <w:tcPr>
            <w:tcW w:w="6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r>
        <w:trPr>
          <w:trHeight w:val="20"/>
        </w:trPr>
        <w:tc>
          <w:tcPr>
            <w:tcW w:w="76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9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(23,246)</w:t>
            </w:r>
          </w:p>
        </w:tc>
        <w:tc>
          <w:tcPr>
            <w:tcW w:w="6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(22,878)</w:t>
            </w:r>
          </w:p>
        </w:tc>
        <w:tc>
          <w:tcPr>
            <w:tcW w:w="0" w:type="dxa"/>
            <w:vAlign w:val="bottom"/>
          </w:tcPr>
          <w:p>
            <w:pPr>
              <w:spacing w:after="0"/>
              <w:rPr>
                <w:sz w:val="1"/>
                <w:szCs w:val="1"/>
                <w:color w:val="auto"/>
              </w:rPr>
            </w:pPr>
          </w:p>
        </w:tc>
      </w:tr>
      <w:tr>
        <w:trPr>
          <w:trHeight w:val="209"/>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8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09"/>
        </w:trPr>
        <w:tc>
          <w:tcPr>
            <w:tcW w:w="76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the issuance of common stock, net of issuance costs</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issuance of pre-funded warrants, net of issuance costs</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 of loan</w:t>
            </w:r>
          </w:p>
        </w:tc>
        <w:tc>
          <w:tcPr>
            <w:tcW w:w="9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(6,426)</w:t>
            </w:r>
          </w:p>
        </w:tc>
        <w:tc>
          <w:tcPr>
            <w:tcW w:w="6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(2,199)</w:t>
            </w: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issuance of common stock under equity plan awards</w:t>
            </w: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9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(22,754)</w:t>
            </w:r>
          </w:p>
        </w:tc>
        <w:tc>
          <w:tcPr>
            <w:tcW w:w="6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(16,762)</w:t>
            </w:r>
          </w:p>
        </w:tc>
        <w:tc>
          <w:tcPr>
            <w:tcW w:w="0" w:type="dxa"/>
            <w:vAlign w:val="bottom"/>
          </w:tcPr>
          <w:p>
            <w:pPr>
              <w:spacing w:after="0"/>
              <w:rPr>
                <w:sz w:val="1"/>
                <w:szCs w:val="1"/>
                <w:color w:val="auto"/>
              </w:rPr>
            </w:pPr>
          </w:p>
        </w:tc>
      </w:tr>
      <w:tr>
        <w:trPr>
          <w:trHeight w:val="216"/>
        </w:trPr>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9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30,711</w:t>
            </w:r>
          </w:p>
        </w:tc>
        <w:tc>
          <w:tcPr>
            <w:tcW w:w="28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39,673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98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7,957</w:t>
            </w:r>
          </w:p>
        </w:tc>
        <w:tc>
          <w:tcPr>
            <w:tcW w:w="280" w:type="dxa"/>
            <w:vAlign w:val="bottom"/>
          </w:tcPr>
          <w:p>
            <w:pPr>
              <w:spacing w:after="0"/>
              <w:rPr>
                <w:sz w:val="18"/>
                <w:szCs w:val="18"/>
                <w:color w:val="auto"/>
              </w:rPr>
            </w:pPr>
          </w:p>
        </w:tc>
        <w:tc>
          <w:tcPr>
            <w:tcW w:w="6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4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9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interest</w:t>
            </w:r>
          </w:p>
        </w:tc>
        <w:tc>
          <w:tcPr>
            <w:tcW w:w="98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80" w:type="dxa"/>
            <w:vAlign w:val="bottom"/>
          </w:tcPr>
          <w:p>
            <w:pPr>
              <w:spacing w:after="0"/>
              <w:rPr>
                <w:sz w:val="18"/>
                <w:szCs w:val="18"/>
                <w:color w:val="auto"/>
              </w:rPr>
            </w:pPr>
          </w:p>
        </w:tc>
        <w:tc>
          <w:tcPr>
            <w:tcW w:w="6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paid for business taxes</w:t>
            </w:r>
          </w:p>
        </w:tc>
        <w:tc>
          <w:tcPr>
            <w:tcW w:w="980" w:type="dxa"/>
            <w:vAlign w:val="bottom"/>
            <w:tcBorders>
              <w:bottom w:val="single" w:sz="8" w:color="auto"/>
            </w:tcBorders>
            <w:shd w:val="clear" w:color="auto" w:fill="CFF0FC"/>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-2296795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-2296795</wp:posOffset>
            </wp:positionV>
            <wp:extent cx="774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-1722120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-1722120</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-607695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-607695</wp:posOffset>
            </wp:positionV>
            <wp:extent cx="774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-299720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-299720</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-8255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18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are in thousands, except share and per share data)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THE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Tempest Therapeutics, Inc. (“Tempest” or the “Company”) is a clinical-stage biotechnology company with a diverse portfolio of targeted and immune-mediated product candidates with the potential to be first-in-class treatments for a wide range of cancers. Tempest’s novel programs range from early research to the lead program, amezalpat (previously known as TPST-1120), that is poised to begin a pivotal Phase 3 study in first-line liver cancer. The Company is headquartered in Brisbane, California.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3, 2024, the Company held a special meeting of stockholders at which its stockholders approved a proposal to effect an amendment to the Company’s Restated Certificate of Incorporation to implement a reverse stock split. On April 4, 2025, the Company’s board of directors approved the filing of a certificate of amendment to the Company’s Restated Certificate of Incorporation with the Secretary of State of the State of Delaware to affect the one-for-thirteen (1:13) reverse stock split of its outstanding common stock (the "Reverse Stock Split").</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8, 2025, the Company effected the Reverse Stock Split. Pursuant to their terms, a proportionate adjustment was made to the per share exercise price and number of shares issuable under all of the Company’s outstanding options and warrants, and the number of shares authorized for issuance pursuant to the Company’s equity incentive plans have been reduced proportionately. The Reverse Stock Split did not reduce the number of authorized shares of common stock and did not alter the par value.</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fractional shares were issued as a result of the Reverse Stock Split. Stockholders of record who would have otherwise been entitled to receive a fractional share received a cash payment in lieu thereof. The Reverse Stock Split affected all stockholders proportionately and did not affect any stockholder’s percentage ownership of the Company’s common stock (except to the extent that the Reverse Stock Split resulted in any stockholder owning only a fractional share).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incurred operating losses since inception. As of September 30, 2025, the Company had $7.5 million of cash and cash equivalents. While the Company implemented cost reductions in 2025, the Company has finite cash resources available to fund its operations. In April 2025, the Company announced plans to explore a full range of strategic alternatives to advance its promising clinical stage programs and maximize stockholder value. Strategic alternatives under consideration may include, but are not limited to, mergers, acquisitions, partnerships, joint ventures, licensing arrangements or other strategic transactions. The Company has retained MTS Health Partners, L.P., an internationally recognized financial advisor with substantial experience in the biotechnology industry, to support it with the strategic evaluation process. If a strategic alternative is not available, the Company will be required to take additional actions to fund the Company’s operations, or it may be forced to wind down its operations. As part of the cost reductions, the Company reduced its workforce by 21 of 26 full-time employees, which became effective April 30, 2025. Further, in support of such efforts, on June 5, 2025, each of Stephen Brady, the Company’s Chief Executive Officer and President, Samuel Whiting, the Company’s Executive Vice President and Chief Medical Officer, and Nicholas Maestas, the Company’s Chief Financial Officer and Head of Corporate Strategy, transitioned to consulting arrangements with the Company, pursuant to which they will continue to serve the Company in their respective executive roles. The Company incurred $3.2 million of one-time cash severance payments, benefits and other related costs (excluding non-cash charges associated with equity-based compensation), with the majority of such costs incurred in the second quarter of 2025.</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expects that its existing cash and cash equivalents will fund the Company’s projected operating expense requirements through less than 12 months from the date our consolidated financial statements were available to be issued. Accordingly, there is substantial doubt about the Company’s ability to continue to operate as a going concern for a period of 12 months from the date of issuance of these condensed financial statements. The accompanying financial statements were prepared on a going concern basis, which contemplates the realization of assets and the satisfaction of liabilities in the normal course of business. These financial statements do not include any separate adjustments relating to the recovery of recorded assets or the classification of liabilities; however, such adjustments may be necessary in the future when the Company is unable to continue as a going concern.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ATM Program</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23, 2021, the Company entered into a sales agreement with Jefferies LLC (“Jefferies”), pursuant to which the Company may sell, from time to time at its sole discretion through Jefferies, as its sales agent, shares of its common stock having, up to an aggregate sales price of $100.0 million of its common stock through Jefferies (the “Prior ATM Program”). As of June 20, 2024, the Company had sold an aggregate 9,017,110 shares of its common stock for gross proceeds of $42.7 million ($41.5 million net of commissions and estimated expenses) under the Prior ATM Program. On June 20, 2024, the Company and Jefferies terminated the Prior ATM Program and entered a new Open Market Sale Agreement (the “Sales Agreement”) to sell shares of common stock from time to time through Jefferies acting as sales agent (the “ATM Program”). The Company will pay Jefferies a commission up to 3.0% of the gross sales proceeds of any shares of its common stock sold through Jefferies under the ATM Program and also has provided Jefferies with indemnification and contribution rights. Pursuant to the prospectus supplement dated June 20, 2024 filed by the Company with the U.S. Securities and Exchange Commission (“SEC”), the Company was able to offer and sell up to $205,000,000 of its shares of common stock pursuant to the Sales Agreement. On June 11, 2025, in connection with the RDO (as defined below), the Company delivered written notice to Jefferies that it was suspending and terminating the prospectus supplement, dated February 6, 2025, related to the ATM Program (the “ATM Prospectus”). The Company will not make any sales of its securities pursuant to the Sales Agreement, unless and until a new prospectus, prospectus supplement or a new registration statement is filed. Other than the termination of the ATM Prospectus, the Sales Agreement remains in full force and effect.</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current SEC regulations, if at any time the Company's public float is less than $75.0 million, and for so long as the Company’s public float remains less than $75.0 million, the amount the Company can raise through primary public offerings of securities in any 12-month period using shelf registration statements is limited to an aggregate of one-third of the Company's public float, which is referred to as the baby shelf rules. On February 6, 2025, the Company filed a prospectus supplement with the SEC limiting the availability under the ATM Program to $14.5 million. As of the nine months ended September 30, 2025, the Company has sold an aggregate of 312,830 shares of its common stock for proceeds of $2.8 million, pursuant to the ATM Program. As of September 30, 2025, $11.6 million remained available for sale under the ATM Program.</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Direct Offering</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11, 2025, the Company sold an aggregate of 405,000 shares of the Company’s common stock and pre-funded warrants to purchase 334,000 shares of its common stock in a registered direct offering (“RDO”). The offering price was $6.25 per share of common stock and $6.249 per pre-funded warrant, which is the price of each share of common stock sold in the RDO, minus the $0.001 exercise price per pre-funded warrant. The net proceeds from the RDO were approximately $4.1 million, after deducting placement agent fees and offering expenses payable by the Company. As of September 30, 2025, all pre-funded warrants had been exercised.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Significant Accounting Policies</w:t>
      </w:r>
      <w:r>
        <w:rPr>
          <w:rFonts w:ascii="Times New Roman" w:cs="Times New Roman" w:eastAsia="Times New Roman" w:hAnsi="Times New Roman"/>
          <w:sz w:val="18"/>
          <w:szCs w:val="18"/>
          <w:color w:val="auto"/>
        </w:rPr>
        <w:t>—The Company’s significant accounting policies are described in Note 2, “Summary of Significant Accounting Policies,”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Company’s Annual Report on Form 10-K filed with the SEC on March 27, 2025. There have been no material changes to the significant accounting policies during the nine months ended September 30, 2025.</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Basis of Presentation</w:t>
      </w:r>
      <w:r>
        <w:rPr>
          <w:rFonts w:ascii="Times New Roman" w:cs="Times New Roman" w:eastAsia="Times New Roman" w:hAnsi="Times New Roman"/>
          <w:sz w:val="18"/>
          <w:szCs w:val="18"/>
          <w:color w:val="auto"/>
        </w:rPr>
        <w:t>—The unaudited interim Condensed Consolidated Financial Statements have been prepared pursuant to the rules and regulations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U.S. Securities and Exchange Commission. Accordingly, certain information and footnote disclosures normally included in annual financial statements prepared in accordance with generally accepted accounting principles in the United States (“GAAP”) have been omitted. These unaudited interim Condensed Consolidated Financial Statements should be read in conjunction with the Company’s audited Consolidated Financial Statements and notes included in the company’s Annual Report on Form 10-K for the year ended December 31, 2024.</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prepared the accompanying Condensed Consolidated Financial Statements on the same basis as the audited financial statements, and the unaudited interim financial statements include, in the Company’s opinion, all adjustments, consisting only of normal recurring adjustments that the Company considers necessary for a fair presentation of its financial position and results of operations for these periods.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references to common stock, warrants to purchase common stock, options to purchase common stock, share data, per share data and related information contained in the consolidated financial statements have been retrospectively adjusted to reflect the effect of the Reverse Stock Split for all periods presented.</w:t>
      </w:r>
    </w:p>
    <w:p>
      <w:pPr>
        <w:spacing w:after="0" w:line="1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Use of Estimates</w:t>
      </w: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reported amounts of assets, liabilities, and the disclosure of contingent assets and liabilities at the date of the financial statements and the reported amounts of expenses during the reporting period. On an ongoing basis, the Company evaluates its estimates and assumptions, including those related to research and development accruals, recoverability of long-lived assets, right-of-use assets, lease obligations, stock-based compensation and income taxes uncertainties and valuation allowances.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those estimates.</w:t>
      </w:r>
    </w:p>
    <w:p>
      <w:pPr>
        <w:spacing w:after="0" w:line="1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Income Taxes</w:t>
      </w:r>
      <w:r>
        <w:rPr>
          <w:rFonts w:ascii="Times New Roman" w:cs="Times New Roman" w:eastAsia="Times New Roman" w:hAnsi="Times New Roman"/>
          <w:sz w:val="18"/>
          <w:szCs w:val="18"/>
          <w:color w:val="auto"/>
        </w:rPr>
        <w:t>—On July 4, 2025, the One Big Beautiful Bill Act (“OBBBA”) was enacted into law in the United States. OBBBA includes significant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changes, such as the permanent extension of certain provisions that were originally enacted in the 2017 Tax Cuts and Jobs Act and were set to expire on December 31, 2025, modifications to certain international tax provisions and the restoration of tax treatment for certain business expense provisions. The new legislation has multiple effective dates, with certain provisions effective in 2025 and others implemented through 2027. The Company is currently assessing the impact on its condensed consolidated financial statements, as well as its annual estimated effective tax rate.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Company’s fair value hierarchy for assets measured at fair value on a recurring basis: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As of September 30, 2025</w:t>
            </w: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1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7,514</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7,514</w:t>
            </w:r>
          </w:p>
        </w:tc>
        <w:tc>
          <w:tcPr>
            <w:tcW w:w="0" w:type="dxa"/>
            <w:vAlign w:val="bottom"/>
          </w:tcPr>
          <w:p>
            <w:pPr>
              <w:spacing w:after="0"/>
              <w:rPr>
                <w:sz w:val="1"/>
                <w:szCs w:val="1"/>
                <w:color w:val="auto"/>
              </w:rPr>
            </w:pPr>
          </w:p>
        </w:tc>
      </w:tr>
      <w:tr>
        <w:trPr>
          <w:trHeight w:val="20"/>
        </w:trPr>
        <w:tc>
          <w:tcPr>
            <w:tcW w:w="3720" w:type="dxa"/>
            <w:vAlign w:val="bottom"/>
            <w:shd w:val="clear" w:color="auto" w:fill="CFF0FC"/>
          </w:tcPr>
          <w:p>
            <w:pPr>
              <w:spacing w:after="0" w:line="20" w:lineRule="exact"/>
              <w:rPr>
                <w:sz w:val="1"/>
                <w:szCs w:val="1"/>
                <w:color w:val="auto"/>
              </w:rPr>
            </w:pPr>
          </w:p>
        </w:tc>
        <w:tc>
          <w:tcPr>
            <w:tcW w:w="2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7,514</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7,514</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37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7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1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30,268</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30,268</w:t>
            </w:r>
          </w:p>
        </w:tc>
        <w:tc>
          <w:tcPr>
            <w:tcW w:w="0" w:type="dxa"/>
            <w:vAlign w:val="bottom"/>
          </w:tcPr>
          <w:p>
            <w:pPr>
              <w:spacing w:after="0"/>
              <w:rPr>
                <w:sz w:val="1"/>
                <w:szCs w:val="1"/>
                <w:color w:val="auto"/>
              </w:rPr>
            </w:pPr>
          </w:p>
        </w:tc>
      </w:tr>
      <w:tr>
        <w:trPr>
          <w:trHeight w:val="20"/>
        </w:trPr>
        <w:tc>
          <w:tcPr>
            <w:tcW w:w="3720" w:type="dxa"/>
            <w:vAlign w:val="bottom"/>
            <w:shd w:val="clear" w:color="auto" w:fill="CFF0FC"/>
          </w:tcPr>
          <w:p>
            <w:pPr>
              <w:spacing w:after="0" w:line="20" w:lineRule="exact"/>
              <w:rPr>
                <w:sz w:val="1"/>
                <w:szCs w:val="1"/>
                <w:color w:val="auto"/>
              </w:rPr>
            </w:pPr>
          </w:p>
        </w:tc>
        <w:tc>
          <w:tcPr>
            <w:tcW w:w="2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30,268</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30,268</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1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372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7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-1765300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-1765300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-1765300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-1765300</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-1062355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-1062355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-1062355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-1062355</wp:posOffset>
            </wp:positionV>
            <wp:extent cx="774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BALANCE SHEET COMPONENTS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8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920" w:type="dxa"/>
            <w:vAlign w:val="bottom"/>
            <w:shd w:val="clear" w:color="auto" w:fill="CFF0FC"/>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Prepaid research and development costs</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5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9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1,206</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tc>
        <w:tc>
          <w:tcPr>
            <w:tcW w:w="1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80" w:type="dxa"/>
            <w:vAlign w:val="bottom"/>
            <w:vMerge w:val="continue"/>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58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24"/>
                <w:szCs w:val="24"/>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8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920" w:type="dxa"/>
            <w:vAlign w:val="bottom"/>
            <w:shd w:val="clear" w:color="auto" w:fill="CFF0FC"/>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1920" w:type="dxa"/>
            <w:vAlign w:val="bottom"/>
            <w:shd w:val="clear" w:color="auto" w:fill="CFF0FC"/>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shd w:val="clear" w:color="auto" w:fill="CCEEFF"/>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1,485</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09"/>
        </w:trPr>
        <w:tc>
          <w:tcPr>
            <w:tcW w:w="5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19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00" w:type="dxa"/>
            <w:vAlign w:val="bottom"/>
            <w:shd w:val="clear" w:color="auto" w:fill="CCEEFF"/>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(1,320)</w:t>
            </w:r>
          </w:p>
        </w:tc>
        <w:tc>
          <w:tcPr>
            <w:tcW w:w="0" w:type="dxa"/>
            <w:vAlign w:val="bottom"/>
          </w:tcPr>
          <w:p>
            <w:pPr>
              <w:spacing w:after="0"/>
              <w:rPr>
                <w:sz w:val="1"/>
                <w:szCs w:val="1"/>
                <w:color w:val="auto"/>
              </w:rPr>
            </w:pPr>
          </w:p>
        </w:tc>
      </w:tr>
      <w:tr>
        <w:trPr>
          <w:trHeight w:val="249"/>
        </w:trPr>
        <w:tc>
          <w:tcPr>
            <w:tcW w:w="5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equipment—net</w:t>
            </w:r>
          </w:p>
        </w:tc>
        <w:tc>
          <w:tcPr>
            <w:tcW w:w="19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-1851025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-25400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Depreciation expense for the three and nine months ended September 30, 2025 was $66 and $201, respectively. Depreciation expense for the three and nine months ended September 30, 2024 was $98 and $340,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consist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7"/>
                <w:szCs w:val="17"/>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78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r>
      <w:tr>
        <w:trPr>
          <w:trHeight w:val="215"/>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other liabilities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shd w:val="clear" w:color="auto" w:fill="CCEEFF"/>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00" w:type="dxa"/>
            <w:vAlign w:val="bottom"/>
            <w:shd w:val="clear" w:color="auto" w:fill="CCEEFF"/>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Accrued clinical trial liability</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1,391</w:t>
            </w:r>
          </w:p>
        </w:tc>
      </w:tr>
      <w:tr>
        <w:trPr>
          <w:trHeight w:val="249"/>
        </w:trPr>
        <w:tc>
          <w:tcPr>
            <w:tcW w:w="7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-25400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ind w:right="7600" w:firstLine="8"/>
        <w:spacing w:after="0" w:line="479" w:lineRule="auto"/>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Facilities Lease Agreements</w:t>
      </w:r>
    </w:p>
    <w:p>
      <w:pPr>
        <w:spacing w:after="0" w:line="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January 2022, the Company entered into an 8-year office lease agreement for a 20,116 square feet facility in Brisbane, California (“Brisbane Lease”). The lease commenced in December 2022.</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of September 30, 2025 and December 31, 2024, the balance of the operating lease right of use assets were $7,825 and $8,643, respectively, and the related operating lease liabilities were $8,405 and $9,011, respectively, as shown in the accompanying consolidated balance sheets.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Rent expense was $486 and $1,459 for the three and nine months ended September 30, 2025, respectively. Rent expense was $486 and $1,758 for the three and nine months ended September 30, 2024, respectively.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future minimum lease payments under the Company's operating lease liabilities were as follows: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Year Ending</w:t>
            </w:r>
          </w:p>
        </w:tc>
        <w:tc>
          <w:tcPr>
            <w:tcW w:w="180" w:type="dxa"/>
            <w:vAlign w:val="bottom"/>
          </w:tcPr>
          <w:p>
            <w:pPr>
              <w:spacing w:after="0"/>
              <w:rPr>
                <w:sz w:val="18"/>
                <w:szCs w:val="18"/>
                <w:color w:val="auto"/>
              </w:rPr>
            </w:pPr>
          </w:p>
        </w:tc>
        <w:tc>
          <w:tcPr>
            <w:tcW w:w="18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Total Commitment</w:t>
            </w:r>
          </w:p>
        </w:tc>
      </w:tr>
      <w:tr>
        <w:trPr>
          <w:trHeight w:val="209"/>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(excluding nine months ended September 30, 2025)</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2028 and beyond</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6,410</w:t>
            </w:r>
          </w:p>
        </w:tc>
        <w:tc>
          <w:tcPr>
            <w:tcW w:w="120" w:type="dxa"/>
            <w:vAlign w:val="bottom"/>
          </w:tcPr>
          <w:p>
            <w:pPr>
              <w:spacing w:after="0"/>
              <w:rPr>
                <w:sz w:val="18"/>
                <w:szCs w:val="18"/>
                <w:color w:val="auto"/>
              </w:rPr>
            </w:pPr>
          </w:p>
        </w:tc>
      </w:tr>
      <w:tr>
        <w:trPr>
          <w:trHeight w:val="209"/>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8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10,795</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tcPr>
          <w:p>
            <w:pPr>
              <w:spacing w:after="0"/>
              <w:rPr>
                <w:sz w:val="18"/>
                <w:szCs w:val="18"/>
                <w:color w:val="auto"/>
              </w:rPr>
            </w:pP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(2,390)</w:t>
            </w:r>
          </w:p>
        </w:tc>
      </w:tr>
      <w:tr>
        <w:trPr>
          <w:trHeight w:val="210"/>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Present value of operating lease obligations</w:t>
            </w:r>
          </w:p>
        </w:tc>
        <w:tc>
          <w:tcPr>
            <w:tcW w:w="180" w:type="dxa"/>
            <w:vAlign w:val="bottom"/>
            <w:tcBorders>
              <w:top w:val="single" w:sz="8" w:color="auto"/>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8,405</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80" w:type="dxa"/>
            <w:vAlign w:val="bottom"/>
          </w:tcPr>
          <w:p>
            <w:pPr>
              <w:spacing w:after="0"/>
              <w:rPr>
                <w:sz w:val="18"/>
                <w:szCs w:val="18"/>
                <w:color w:val="auto"/>
              </w:rPr>
            </w:pP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(1,147)</w:t>
            </w:r>
          </w:p>
        </w:tc>
      </w:tr>
      <w:tr>
        <w:trPr>
          <w:trHeight w:val="249"/>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operating lease obligations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7,258</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Related to this Brisbane Lease agreement, the Company entered into a letter of credit with a bank to deposit $388 in a separate account that is classified as restricted cash to serve as security rent deposit. This amount is included in other noncurrent assets in the accompanying consolidated balance sheets as of September 30, 2025.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Arrangements</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August 11, 2025, the Company entered into success bonus agreements with certain individuals, including Stephen Brady, the Company’s Chief Executive Officer and President, Samuel Whiting, the Company’s Executive Vice President and Chief Medical Officer, Nicholas Maestas, the Company’s Chief Financial Officer and Head of Corporate Strategy, and Justin Trojanowski, the Company’s Corporate Controller, Treasurer and principal accounting officer, for total aggregate success bonuses of $725,000. Pursuant to the agreements, the individuals will be eligible to receive a success bonus if a change in control of the Company is consummated prior to January 31, 2026.</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LOAN PAYABLE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January 15, 2021, the Company entered into a loan agreement with Oxford Finance LLC (the “Lender”) to borrow a term loan amount of $35,000 to be funded in three tranches (as amended, the “Loan Agreement”). Tranche A of $15,000 was wired to the Company on January 15, 2021. Tranche B of $10,000 expired on March 31, 2022. Tranche C of $10,000 was available at the Lender’s option.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23, 2022, the Company entered into a First Amendment to the Loan Agreement. The amendment modified the Loan Agreement as follows:</w:t>
      </w:r>
    </w:p>
    <w:p>
      <w:pPr>
        <w:spacing w:after="0" w:line="27" w:lineRule="exact"/>
        <w:rPr>
          <w:sz w:val="20"/>
          <w:szCs w:val="20"/>
          <w:color w:val="auto"/>
        </w:rPr>
      </w:pPr>
    </w:p>
    <w:p>
      <w:pPr>
        <w:jc w:val="both"/>
        <w:ind w:firstLine="8"/>
        <w:spacing w:after="0" w:line="253" w:lineRule="auto"/>
        <w:tabs>
          <w:tab w:leader="none" w:pos="2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Millendo Therapeutics US, Inc., a Delaware corporation and wholly owned subsidiary of the Company (“Millendo”), were joined as co-borrowers under the Loan Agreement; (ii) the interest-only repayment period was extended through December 31, 2023 (which interest-only period may be further extended through June 30, 2024 under certain circumstances); and (iii) a security interest in all of the assets of the Company, TempestTx and Millendo, including any intellectual property, was granted to the Lender. In addition, the Lender permitted a one-time prepayment in the amount of $5.0 million, which the Company paid on December 23, 2022.</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the amendment to the Loan Agreement, the term loan had a maturity date of August 1, 2025 and an annual floating interest rate of 7.15%, which is an Index Rate plus 7.10%. Index Rate is the greater of (i) 1-Month CME Term SOFR or (ii) 0.05%. In the fourth quarter of 2023, the Company achieved the circumstances necessary to extend the interest-only repayment period through June 30, 2024. Monthly principal payments of $733 were required to begin on July 1, 2024. Related to this borrowing, the Company recorded loan discounts totaling $898 and paid $95 of debt issuance costs. These amounts would be amortized as additional interest expense over the life of the loan.</w:t>
      </w:r>
    </w:p>
    <w:p>
      <w:pPr>
        <w:spacing w:after="0" w:line="1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April 8, 2025, using cash on hand, the Company made a repayment of $3.5 million in full satisfaction of the aggregate outstanding amount, including accrued interest and exit fees as of such date, under the Loan Agreement with the Lender. The payoff amount paid by the Company in connection with the termination of the Loan Agreement was pursuant to a payoff letter</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with the Lender and included payment of $0.6 million as an exit fee. Upon making the repayment, the Loan Agreement was terminated in accordance with its terms and all liens and security interests granted thereunder to secure the obligations were released.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2025, the Company incurred no interest expense. For the nine months ended September 30, 2025, total interest expense was $207. For the three and nine months ended September 30, 2024, total interest expense was $329 and $1,069, respectively.</w:t>
      </w:r>
    </w:p>
    <w:p>
      <w:pPr>
        <w:spacing w:after="0" w:line="131" w:lineRule="exact"/>
        <w:rPr>
          <w:sz w:val="20"/>
          <w:szCs w:val="20"/>
          <w:color w:val="auto"/>
        </w:rPr>
      </w:pPr>
    </w:p>
    <w:p>
      <w:pPr>
        <w:ind w:right="8740" w:firstLine="8"/>
        <w:spacing w:after="0" w:line="479" w:lineRule="auto"/>
        <w:tabs>
          <w:tab w:leader="none" w:pos="1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Authorized Stock</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authorized to issue 100,000,000 shares of common stock, par value of $0.001 per share, and 5,000,000 shares of preferred stock, 100,000 of which have been designated as Series A Participating Preferred Stock (the “Series A Preferred Stock”), par value of $0.001 per share pursuant to the Company’s adoption the Rights Plan (as defined below). No shares of the Company’s Series A Participating Preferred Stock were outstanding as of September 30, 2025 and 2024. Stockholders are entitled to dividends as declared by the Board of Directors, subject to rights of holders of all classes of stock outstanding having priority rights as to dividends. There have been no dividends declared to date. The holders of each share of common stock are entitled to one vote and the holders of each share of Series A Preferred Stock, if issued, are entitled to 1,000 votes. Except for effecting or validating certain specific actions intended to protect the preferred stockholders, the holders of common stock vote together with preferred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Plan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10, 2023, the Company’s Board of Directors adopted a limited duration stockholder rights plan (the “Rights Plan”), effective immediately, and declared a dividend of one preferred share purchase right (a “Right”) for each outstanding share of the Company’s common stock. The dividend was effective as of October 23, 2023 (the “Record Date”) with respect to stockholders of record on that date. The Rights will also attach to new common stock issued after the Record Date. Each Right entitles the registered holder to purchase from the Company one one-thousandth of a share of the Series A Preferred Stock at a price of $25.00 per one one-thousandth of a preferred share, subject to adjustment. The descriptions and terms of the Rights are set forth in a Rights Agreement, dated as of October 10, 2023 (the “Rights Agreement"), between the Company and Computershare Trust Company, NA.</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9, 2024, the Company entered into Amendment No. 1 (the “Amendment”) to the Rights Agreement. The Amendment extends the Final Expiration Date of the Rights Agreement until immediately following the Company’s 2025 Annual Meeting of Stockholders or, if the Company’s stockholders approve the Rights Plan at or prior to such meeting, to October 10, 2026, unless the Rights are earlier redeemed or exchanged by the Company. The Company does not have any obligation under the Rights Agreement to seek stockholder approval for the Rights Agreement.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5, 2024, the Company entered into Amendment No. 2 (the “Second Amendment”) to the Rights Agreement. The Second Amendment makes certain technical amendments to the rights and obligations of the Company’s Board of Directors to administer and make determinations with respect to the Rights Agreement and the rights issued thereunder. The Rights Agreement otherwise remains unmodified and in full force and effect in accordance with its terms.</w:t>
      </w:r>
    </w:p>
    <w:p>
      <w:pPr>
        <w:spacing w:after="0" w:line="351" w:lineRule="exact"/>
        <w:rPr>
          <w:sz w:val="20"/>
          <w:szCs w:val="20"/>
          <w:color w:val="auto"/>
        </w:rPr>
      </w:pPr>
    </w:p>
    <w:p>
      <w:pPr>
        <w:ind w:right="8220" w:firstLine="8"/>
        <w:spacing w:after="0" w:line="487" w:lineRule="auto"/>
        <w:tabs>
          <w:tab w:leader="none" w:pos="1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Equity Plans</w:t>
      </w:r>
    </w:p>
    <w:p>
      <w:pPr>
        <w:spacing w:after="0" w:line="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2011, Private Tempest adopted the 2011 Equity Incentive Plan (the “2011 Plan), and in 2017, Private Tempest adopted the 2017 Equity Incentive Plan (the “2017 Plan”), and together with the 2011 Plan, the “Tempest Prior Plans.” The Tempest Prior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Plans have been terminated and no additional grants may be made under either plan. All stock awards granted under the Tempest Prior Plans will remain subject to the terms of the applicable prior plan. As a result of the merger with Millendo, the Tempest Prior Plans were assumed by the Company.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29, 2019, the Board of Millendo adopted the 2019 Equity Incentive Plan (the “2019 Plan”), subject to approval by the Company’s stockholders, and became effective with such stockholder approval on June 11, 2019. On June 17, 2022, the Company’s stockholders approved the Amended and Restated 2019 Equity Incentive Plan (the “A&amp;R 2019 Plan”), which amended and restated the 2019 Plan and was the successor to, and replacement of, the 2019 Plan.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of Tempest adopted the Amended and Restated 2023 Equity Incentive Plan (the “2023 Plan”) on April 30, 2023, subject to approval by the Company’s stockholders. On June 15, 2023, the Company’s stockholders approved the 2023 Plan, which amended and restated the A&amp;R 2019 Plan and will be a successor to, and replacement of, the A&amp;R 2019 Plan. The number of shares of the Company's common stock reserved for issuance under the 2023 Plan will automatically increase on January 1st of each year, for a period of 10 years, from January 1, 2024 continuing through January 1, 2033, by 4% of the total number of shares of the Company's common stock outstanding on December 31st of the preceding calendar year, or a lesser number of shares as may be determined by the Board of Directors. Accordingly, on January 1, 2025, the common stock reserved for issuance was increased by 135,297 shares. As of September 30, 2025, there were 47,745 shares available for future grant under the 2023 Plan.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2023 Plan allows the Company to grant stock awards to employees, directors and consultants of the Company, including incentive stock options (“ISOs”), non-qualified stock options (“NSOs”), stock appreciation rights, restricted stock awards, restricted stock unit awards and other stock awards.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Tempest adopted the 2023 Inducement Plan (“2023 Inducement Plan”) on June 21, 2023, pursuant to which the Company reserved 88,461 shares of its common stock to be used exclusively for grants of awards to individuals who were not previously employees or directors of the Company, as an inducement material to the individual’s entry into employment with the Company within the meaning of Rule 5635(c)(4) of the Nasdaq Listing Rules. The 2023 Inducement Plan was approved by the Company’s Board of Directors without stockholder approval in accordance with such rule. As of September 30, 2025, there were 67,615 shares available for future grant under the 2023 Inducement Plan.</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measures employee and non-employee stock-based awards at grant date fair value and records compensation expense on a straight-line basis over the vesting period of the award.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Ownership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Millendo Board adopted the 2019 Employee Stock Purchase Plan on April 29, 2019, which became effective upon stockholder approval on June 11, 2019. On June 17, 2022, the Company’s stockholders approved the Amended and Restated 2019 Employee Stock Purchase Plan (the “2019 ESPP”). The 2019 ESPP enables employees to purchase shares of the Company's common stock through offerings of rights to purchase the Company's common stock to all eligible employees.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2019 ESPP provides that the number of shares of common stock reserved for issuance under the 2019 ESPP will automatically increase on January 1, 2023 and continuing through (and including) January 1, 2029, by the lesser of 1.5% of the total number of shares of Common Stock outstanding on December 31st of the preceding calendar year, (ii) 38,461 shares of Common Stock, or (iii) such lesser number of shares of Common Stock as determined by the Board of Directors (which may be zero). On January 1, 2025, the common stock reserved for issuance was increased by 38,461 shares.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68,608 shares of common stock remained available for future issuance under the 2019 ESPP. During the three and nine months ended September 30, 2025, 2,306 and 5,955 shares of common stock were issued under the 2019 ESPP, respectively.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Options to purchase the Company’s common stock may be granted at a price not less than the fair market value in the case of both NSOs and ISOs, except for an options holder who owns more than 10% of the voting power of all classes of stock of the Company, in which case the exercise price shall be no less than 110% of the fair market value per share on the grant date. Stock options granted under the Plans generally vest over four years and expire no later than ten (10) years from the date of grant. Vested options can be exercised at any time.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shows the stock option activities for the nine months ended September 30, 2025 and 2024: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gridSpan w:val="4"/>
          </w:tcPr>
          <w:p>
            <w:pPr>
              <w:jc w:val="center"/>
              <w:ind w:left="5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6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0" w:type="dxa"/>
            <w:vAlign w:val="bottom"/>
          </w:tcPr>
          <w:p>
            <w:pPr>
              <w:spacing w:after="0"/>
              <w:rPr>
                <w:sz w:val="1"/>
                <w:szCs w:val="1"/>
                <w:color w:val="auto"/>
              </w:rPr>
            </w:pPr>
          </w:p>
        </w:tc>
      </w:tr>
      <w:tr>
        <w:trPr>
          <w:trHeight w:val="203"/>
        </w:trPr>
        <w:tc>
          <w:tcPr>
            <w:tcW w:w="5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60" w:type="dxa"/>
            <w:vAlign w:val="bottom"/>
            <w:gridSpan w:val="6"/>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3"/>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0" w:type="dxa"/>
            <w:vAlign w:val="bottom"/>
          </w:tcPr>
          <w:p>
            <w:pPr>
              <w:spacing w:after="0"/>
              <w:rPr>
                <w:sz w:val="1"/>
                <w:szCs w:val="1"/>
                <w:color w:val="auto"/>
              </w:rPr>
            </w:pPr>
          </w:p>
        </w:tc>
      </w:tr>
      <w:tr>
        <w:trPr>
          <w:trHeight w:val="215"/>
        </w:trPr>
        <w:tc>
          <w:tcPr>
            <w:tcW w:w="5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451"/>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Balance—December 31, 2024</w:t>
            </w: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99"/>
              </w:rPr>
              <w:t>320,013</w:t>
            </w:r>
          </w:p>
        </w:tc>
        <w:tc>
          <w:tcPr>
            <w:tcW w:w="2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86.06</w:t>
            </w:r>
          </w:p>
        </w:tc>
        <w:tc>
          <w:tcPr>
            <w:tcW w:w="0" w:type="dxa"/>
            <w:vAlign w:val="bottom"/>
          </w:tcPr>
          <w:p>
            <w:pPr>
              <w:spacing w:after="0"/>
              <w:rPr>
                <w:sz w:val="1"/>
                <w:szCs w:val="1"/>
                <w:color w:val="auto"/>
              </w:rPr>
            </w:pPr>
          </w:p>
        </w:tc>
      </w:tr>
      <w:tr>
        <w:trPr>
          <w:trHeight w:val="216"/>
        </w:trPr>
        <w:tc>
          <w:tcPr>
            <w:tcW w:w="5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130,091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11.20</w:t>
            </w: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Cancelled and forfeited</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Balance—September 30, 2025</w:t>
            </w:r>
          </w:p>
        </w:tc>
        <w:tc>
          <w:tcPr>
            <w:tcW w:w="1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450,104</w:t>
            </w:r>
          </w:p>
        </w:tc>
        <w:tc>
          <w:tcPr>
            <w:tcW w:w="2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64.44</w:t>
            </w:r>
          </w:p>
        </w:tc>
        <w:tc>
          <w:tcPr>
            <w:tcW w:w="0" w:type="dxa"/>
            <w:vAlign w:val="bottom"/>
          </w:tcPr>
          <w:p>
            <w:pPr>
              <w:spacing w:after="0"/>
              <w:rPr>
                <w:sz w:val="1"/>
                <w:szCs w:val="1"/>
                <w:color w:val="auto"/>
              </w:rPr>
            </w:pPr>
          </w:p>
        </w:tc>
      </w:tr>
      <w:tr>
        <w:trPr>
          <w:trHeight w:val="413"/>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Balance—December 31, 2023</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273,393</w:t>
            </w:r>
          </w:p>
        </w:tc>
        <w:tc>
          <w:tcPr>
            <w:tcW w:w="2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94.64</w:t>
            </w: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68,282</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51.87</w:t>
            </w:r>
          </w:p>
        </w:tc>
        <w:tc>
          <w:tcPr>
            <w:tcW w:w="0" w:type="dxa"/>
            <w:vAlign w:val="bottom"/>
          </w:tcPr>
          <w:p>
            <w:pPr>
              <w:spacing w:after="0"/>
              <w:rPr>
                <w:sz w:val="1"/>
                <w:szCs w:val="1"/>
                <w:color w:val="auto"/>
              </w:rPr>
            </w:pPr>
          </w:p>
        </w:tc>
      </w:tr>
      <w:tr>
        <w:trPr>
          <w:trHeight w:val="216"/>
        </w:trPr>
        <w:tc>
          <w:tcPr>
            <w:tcW w:w="5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(6,284)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24.83</w:t>
            </w: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Cancelled and forfeited</w:t>
            </w: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(16,028)</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106.99</w:t>
            </w:r>
          </w:p>
        </w:tc>
        <w:tc>
          <w:tcPr>
            <w:tcW w:w="0" w:type="dxa"/>
            <w:vAlign w:val="bottom"/>
          </w:tcPr>
          <w:p>
            <w:pPr>
              <w:spacing w:after="0"/>
              <w:rPr>
                <w:sz w:val="1"/>
                <w:szCs w:val="1"/>
                <w:color w:val="auto"/>
              </w:rPr>
            </w:pPr>
          </w:p>
        </w:tc>
      </w:tr>
      <w:tr>
        <w:trPr>
          <w:trHeight w:val="209"/>
        </w:trPr>
        <w:tc>
          <w:tcPr>
            <w:tcW w:w="57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Balance—September 30, 2024</w:t>
            </w:r>
          </w:p>
        </w:tc>
        <w:tc>
          <w:tcPr>
            <w:tcW w:w="118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400" w:type="dxa"/>
            <w:vAlign w:val="bottom"/>
            <w:tcBorders>
              <w:top w:val="single" w:sz="8" w:color="CFF0FC"/>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319,363</w:t>
            </w:r>
          </w:p>
        </w:tc>
        <w:tc>
          <w:tcPr>
            <w:tcW w:w="24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120" w:type="dxa"/>
            <w:vAlign w:val="bottom"/>
            <w:tcBorders>
              <w:top w:val="single" w:sz="8" w:color="CFF0FC"/>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86.32</w:t>
            </w:r>
          </w:p>
        </w:tc>
        <w:tc>
          <w:tcPr>
            <w:tcW w:w="0" w:type="dxa"/>
            <w:vAlign w:val="bottom"/>
          </w:tcPr>
          <w:p>
            <w:pPr>
              <w:spacing w:after="0"/>
              <w:rPr>
                <w:sz w:val="1"/>
                <w:szCs w:val="1"/>
                <w:color w:val="auto"/>
              </w:rPr>
            </w:pPr>
          </w:p>
        </w:tc>
      </w:tr>
      <w:tr>
        <w:trPr>
          <w:trHeight w:val="20"/>
        </w:trPr>
        <w:tc>
          <w:tcPr>
            <w:tcW w:w="72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w w:val="99"/>
              </w:rPr>
              <w:t>The following table summarizes information about stock options outstanding at September 30, 2025:</w:t>
            </w:r>
          </w:p>
        </w:tc>
        <w:tc>
          <w:tcPr>
            <w:tcW w:w="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80" w:type="dxa"/>
            <w:vAlign w:val="bottom"/>
            <w:gridSpan w:val="4"/>
            <w:vMerge w:val="continue"/>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5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215"/>
        </w:trPr>
        <w:tc>
          <w:tcPr>
            <w:tcW w:w="5760" w:type="dxa"/>
            <w:vAlign w:val="bottom"/>
          </w:tcPr>
          <w:p>
            <w:pPr>
              <w:spacing w:after="0"/>
              <w:rPr>
                <w:sz w:val="18"/>
                <w:szCs w:val="18"/>
                <w:color w:val="auto"/>
              </w:rPr>
            </w:pPr>
          </w:p>
        </w:tc>
        <w:tc>
          <w:tcPr>
            <w:tcW w:w="11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Life (In Years)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Intrinsic Value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w:t>
            </w: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450,104</w:t>
            </w:r>
          </w:p>
        </w:tc>
        <w:tc>
          <w:tcPr>
            <w:tcW w:w="10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7.96</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5"/>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64.44</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450,104</w:t>
            </w:r>
          </w:p>
        </w:tc>
        <w:tc>
          <w:tcPr>
            <w:tcW w:w="10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7.96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64.44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w:t>
            </w: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441,044</w:t>
            </w:r>
          </w:p>
        </w:tc>
        <w:tc>
          <w:tcPr>
            <w:tcW w:w="10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7.95</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5"/>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64.51</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-2356485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-2339340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-1645285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2025 and 2024, the Company granted employees and non-employees stock options to purchase 130,091 and 68,282 shares of common stock, respectively, with a weighted-average grant date fair value of $11.20 and $51.87 per share, respectively. As of September 30, 2025 and 2024, total unrecognized compensation costs related to unvested employee stock options were $450 and $13,648, respectively. These costs are expected to be recognized over a weighted-average period of approximately 1.7 years and 2.9 years, respectively.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estimated the fair value of stock options using the Black-Scholes option pricing valuation model. The fair value of employee and non-employee stock options is being amortized on the straight-line basis over the requisite service period of the awards. The fair value of employee and non-employee stock options was estimated using the following assumptions for the nine months ended September 30, 2025 and 2024:</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6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Pr>
          <w:p>
            <w:pPr>
              <w:spacing w:after="0"/>
              <w:rPr>
                <w:sz w:val="18"/>
                <w:szCs w:val="18"/>
                <w:color w:val="auto"/>
              </w:rPr>
            </w:pPr>
          </w:p>
        </w:tc>
        <w:tc>
          <w:tcPr>
            <w:tcW w:w="15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8"/>
                <w:szCs w:val="18"/>
                <w:color w:val="auto"/>
              </w:rPr>
            </w:pPr>
          </w:p>
        </w:tc>
      </w:tr>
      <w:tr>
        <w:trPr>
          <w:trHeight w:val="213"/>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5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4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5.5 - 6.1</w:t>
            </w:r>
          </w:p>
        </w:tc>
        <w:tc>
          <w:tcPr>
            <w:tcW w:w="220" w:type="dxa"/>
            <w:vAlign w:val="bottom"/>
            <w:shd w:val="clear" w:color="auto" w:fill="CFF0FC"/>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 - 116%</w:t>
            </w:r>
          </w:p>
        </w:tc>
        <w:tc>
          <w:tcPr>
            <w:tcW w:w="3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 - 124%</w:t>
            </w:r>
          </w:p>
        </w:tc>
        <w:tc>
          <w:tcPr>
            <w:tcW w:w="220" w:type="dxa"/>
            <w:vAlign w:val="bottom"/>
          </w:tcPr>
          <w:p>
            <w:pPr>
              <w:spacing w:after="0"/>
              <w:rPr>
                <w:sz w:val="18"/>
                <w:szCs w:val="18"/>
                <w:color w:val="auto"/>
              </w:rPr>
            </w:pPr>
          </w:p>
        </w:tc>
      </w:tr>
      <w:tr>
        <w:trPr>
          <w:trHeight w:val="216"/>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7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4.4%</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 - 4.7%</w:t>
            </w:r>
          </w:p>
        </w:tc>
        <w:tc>
          <w:tcPr>
            <w:tcW w:w="220" w:type="dxa"/>
            <w:vAlign w:val="bottom"/>
            <w:shd w:val="clear" w:color="auto" w:fill="CFF0FC"/>
          </w:tcPr>
          <w:p>
            <w:pPr>
              <w:spacing w:after="0"/>
              <w:rPr>
                <w:sz w:val="18"/>
                <w:szCs w:val="18"/>
                <w:color w:val="auto"/>
              </w:rPr>
            </w:pP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Dividends</w:t>
            </w:r>
          </w:p>
        </w:tc>
        <w:tc>
          <w:tcPr>
            <w:tcW w:w="3840" w:type="dxa"/>
            <w:vAlign w:val="bottom"/>
          </w:tcPr>
          <w:p>
            <w:pPr>
              <w:spacing w:after="0"/>
              <w:rPr>
                <w:sz w:val="20"/>
                <w:szCs w:val="20"/>
                <w:color w:val="auto"/>
              </w:rPr>
            </w:pPr>
          </w:p>
        </w:tc>
        <w:tc>
          <w:tcPr>
            <w:tcW w:w="1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 %</w:t>
            </w:r>
          </w:p>
        </w:tc>
      </w:tr>
      <w:tr>
        <w:trPr>
          <w:trHeight w:val="589"/>
        </w:trPr>
        <w:tc>
          <w:tcPr>
            <w:tcW w:w="3660" w:type="dxa"/>
            <w:vAlign w:val="bottom"/>
          </w:tcPr>
          <w:p>
            <w:pPr>
              <w:spacing w:after="0"/>
              <w:rPr>
                <w:sz w:val="24"/>
                <w:szCs w:val="24"/>
                <w:color w:val="auto"/>
              </w:rPr>
            </w:pPr>
          </w:p>
        </w:tc>
        <w:tc>
          <w:tcPr>
            <w:tcW w:w="3840" w:type="dxa"/>
            <w:vAlign w:val="bottom"/>
          </w:tcPr>
          <w:p>
            <w:pPr>
              <w:jc w:val="right"/>
              <w:ind w:right="1690"/>
              <w:spacing w:after="0"/>
              <w:rPr>
                <w:sz w:val="20"/>
                <w:szCs w:val="20"/>
                <w:color w:val="auto"/>
              </w:rPr>
            </w:pPr>
            <w:r>
              <w:rPr>
                <w:rFonts w:ascii="Times New Roman" w:cs="Times New Roman" w:eastAsia="Times New Roman" w:hAnsi="Times New Roman"/>
                <w:sz w:val="18"/>
                <w:szCs w:val="18"/>
                <w:color w:val="auto"/>
              </w:rPr>
              <w:t>16</w:t>
            </w: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763"/>
        </w:trPr>
        <w:tc>
          <w:tcPr>
            <w:tcW w:w="366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Expected Term</w:t>
      </w:r>
      <w:r>
        <w:rPr>
          <w:rFonts w:ascii="Times New Roman" w:cs="Times New Roman" w:eastAsia="Times New Roman" w:hAnsi="Times New Roman"/>
          <w:sz w:val="18"/>
          <w:szCs w:val="18"/>
          <w:color w:val="auto"/>
        </w:rPr>
        <w:t>—The expected term of options granted represents the period of time that the options are expected to be outstanding. Due to the lack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historical exercise history, the expected term of the Company’s employee stock options has been determined utilizing the simplified method for awards that qualify as plain-vanilla options.</w:t>
      </w:r>
    </w:p>
    <w:p>
      <w:pPr>
        <w:spacing w:after="0" w:line="13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Expected Volatility</w:t>
      </w:r>
      <w:r>
        <w:rPr>
          <w:rFonts w:ascii="Times New Roman" w:cs="Times New Roman" w:eastAsia="Times New Roman" w:hAnsi="Times New Roman"/>
          <w:sz w:val="18"/>
          <w:szCs w:val="18"/>
          <w:color w:val="auto"/>
        </w:rPr>
        <w:t>—The expected stock price volatility assumption was determined by examining the historical volatilities for industry peers,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did not have any trading history for the Company’s common stock. The Company will continue to analyze the historical stock price volatility and expected term assumption as more historical data for the Company’s common stock becomes available.</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Risk-Free Interest Rate</w:t>
      </w:r>
      <w:r>
        <w:rPr>
          <w:rFonts w:ascii="Times New Roman" w:cs="Times New Roman" w:eastAsia="Times New Roman" w:hAnsi="Times New Roman"/>
          <w:sz w:val="18"/>
          <w:szCs w:val="18"/>
          <w:color w:val="auto"/>
        </w:rPr>
        <w:t>—The risk-free interest rate assumption is based on the U.S. Treasury instruments whose term was consistent with the expected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term of the Company’s stock options.</w:t>
      </w:r>
    </w:p>
    <w:p>
      <w:pPr>
        <w:spacing w:after="0" w:line="11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Dividends</w:t>
      </w:r>
      <w:r>
        <w:rPr>
          <w:rFonts w:ascii="Times New Roman" w:cs="Times New Roman" w:eastAsia="Times New Roman" w:hAnsi="Times New Roman"/>
          <w:sz w:val="18"/>
          <w:szCs w:val="18"/>
          <w:color w:val="auto"/>
        </w:rPr>
        <w:t>—The Company has not paid any cash dividends on common stock since inception and does not anticipate paying any dividends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foreseeable future. Consequently, an expected dividend yield of zero was used.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stock-based compensation expense recognized in the Company’s condensed consolidated statement of operations for the three and nine months ended September 30,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12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gridSpan w:val="8"/>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39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120" w:type="dxa"/>
            <w:vAlign w:val="bottom"/>
            <w:tcBorders>
              <w:bottom w:val="single" w:sz="8" w:color="auto"/>
            </w:tcBorders>
            <w:gridSpan w:val="5"/>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6"/>
        </w:trPr>
        <w:tc>
          <w:tcPr>
            <w:tcW w:w="39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r>
      <w:tr>
        <w:trPr>
          <w:trHeight w:val="210"/>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20" w:type="dxa"/>
            <w:vAlign w:val="bottom"/>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shd w:val="clear" w:color="auto" w:fill="CFF0FC"/>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20" w:type="dxa"/>
            <w:vAlign w:val="bottom"/>
            <w:shd w:val="clear" w:color="auto" w:fill="CFF0FC"/>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2,307</w:t>
            </w:r>
          </w:p>
        </w:tc>
      </w:tr>
      <w:tr>
        <w:trPr>
          <w:trHeight w:val="249"/>
        </w:trPr>
        <w:tc>
          <w:tcPr>
            <w:tcW w:w="3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1,334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12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-25400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RETIREMENT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participates in a qualified 401(k) Plan sponsored by its professional service organization. The retirement plan is a defined contribution plan covering eligible employees. Participants may contribute a portion of their annual compensation limited to a maximum annual amount set by the Internal Revenue Service. During the three and nine months ended September 30, 2025, the Company contributed $5 and $120 to the 401(k) Plan, respectively. During the three and nine months ended September 30, 2024, the Company contributed $38 and $132 to the 401(k) Plan,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LOSS PER SHARE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basis in diluted net loss per share for the three and nine months ended September 30, 2025 and 2024 (in thousands, except share and per share amounts):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8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20" w:type="dxa"/>
            <w:vAlign w:val="bottom"/>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3"/>
        </w:trPr>
        <w:tc>
          <w:tcPr>
            <w:tcW w:w="54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CCEEFF"/>
              <w:bottom w:val="single" w:sz="8" w:color="CCEEFF"/>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6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(3,511)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(10,556)</w:t>
            </w:r>
          </w:p>
        </w:tc>
        <w:tc>
          <w:tcPr>
            <w:tcW w:w="140" w:type="dxa"/>
            <w:vAlign w:val="bottom"/>
          </w:tcPr>
          <w:p>
            <w:pPr>
              <w:spacing w:after="0"/>
              <w:rPr>
                <w:sz w:val="18"/>
                <w:szCs w:val="18"/>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(22,241)</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(28,030)</w:t>
            </w: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4,440,111</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1,985,133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3,897,256</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1,810,566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4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Weighted-average shares used in computing basic and diluted net loss per</w:t>
            </w: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4,440,111</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1,985,133</w:t>
            </w:r>
          </w:p>
        </w:tc>
        <w:tc>
          <w:tcPr>
            <w:tcW w:w="100" w:type="dxa"/>
            <w:vAlign w:val="bottom"/>
            <w:shd w:val="clear" w:color="auto" w:fill="CFF0FC"/>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3,897,256</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1,810,566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20" w:type="dxa"/>
            <w:vAlign w:val="bottom"/>
            <w:tcBorders>
              <w:bottom w:val="single" w:sz="8" w:color="CFF0FC"/>
            </w:tcBorders>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share</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542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stockholders—basic and</w:t>
            </w:r>
          </w:p>
        </w:tc>
        <w:tc>
          <w:tcPr>
            <w:tcW w:w="680" w:type="dxa"/>
            <w:vAlign w:val="bottom"/>
            <w:gridSpan w:val="3"/>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(0.79)</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(5.32)</w:t>
            </w:r>
          </w:p>
        </w:tc>
        <w:tc>
          <w:tcPr>
            <w:tcW w:w="140" w:type="dxa"/>
            <w:vAlign w:val="bottom"/>
          </w:tcPr>
          <w:p>
            <w:pPr>
              <w:spacing w:after="0"/>
              <w:rPr>
                <w:sz w:val="15"/>
                <w:szCs w:val="15"/>
                <w:color w:val="auto"/>
              </w:rPr>
            </w:pPr>
          </w:p>
        </w:tc>
        <w:tc>
          <w:tcPr>
            <w:tcW w:w="240" w:type="dxa"/>
            <w:vAlign w:val="bottom"/>
            <w:vMerge w:val="restart"/>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(5.71)</w:t>
            </w:r>
          </w:p>
        </w:tc>
        <w:tc>
          <w:tcPr>
            <w:tcW w:w="24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(15.48)</w:t>
            </w:r>
          </w:p>
        </w:tc>
        <w:tc>
          <w:tcPr>
            <w:tcW w:w="0" w:type="dxa"/>
            <w:vAlign w:val="bottom"/>
          </w:tcPr>
          <w:p>
            <w:pPr>
              <w:spacing w:after="0"/>
              <w:rPr>
                <w:sz w:val="1"/>
                <w:szCs w:val="1"/>
                <w:color w:val="auto"/>
              </w:rPr>
            </w:pPr>
          </w:p>
        </w:tc>
      </w:tr>
      <w:tr>
        <w:trPr>
          <w:trHeight w:val="198"/>
        </w:trPr>
        <w:tc>
          <w:tcPr>
            <w:tcW w:w="54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diluted</w:t>
            </w:r>
          </w:p>
        </w:tc>
        <w:tc>
          <w:tcPr>
            <w:tcW w:w="680" w:type="dxa"/>
            <w:vAlign w:val="bottom"/>
            <w:gridSpan w:val="3"/>
            <w:vMerge w:val="continue"/>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4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420" w:type="dxa"/>
            <w:vAlign w:val="bottom"/>
          </w:tcPr>
          <w:p>
            <w:pPr>
              <w:spacing w:after="0"/>
              <w:rPr>
                <w:sz w:val="24"/>
                <w:szCs w:val="24"/>
                <w:color w:val="auto"/>
              </w:rPr>
            </w:pPr>
          </w:p>
        </w:tc>
        <w:tc>
          <w:tcPr>
            <w:tcW w:w="4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-1190625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-1173480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-1190625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-1173480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-1190625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-1173480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-1173480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2025 and 2024, the Company’s potentially dilutive securities included unvested stock warrants and stock options, which have been excluded from the computation of diluted net loss per share attributable to common stockholders as the effect would be anti-dilutive. The issuance of pre-funded warrants and vested RSUs have been included in the computation of basic and diluted net loss per share attributable to common stockholders. Based on the amounts outstanding as of September 30, 2025 and 2024, the Company excluded the following potential common shares from the computation of diluted net loss per share attributable to common stockholders because including them would have had an anti-dilutive effect:</w:t>
      </w:r>
    </w:p>
    <w:p>
      <w:pPr>
        <w:spacing w:after="0" w:line="179"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8"/>
          <w:szCs w:val="18"/>
          <w:b w:val="1"/>
          <w:bCs w:val="1"/>
          <w:color w:val="auto"/>
        </w:rPr>
        <w:t>As of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60" w:type="dxa"/>
            <w:vAlign w:val="bottom"/>
            <w:tcBorders>
              <w:bottom w:val="single" w:sz="8" w:color="CCEEFF"/>
            </w:tcBorders>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209"/>
        </w:trPr>
        <w:tc>
          <w:tcPr>
            <w:tcW w:w="86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450,104</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319,363</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4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8"/>
                <w:szCs w:val="18"/>
                <w:color w:val="auto"/>
              </w:rPr>
            </w:pPr>
          </w:p>
        </w:tc>
      </w:tr>
      <w:tr>
        <w:trPr>
          <w:trHeight w:val="249"/>
        </w:trPr>
        <w:tc>
          <w:tcPr>
            <w:tcW w:w="77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450,568</w:t>
            </w:r>
          </w:p>
        </w:tc>
        <w:tc>
          <w:tcPr>
            <w:tcW w:w="24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319,827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operates and manages its business as one reportable and operating segment, which is the business of discovery and development of small molecule drugs to treat cancers. The Company’s chief operating decision maker (“CODM”) is its Chief Executive Officer. The determination of a single business segment is consistent with the consolidated financial information regularly reviewed by the CODM for purposes of assessing performance, allocating resources and planning and forecasting future periods.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the Company has not generated revenue, the CODM assesses Company performance through the achievement of research goals towards advancing the Company’s product candidates through stages of development. As such, the CODM is regularly provided with budgeted and forecasted expense information as well as the Company’s Consolidated Financial Statements which is used to determine the Company’s liquidity needs and pipeline resource allocation.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CODM regularly reviews and evaluates research and development expenses and uses consolidated net loss, as reported on the Company’s Consolidated Statements of Operations, to assess the performance of the segment and to allocate resources. The consolidated net loss and significant segment expenses reviewed by the CODM are reported on the Company’s Consolidated Statements of Operations for the three and nine months ended September 30, 2025 and 2024. The measure of segment assets is reported on the Consolidated Balance Sheet as total assets. The CODM monitors the Company's cash and cash equivalents as reported on the Consolidated Balance Sheets.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financial information required for segment reporting that is provided to the chief operating decision maker is contained within the financial statements and notes to financial statements.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2025, our Compensation Committee approved a modification to equity awards held by the Company's former employees to extend the post-termination exercise period. The Company estimates that it will incur approximately $0.4 million of non-cash stock-based compensation expense as a result of the modification.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financial condition and results of operations in conjunction with our unaudited condensed financial statements and the notes thereto included elsewhere in this Quarterly Report on Form 10-Q, and our audited consolidated financial statements and related notes for the year ended December 31, 2024, filed with the U.S. Securities and Exchange Commission ("SEC") on March 27, 2025. This discussion and other parts of this report contains forward-looking statements that involve risks and uncertainties, such as our plans, objectives, expectations, intentions, and beliefs, as well as assumptions made by, and information currently available to, our management. Our actual results could differ materially from those discussed in these forward-looking statements. Factors that could cause or contribute to such differences include, but are not limited to, those discussed in the section of this report entitled “Risk Factors,” under Part II, Item 1A of this report and those discussed in our other disclosures and filings with the SEC.</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clinical-stage biotechnology company with a diverse portfolio of targeted and immune-mediated product candidates with the potential to be first-in-class to treat a wide range of cancers. Our novel programs range from early research to the lead program, amezalpat (previously known as TPST-1120), that, subject to the need for additional resources, is ready to begin a pivotal Phase 3 study in first-line hepatocellular carcinoma (“HCC”). In addition to amezalpat, our second clinical-stage therapeutic product candidate is TPST-1495, which we expect to start a Phase 2 study in Familial Adenomatous Polyposis (“FAP”) late this year, subject to potential delays resulting from the ongoing U.S. government shutdown. We believe both amezalpat and TPST-1495 are the first clinical-stage molecules designed to inhibit their respective targets.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market conditions, in April 2025, we announced plans to explore a full range of strategic alternatives to advance our promising programs. If a strategic alternative is not available to us, we will be required to take additional actions to fund the Company’s operations or we may be forced to wind down our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Amezalpat (TPST-1120)</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Amezalpat is an oral, small molecule, selective antagonist of peroxisome proliferator-activated receptor alpha (“PPARα”) being developed for the treatment of first-line unresectable or metastatic HCC.</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2024, we unveiled positive survival data from the ongoing global randomized Phase 1b/2 clinical study demonstrating that amezalpat delivered a six-month improvement in median overall survival (“OS”) with a hazard ratio (“HR”) of 0.65 when combined with atezolizumab and bevacizumab in comparison to atezolizumab and bevacizumab alone, the standard of care, in the first-line treatment of patients with unresectable or metastatic HCC. Additionally, the survival benefit was preserved across key subpopulations, including patients with PD-L1 negative disease and β-catenin mutated disease, consistent with amezalpat’s proposed mechanism of action targeting both tumor cells directly and the patient’s immune system.</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2024, we announced the successful completion of our end-of-Phase 2 meeting with the U.S. Food and Drug Administration (“FDA”) regarding the development of amezalpat for the treatment of first-line unresectable or metastatic HCC. The FDA provided positive feedback on the pivotal Phase 3 clinical trial design, which closely mirrors the positive randomized Phase 2 study. The planned Phase 3 trial is designed to use the current, Phase 2 amezalpat dose and schedule in combination with atezolizumab and bevacizumab and will be compared to atezolizumab and bevacizumab alone, the standard of care. The primary endpoint of the trial will be OS. Additionally, the FDA agreed to a pre-specified early efficacy analysis, which, if met, would potentially reduce the time to primary read-out by up to eight months.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we received a “Study May Proceed” letter from the FDA, authorizing the initiation of our pivotal Phase 3 trial, and in June 2025, we received the equivalent “Clearance to Proceed” letter from the National Medical Products Administration (“NMPA”) in China. In January 2025, the FDA granted Orphan Drug Designation (“ODD”) for amezalpat for the treatment of patients with HCC. In February 2025, the FDA granted Fast Track Designation (“FTD”), underscoring the agency’s recognition of the urgent need for new treatment options for HCC. In addition to receiving ODD from the FDA, in June 2025, the European Medical Agency (“EMA”) also granted ODD for the treatment of patients with HCC. These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designations provide potential regulatory benefits, including increased engagement with the FDA, eligibility for accelerated approval and priority review, and, for ODD, potential market exclusivity upon approval.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TPST-1495</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second clinical program, TPST-1495, is a novel, small-molecule dual antagonist of the EP2 and EP4 receptors of prostaglandin E2 (“PGE2”), a pathway implicated in multiple cancers. Our development strategy for TPST-1495 includes evaluation in FAP, a rare genetic disorder that significantly increases the risk of gastrointestinal cancers and for which there are no approved systemic therapies. Given that prostaglandin signaling is also implicated in FAP and based on positive preclinical data in a relevant mouse model, we believe there is strong mechanistic support for this approach.</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2025, the Cancer Prevention Clinical Trials Network (“CP-CTNet”) received a “Study May Proceed” letter from the FDA, authorizing the initiation of a National Cancer Institute (“NCI”)-funded Phase 2 clinical trial evaluating TPST-1495 in patients with FAP. This trial, run by CP-CTNet and financially supported by the NCI’s Division of Cancer Prevention, underscores the urgent need for innovative cancer prevention strategies in high-risk patient populations. In April 2025, the FDA granted ODD for TPST-1495 for the treatment of patients with FAP. The Phase 2 study is expected to begin in late 2025, subject to potential delays resulting from the ongoing U.S. government shutdown.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Future Milestones</w:t>
      </w:r>
    </w:p>
    <w:p>
      <w:pPr>
        <w:spacing w:after="0" w:line="229" w:lineRule="exact"/>
        <w:rPr>
          <w:sz w:val="20"/>
          <w:szCs w:val="20"/>
          <w:color w:val="auto"/>
        </w:rPr>
      </w:pPr>
    </w:p>
    <w:p>
      <w:pPr>
        <w:ind w:left="1000" w:hanging="483"/>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Explore strategic and business development opportunities to maximize the potential of our pipeline and extend financial resources.</w:t>
      </w:r>
    </w:p>
    <w:p>
      <w:pPr>
        <w:spacing w:after="0" w:line="225" w:lineRule="exact"/>
        <w:rPr>
          <w:rFonts w:ascii="Times New Roman" w:cs="Times New Roman" w:eastAsia="Times New Roman" w:hAnsi="Times New Roman"/>
          <w:sz w:val="18"/>
          <w:szCs w:val="18"/>
          <w:color w:val="auto"/>
        </w:rPr>
      </w:pPr>
    </w:p>
    <w:p>
      <w:pPr>
        <w:jc w:val="both"/>
        <w:ind w:left="1000" w:right="500" w:hanging="483"/>
        <w:spacing w:after="0" w:line="258"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need for additional financial resources, advance amezalpat into a pivotal Phase 3 study in first-line HCC patients where amezalpat will be studied in a combination treatment and compared to a standard-of-care therapy. We believe the continued positive results from the ongoing randomized Phase 1b/2 study provides strategic opportunities for us, and we received positive feedback from the FDA and European Medicines Agency (“EMA”) on the pivotal Phase 3 clinical trial design. The program may also warrant further development in RCC and CCA based on the Phase 1 data presented at ASCO 2022.</w:t>
      </w:r>
    </w:p>
    <w:p>
      <w:pPr>
        <w:spacing w:after="0" w:line="183" w:lineRule="exact"/>
        <w:rPr>
          <w:rFonts w:ascii="Times New Roman" w:cs="Times New Roman" w:eastAsia="Times New Roman" w:hAnsi="Times New Roman"/>
          <w:sz w:val="18"/>
          <w:szCs w:val="18"/>
          <w:color w:val="auto"/>
        </w:rPr>
      </w:pPr>
    </w:p>
    <w:p>
      <w:pPr>
        <w:ind w:left="1000" w:right="520" w:hanging="483"/>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Explore TPST-1495 in a Phase 2 study in patients with FAP with the CP-CTNet, which is expected to begin in late 2025, subject to potential delays resulting from the ongoing U.S. government shutdown.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 and Ongoing Strategic Review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2025, we had cash and cash equivalents totaling $7.5 million compared to $30.3 million as of December 31, 2024. We have incurred operating losses since inception and our accumulated deficit as of September 30, 2025 is $229.3 million. We expect that our existing cash and cash equivalents will fund our projected operating expense requirements through less than 12 months from the date our consolidated financial statements were available to be issued. Accordingly, there is substantial doubt regarding our ability to continue as a going concern for a period of 12 months from the date of the issuance of the unaudited condensed financial statements included elsewhere in this Quarterly Report on Form 10-Q.</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2025, we announced plans to explore a full range of strategic alternatives to advance its promising clinical stage programs and maximize stockholder value. Strategic alternatives under consideration may include, but are not limited to, mergers, acquisitions, partnerships, joint ventures, licensing arrangements or other strategic transactions. We have retained MTS Health Partners, L.P., an internationally recognized financial advisor with substantial experience in the biotechnology industry, to support us with the strategic evaluation process. We have not set a timetable for completion of the process for evaluating strategic alternatives and do not intend to disclose further developments or guidance on the status of our programs or the process for evaluating strategic alternatives unless and until it is determined that further disclosure is appropriate or necessary. If a strategic alternative is not available to us, we will be required to take additional actions to fund the Company’s operations or we may be forced to wind down our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as part of the plan to extend our capital resources, we reduced our workforce by 21 of 26 full-time employees, which became effective April 30, 2025 (“RIF”). Key employees within this group transitioned to consulting agreements and have continued to be available to us. Further, in support of such efforts, on June 5, 2025, each of Stephen Brady, the Company’s Chief Executive Officer and President, Samuel Whiting, the Company’s Executive Vice President and Chief Medical Officer, and Nicholas Maestas, the Company’s Chief Financial Officer and Corporate Secretary, transitioned to consulting agreements with the Company, pursuant to which they will continue to serve the Company in their respective executive roles.</w:t>
      </w:r>
    </w:p>
    <w:p>
      <w:pPr>
        <w:spacing w:after="0" w:line="18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above conditions raise substantial doubt regarding our ability to continue as a going concern for a period of 12 months from the date of the issuance of the unaudited condensed financial statements included elsewhere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8, 2025, we effected a one-for-thirteen (1:13) reverse stock split (the “Reverse Stock Split”). Pursuant to their terms, a proportionate adjustment was made to the per share exercise price and number of shares issuable under all of the Company’s outstanding options and warrants, and the number of shares authorized for issuance pursuant to the Company’s equity incentive plans have been reduced proportionately. The Reverse Stock Split did not reduce the number of authorized shares of common stock and did not alter the par value.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share and per share amounts of common stock presented in this Quarterly Report on Form 10-Q have been retroactively adjusted to reflect the Reverse Stock Split. Refer to Note 1 of our unaudited condensed financial statements and the notes thereto included elsewhere in this Quarterly Report on Form 10-Q for further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represent costs incurred to conduct research and development, such as the development of our product candidates.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 all research and development costs as they are incurred. Research and development expenses consist primarily of the following:</w:t>
      </w:r>
    </w:p>
    <w:p>
      <w:pPr>
        <w:spacing w:after="0" w:line="225" w:lineRule="exact"/>
        <w:rPr>
          <w:sz w:val="20"/>
          <w:szCs w:val="20"/>
          <w:color w:val="auto"/>
        </w:rPr>
      </w:pPr>
    </w:p>
    <w:p>
      <w:pPr>
        <w:ind w:left="1000" w:hanging="483"/>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benefits and stock-based compensation;</w:t>
      </w:r>
    </w:p>
    <w:p>
      <w:pPr>
        <w:spacing w:after="0" w:line="225" w:lineRule="exact"/>
        <w:rPr>
          <w:rFonts w:ascii="Times New Roman" w:cs="Times New Roman" w:eastAsia="Times New Roman" w:hAnsi="Times New Roman"/>
          <w:sz w:val="18"/>
          <w:szCs w:val="18"/>
          <w:color w:val="auto"/>
        </w:rPr>
      </w:pPr>
    </w:p>
    <w:p>
      <w:pPr>
        <w:ind w:left="1000" w:hanging="483"/>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costs;</w:t>
      </w:r>
    </w:p>
    <w:p>
      <w:pPr>
        <w:spacing w:after="0" w:line="225" w:lineRule="exact"/>
        <w:rPr>
          <w:rFonts w:ascii="Times New Roman" w:cs="Times New Roman" w:eastAsia="Times New Roman" w:hAnsi="Times New Roman"/>
          <w:sz w:val="18"/>
          <w:szCs w:val="18"/>
          <w:color w:val="auto"/>
        </w:rPr>
      </w:pPr>
    </w:p>
    <w:p>
      <w:pPr>
        <w:ind w:left="1000" w:hanging="483"/>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occupancy;</w:t>
      </w:r>
    </w:p>
    <w:p>
      <w:pPr>
        <w:spacing w:after="0" w:line="225" w:lineRule="exact"/>
        <w:rPr>
          <w:rFonts w:ascii="Times New Roman" w:cs="Times New Roman" w:eastAsia="Times New Roman" w:hAnsi="Times New Roman"/>
          <w:sz w:val="18"/>
          <w:szCs w:val="18"/>
          <w:color w:val="auto"/>
        </w:rPr>
      </w:pPr>
    </w:p>
    <w:p>
      <w:pPr>
        <w:ind w:left="1000" w:hanging="483"/>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materials and supplies;</w:t>
      </w:r>
    </w:p>
    <w:p>
      <w:pPr>
        <w:spacing w:after="0" w:line="225" w:lineRule="exact"/>
        <w:rPr>
          <w:rFonts w:ascii="Times New Roman" w:cs="Times New Roman" w:eastAsia="Times New Roman" w:hAnsi="Times New Roman"/>
          <w:sz w:val="18"/>
          <w:szCs w:val="18"/>
          <w:color w:val="auto"/>
        </w:rPr>
      </w:pPr>
    </w:p>
    <w:p>
      <w:pPr>
        <w:ind w:left="1000" w:hanging="483"/>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contracted research and manufacturing;</w:t>
      </w:r>
    </w:p>
    <w:p>
      <w:pPr>
        <w:spacing w:after="0" w:line="225" w:lineRule="exact"/>
        <w:rPr>
          <w:rFonts w:ascii="Times New Roman" w:cs="Times New Roman" w:eastAsia="Times New Roman" w:hAnsi="Times New Roman"/>
          <w:sz w:val="18"/>
          <w:szCs w:val="18"/>
          <w:color w:val="auto"/>
        </w:rPr>
      </w:pPr>
    </w:p>
    <w:p>
      <w:pPr>
        <w:ind w:left="1000" w:hanging="483"/>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arrangements; and</w:t>
      </w:r>
    </w:p>
    <w:p>
      <w:pPr>
        <w:spacing w:after="0" w:line="225" w:lineRule="exact"/>
        <w:rPr>
          <w:rFonts w:ascii="Times New Roman" w:cs="Times New Roman" w:eastAsia="Times New Roman" w:hAnsi="Times New Roman"/>
          <w:sz w:val="18"/>
          <w:szCs w:val="18"/>
          <w:color w:val="auto"/>
        </w:rPr>
      </w:pPr>
    </w:p>
    <w:p>
      <w:pPr>
        <w:ind w:left="1000" w:hanging="483"/>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incurred to advance our research and development activities.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largest component of our operating expenses has historically been the investment in research and development activities. Historically, our research and development expenses were primarily driven by our amezalpat program, which has been paused while we complete our ongoing strategic review. As a result of the ongoing strategic review and the RIF, we expect research and development expenses will decrease period over period. If we resume our research and development efforts, we expect research and development expenses will increase in the future, which will require a significant investment in costs of clinical trials, regulatory support and contract manufacturing and inventory build-up.</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process of conducting clinical trials necessary to obtain regulatory approval is costly and time consuming. We may never succeed in timely developing and achieving regulatory approval for our product candidates. The probability of success of our product candidates may be affected by numerous factors, including availability of capital, clinical data, competition, manufacturing capability and commercial viability. As a result, we are unable to determine the duration and completion costs of our development projects or when and to what extent we will generate revenue from the commercialization and sale of any of our product candidates.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of employee-related expenses, including salaries, benefits, travel and non-cash stock-based compensation, for our personnel in executive, finance and accounting, and other administrative functions, as well as fees paid for legal, accounting and tax services, consulting fees and facilities costs not otherwise included in research and development expenses. Legal costs include general corporate legal fees and patent costs. We expect to continue to incur expenses as a result of being a public company, including expenses related to compliance with the rules and regulations of the SEC and Nasdaq, additional insurance, investor relations and other administrative expenses and professional services. As a result of the ongoing strategic review and the RIF, we expect general and administrative expenses will decrease period over period.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consists primarily of interest expense, interest income, and various other income or expense items of a non-recurring nature.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2025 and 2024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operating results for the three months ended September 30,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255"/>
        </w:trPr>
        <w:tc>
          <w:tcPr>
            <w:tcW w:w="5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0" w:type="dxa"/>
            <w:vAlign w:val="bottom"/>
            <w:gridSpan w:val="5"/>
          </w:tcPr>
          <w:p>
            <w:pPr>
              <w:jc w:val="right"/>
              <w:ind w:right="8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2"/>
                <w:szCs w:val="22"/>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185"/>
        </w:trPr>
        <w:tc>
          <w:tcPr>
            <w:tcW w:w="5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jc w:val="right"/>
              <w:ind w:right="10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1080" w:type="dxa"/>
            <w:vAlign w:val="bottom"/>
            <w:vMerge w:val="restart"/>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200" w:type="dxa"/>
            <w:vAlign w:val="bottom"/>
            <w:vMerge w:val="restart"/>
          </w:tcPr>
          <w:p>
            <w:pPr>
              <w:spacing w:after="0"/>
              <w:rPr>
                <w:sz w:val="16"/>
                <w:szCs w:val="16"/>
                <w:color w:val="auto"/>
              </w:rPr>
            </w:pPr>
          </w:p>
        </w:tc>
        <w:tc>
          <w:tcPr>
            <w:tcW w:w="1240" w:type="dxa"/>
            <w:vAlign w:val="bottom"/>
            <w:vMerge w:val="restart"/>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24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(in thousands,</w:t>
            </w:r>
          </w:p>
        </w:tc>
        <w:tc>
          <w:tcPr>
            <w:tcW w:w="1440" w:type="dxa"/>
            <w:vAlign w:val="bottom"/>
            <w:gridSpan w:val="3"/>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w w:val="97"/>
              </w:rPr>
              <w:t>except percentages)</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7,557</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(6,987)</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5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(3,597)</w:t>
            </w:r>
          </w:p>
        </w:tc>
        <w:tc>
          <w:tcPr>
            <w:tcW w:w="120" w:type="dxa"/>
            <w:vAlign w:val="bottom"/>
          </w:tcPr>
          <w:p>
            <w:pPr>
              <w:spacing w:after="0"/>
              <w:rPr>
                <w:sz w:val="18"/>
                <w:szCs w:val="18"/>
                <w:color w:val="auto"/>
              </w:rPr>
            </w:pPr>
          </w:p>
        </w:tc>
        <w:tc>
          <w:tcPr>
            <w:tcW w:w="132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(10,551)</w:t>
            </w: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(6,954)</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(329)</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(238)</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55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&gt;100%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5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(3,511)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(10,556)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(7,045)</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-1010920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-1010920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-1010920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-1010920</wp:posOffset>
            </wp:positionV>
            <wp:extent cx="15430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-453390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-453390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-453390</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-453390</wp:posOffset>
            </wp:positionV>
            <wp:extent cx="15430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-170815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-170815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-170815</wp:posOffset>
            </wp:positionV>
            <wp:extent cx="15430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for the three months ended September 30, 2025 and 2024 were primarily incurred in connection with our most advanced product candidate, amezalpat.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our research and development expenses by program for the three months ended September 30,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48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Increase/</w:t>
            </w:r>
          </w:p>
        </w:tc>
        <w:tc>
          <w:tcPr>
            <w:tcW w:w="0" w:type="dxa"/>
            <w:vAlign w:val="bottom"/>
          </w:tcPr>
          <w:p>
            <w:pPr>
              <w:spacing w:after="0"/>
              <w:rPr>
                <w:sz w:val="1"/>
                <w:szCs w:val="1"/>
                <w:color w:val="auto"/>
              </w:rPr>
            </w:pPr>
          </w:p>
        </w:tc>
      </w:tr>
      <w:tr>
        <w:trPr>
          <w:trHeight w:val="255"/>
        </w:trPr>
        <w:tc>
          <w:tcPr>
            <w:tcW w:w="5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180" w:type="dxa"/>
            <w:vAlign w:val="bottom"/>
            <w:gridSpan w:val="5"/>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48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restart"/>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200" w:type="dxa"/>
            <w:vAlign w:val="bottom"/>
            <w:vMerge w:val="restart"/>
          </w:tcPr>
          <w:p>
            <w:pPr>
              <w:spacing w:after="0"/>
              <w:rPr>
                <w:sz w:val="16"/>
                <w:szCs w:val="16"/>
                <w:color w:val="auto"/>
              </w:rPr>
            </w:pPr>
          </w:p>
        </w:tc>
        <w:tc>
          <w:tcPr>
            <w:tcW w:w="1260" w:type="dxa"/>
            <w:vAlign w:val="bottom"/>
            <w:vMerge w:val="restart"/>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2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40" w:type="dxa"/>
            <w:vAlign w:val="bottom"/>
            <w:gridSpan w:val="4"/>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w w:val="97"/>
              </w:rPr>
              <w:t>except percentages)</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Amezalpat</w:t>
            </w:r>
          </w:p>
        </w:tc>
        <w:tc>
          <w:tcPr>
            <w:tcW w:w="800" w:type="dxa"/>
            <w:vAlign w:val="bottom"/>
            <w:shd w:val="clear" w:color="auto" w:fill="CFF0FC"/>
          </w:tcPr>
          <w:p>
            <w:pPr>
              <w:jc w:val="right"/>
              <w:ind w:right="640"/>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57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w w:val="98"/>
              </w:rPr>
              <w:t>3,943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(3,784)</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TPST-1495</w:t>
            </w:r>
          </w:p>
        </w:tc>
        <w:tc>
          <w:tcPr>
            <w:tcW w:w="800" w:type="dxa"/>
            <w:vAlign w:val="bottom"/>
          </w:tcPr>
          <w:p>
            <w:pPr>
              <w:spacing w:after="0"/>
              <w:rPr>
                <w:sz w:val="18"/>
                <w:szCs w:val="18"/>
                <w:color w:val="auto"/>
              </w:rPr>
            </w:pPr>
          </w:p>
        </w:tc>
        <w:tc>
          <w:tcPr>
            <w:tcW w:w="6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5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663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(663)</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Preclinical and other</w:t>
            </w:r>
          </w:p>
        </w:tc>
        <w:tc>
          <w:tcPr>
            <w:tcW w:w="80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578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(419)</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53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candidate specific research costs</w:t>
            </w:r>
          </w:p>
        </w:tc>
        <w:tc>
          <w:tcPr>
            <w:tcW w:w="8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w w:val="98"/>
              </w:rPr>
              <w:t>5,184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(4,866)</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and other costs</w:t>
            </w: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98"/>
              </w:rPr>
              <w:t>1,725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(1,523)</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and depreciation</w:t>
            </w:r>
          </w:p>
        </w:tc>
        <w:tc>
          <w:tcPr>
            <w:tcW w:w="8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648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(598)</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50"/>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640"/>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7,557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(6,987)</w:t>
            </w:r>
          </w:p>
        </w:tc>
        <w:tc>
          <w:tcPr>
            <w:tcW w:w="20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-590550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-590550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-590550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-590550</wp:posOffset>
            </wp:positionV>
            <wp:extent cx="14541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14541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1454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by $7.0 million to $0.6 million for the three months ended September 30, 2025, compared to three months ended September 30, 2024, which was primarily attributable to a decrease in costs incurred as a result of re-prioritizing efforts towards exploring strategic alternatives initiated in April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three months ended September 30,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Increase/</w:t>
            </w:r>
          </w:p>
        </w:tc>
        <w:tc>
          <w:tcPr>
            <w:tcW w:w="0" w:type="dxa"/>
            <w:vAlign w:val="bottom"/>
          </w:tcPr>
          <w:p>
            <w:pPr>
              <w:spacing w:after="0"/>
              <w:rPr>
                <w:sz w:val="1"/>
                <w:szCs w:val="1"/>
                <w:color w:val="auto"/>
              </w:rPr>
            </w:pPr>
          </w:p>
        </w:tc>
      </w:tr>
      <w:tr>
        <w:trPr>
          <w:trHeight w:val="255"/>
        </w:trPr>
        <w:tc>
          <w:tcPr>
            <w:tcW w:w="5520" w:type="dxa"/>
            <w:vAlign w:val="bottom"/>
          </w:tcPr>
          <w:p>
            <w:pPr>
              <w:spacing w:after="0"/>
              <w:rPr>
                <w:sz w:val="22"/>
                <w:szCs w:val="22"/>
                <w:color w:val="auto"/>
              </w:rPr>
            </w:pPr>
          </w:p>
        </w:tc>
        <w:tc>
          <w:tcPr>
            <w:tcW w:w="2180" w:type="dxa"/>
            <w:vAlign w:val="bottom"/>
            <w:gridSpan w:val="5"/>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185"/>
        </w:trPr>
        <w:tc>
          <w:tcPr>
            <w:tcW w:w="55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restart"/>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200" w:type="dxa"/>
            <w:vAlign w:val="bottom"/>
            <w:vMerge w:val="restart"/>
          </w:tcPr>
          <w:p>
            <w:pPr>
              <w:spacing w:after="0"/>
              <w:rPr>
                <w:sz w:val="16"/>
                <w:szCs w:val="16"/>
                <w:color w:val="auto"/>
              </w:rPr>
            </w:pPr>
          </w:p>
        </w:tc>
        <w:tc>
          <w:tcPr>
            <w:tcW w:w="126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2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40" w:type="dxa"/>
            <w:vAlign w:val="bottom"/>
            <w:gridSpan w:val="4"/>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w w:val="97"/>
              </w:rPr>
              <w:t>except percentages)</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outside services</w:t>
            </w:r>
          </w:p>
        </w:tc>
        <w:tc>
          <w:tcPr>
            <w:tcW w:w="800" w:type="dxa"/>
            <w:vAlign w:val="bottom"/>
            <w:shd w:val="clear" w:color="auto" w:fill="CFF0FC"/>
          </w:tcPr>
          <w:p>
            <w:pPr>
              <w:jc w:val="right"/>
              <w:ind w:right="640"/>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57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w w:val="98"/>
              </w:rPr>
              <w:t>4,514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(4,209)</w:t>
            </w: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expense</w:t>
            </w:r>
          </w:p>
        </w:tc>
        <w:tc>
          <w:tcPr>
            <w:tcW w:w="8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w w:val="98"/>
              </w:rPr>
              <w:t>1,229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(1,192)</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559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(550)</w:t>
            </w: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Consulting and professional services</w:t>
            </w:r>
          </w:p>
        </w:tc>
        <w:tc>
          <w:tcPr>
            <w:tcW w:w="8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653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(650)</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602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(386)</w:t>
            </w: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55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800" w:type="dxa"/>
            <w:vAlign w:val="bottom"/>
          </w:tcPr>
          <w:p>
            <w:pPr>
              <w:jc w:val="right"/>
              <w:ind w:right="640"/>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57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w w:val="98"/>
              </w:rPr>
              <w:t>7,557</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(6,987)</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-170815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-170815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-170815</wp:posOffset>
            </wp:positionV>
            <wp:extent cx="14541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$3.0 million for each of the three months ended September 30, 2025 and 2024, and were primarily related to consulting and professional services.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2025, no interest expense was incurred related to the loan with Oxford Finance LLC (“Oxford,” and such loan the “Oxford Loan”), compared to $329 thousand for the three months ended September 30, 2024. For the three months ended September 30, 2025 and 2024, interest income was $86 thousand and $324 thousand, respectively. The Oxford Loan was repaid in full and terminated in accordance with its terms in April 2025.</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2025 and 2024</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3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 summarizes our operating results for the nine months ended September 30, 2025 and 2024:</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Increase/</w:t>
            </w:r>
          </w:p>
        </w:tc>
        <w:tc>
          <w:tcPr>
            <w:tcW w:w="0" w:type="dxa"/>
            <w:vAlign w:val="bottom"/>
          </w:tcPr>
          <w:p>
            <w:pPr>
              <w:spacing w:after="0"/>
              <w:rPr>
                <w:sz w:val="1"/>
                <w:szCs w:val="1"/>
                <w:color w:val="auto"/>
              </w:rPr>
            </w:pPr>
          </w:p>
        </w:tc>
      </w:tr>
      <w:tr>
        <w:trPr>
          <w:trHeight w:val="255"/>
        </w:trPr>
        <w:tc>
          <w:tcPr>
            <w:tcW w:w="5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0" w:type="dxa"/>
            <w:vAlign w:val="bottom"/>
            <w:gridSpan w:val="5"/>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22"/>
                <w:szCs w:val="22"/>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jc w:val="right"/>
              <w:ind w:right="10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1080" w:type="dxa"/>
            <w:vAlign w:val="bottom"/>
            <w:vMerge w:val="restart"/>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200" w:type="dxa"/>
            <w:vAlign w:val="bottom"/>
            <w:vMerge w:val="restart"/>
          </w:tcPr>
          <w:p>
            <w:pPr>
              <w:spacing w:after="0"/>
              <w:rPr>
                <w:sz w:val="16"/>
                <w:szCs w:val="16"/>
                <w:color w:val="auto"/>
              </w:rPr>
            </w:pPr>
          </w:p>
        </w:tc>
        <w:tc>
          <w:tcPr>
            <w:tcW w:w="126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2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40" w:type="dxa"/>
            <w:vAlign w:val="bottom"/>
            <w:gridSpan w:val="3"/>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w w:val="97"/>
              </w:rPr>
              <w:t>except percentages)</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12,067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79"/>
              <w:spacing w:after="0"/>
              <w:rPr>
                <w:sz w:val="20"/>
                <w:szCs w:val="20"/>
                <w:color w:val="auto"/>
              </w:rPr>
            </w:pPr>
            <w:r>
              <w:rPr>
                <w:rFonts w:ascii="Times New Roman" w:cs="Times New Roman" w:eastAsia="Times New Roman" w:hAnsi="Times New Roman"/>
                <w:sz w:val="18"/>
                <w:szCs w:val="18"/>
                <w:color w:val="auto"/>
              </w:rPr>
              <w:t>17,734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(5,667)</w:t>
            </w:r>
          </w:p>
        </w:tc>
        <w:tc>
          <w:tcPr>
            <w:tcW w:w="1480" w:type="dxa"/>
            <w:vAlign w:val="bottom"/>
            <w:gridSpan w:val="2"/>
          </w:tcPr>
          <w:p>
            <w:pPr>
              <w:jc w:val="center"/>
              <w:ind w:left="911"/>
              <w:spacing w:after="0"/>
              <w:rPr>
                <w:sz w:val="20"/>
                <w:szCs w:val="20"/>
                <w:color w:val="auto"/>
              </w:rPr>
            </w:pPr>
            <w:r>
              <w:rPr>
                <w:rFonts w:ascii="Times New Roman" w:cs="Times New Roman" w:eastAsia="Times New Roman" w:hAnsi="Times New Roman"/>
                <w:sz w:val="18"/>
                <w:szCs w:val="18"/>
                <w:color w:val="auto"/>
                <w:w w:val="97"/>
              </w:rPr>
              <w:t>(32)%</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8"/>
                <w:szCs w:val="18"/>
                <w:color w:val="auto"/>
              </w:rPr>
              <w:t>10,374</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57</w:t>
            </w:r>
          </w:p>
        </w:tc>
        <w:tc>
          <w:tcPr>
            <w:tcW w:w="1480" w:type="dxa"/>
            <w:vAlign w:val="bottom"/>
            <w:gridSpan w:val="2"/>
            <w:shd w:val="clear" w:color="auto" w:fill="CFF0FC"/>
          </w:tcPr>
          <w:p>
            <w:pPr>
              <w:jc w:val="center"/>
              <w:ind w:left="911"/>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0"/>
        </w:trPr>
        <w:tc>
          <w:tcPr>
            <w:tcW w:w="55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(22,498)</w:t>
            </w:r>
          </w:p>
        </w:tc>
        <w:tc>
          <w:tcPr>
            <w:tcW w:w="120" w:type="dxa"/>
            <w:vAlign w:val="bottom"/>
          </w:tcPr>
          <w:p>
            <w:pPr>
              <w:spacing w:after="0"/>
              <w:rPr>
                <w:sz w:val="18"/>
                <w:szCs w:val="18"/>
                <w:color w:val="auto"/>
              </w:rPr>
            </w:pPr>
          </w:p>
        </w:tc>
        <w:tc>
          <w:tcPr>
            <w:tcW w:w="132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(28,108)</w:t>
            </w: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(5,610)</w:t>
            </w:r>
          </w:p>
        </w:tc>
        <w:tc>
          <w:tcPr>
            <w:tcW w:w="1480" w:type="dxa"/>
            <w:vAlign w:val="bottom"/>
            <w:gridSpan w:val="2"/>
          </w:tcPr>
          <w:p>
            <w:pPr>
              <w:jc w:val="center"/>
              <w:ind w:left="911"/>
              <w:spacing w:after="0"/>
              <w:rPr>
                <w:sz w:val="20"/>
                <w:szCs w:val="20"/>
                <w:color w:val="auto"/>
              </w:rPr>
            </w:pPr>
            <w:r>
              <w:rPr>
                <w:rFonts w:ascii="Times New Roman" w:cs="Times New Roman" w:eastAsia="Times New Roman" w:hAnsi="Times New Roman"/>
                <w:sz w:val="18"/>
                <w:szCs w:val="18"/>
                <w:color w:val="auto"/>
                <w:w w:val="97"/>
              </w:rPr>
              <w:t>(20)%</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18"/>
                <w:szCs w:val="18"/>
                <w:color w:val="auto"/>
              </w:rPr>
            </w:pPr>
          </w:p>
        </w:tc>
        <w:tc>
          <w:tcPr>
            <w:tcW w:w="132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(862)</w:t>
            </w:r>
          </w:p>
        </w:tc>
        <w:tc>
          <w:tcPr>
            <w:tcW w:w="1480" w:type="dxa"/>
            <w:vAlign w:val="bottom"/>
            <w:gridSpan w:val="2"/>
          </w:tcPr>
          <w:p>
            <w:pPr>
              <w:jc w:val="center"/>
              <w:ind w:left="911"/>
              <w:spacing w:after="0"/>
              <w:rPr>
                <w:sz w:val="20"/>
                <w:szCs w:val="20"/>
                <w:color w:val="auto"/>
              </w:rPr>
            </w:pPr>
            <w:r>
              <w:rPr>
                <w:rFonts w:ascii="Times New Roman" w:cs="Times New Roman" w:eastAsia="Times New Roman" w:hAnsi="Times New Roman"/>
                <w:sz w:val="18"/>
                <w:szCs w:val="18"/>
                <w:color w:val="auto"/>
                <w:w w:val="97"/>
              </w:rPr>
              <w:t>(81)%</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(683)</w:t>
            </w:r>
          </w:p>
        </w:tc>
        <w:tc>
          <w:tcPr>
            <w:tcW w:w="1480" w:type="dxa"/>
            <w:vAlign w:val="bottom"/>
            <w:gridSpan w:val="2"/>
            <w:shd w:val="clear" w:color="auto" w:fill="CFF0FC"/>
          </w:tcPr>
          <w:p>
            <w:pPr>
              <w:jc w:val="center"/>
              <w:ind w:left="911"/>
              <w:spacing w:after="0"/>
              <w:rPr>
                <w:sz w:val="20"/>
                <w:szCs w:val="20"/>
                <w:color w:val="auto"/>
              </w:rPr>
            </w:pPr>
            <w:r>
              <w:rPr>
                <w:rFonts w:ascii="Times New Roman" w:cs="Times New Roman" w:eastAsia="Times New Roman" w:hAnsi="Times New Roman"/>
                <w:sz w:val="18"/>
                <w:szCs w:val="18"/>
                <w:color w:val="auto"/>
                <w:w w:val="97"/>
              </w:rPr>
              <w:t>(60)%</w:t>
            </w:r>
          </w:p>
        </w:tc>
        <w:tc>
          <w:tcPr>
            <w:tcW w:w="0" w:type="dxa"/>
            <w:vAlign w:val="bottom"/>
          </w:tcPr>
          <w:p>
            <w:pPr>
              <w:spacing w:after="0"/>
              <w:rPr>
                <w:sz w:val="1"/>
                <w:szCs w:val="1"/>
                <w:color w:val="auto"/>
              </w:rPr>
            </w:pPr>
          </w:p>
        </w:tc>
      </w:tr>
      <w:tr>
        <w:trPr>
          <w:trHeight w:val="20"/>
        </w:trPr>
        <w:tc>
          <w:tcPr>
            <w:tcW w:w="55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79"/>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179</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center"/>
              <w:ind w:left="911"/>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0"/>
        </w:trPr>
        <w:tc>
          <w:tcPr>
            <w:tcW w:w="55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(22,241)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(28,030)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(5,789)</w:t>
            </w:r>
          </w:p>
        </w:tc>
        <w:tc>
          <w:tcPr>
            <w:tcW w:w="1480" w:type="dxa"/>
            <w:vAlign w:val="bottom"/>
            <w:gridSpan w:val="2"/>
          </w:tcPr>
          <w:p>
            <w:pPr>
              <w:jc w:val="center"/>
              <w:ind w:left="911"/>
              <w:spacing w:after="0"/>
              <w:rPr>
                <w:sz w:val="20"/>
                <w:szCs w:val="20"/>
                <w:color w:val="auto"/>
              </w:rPr>
            </w:pPr>
            <w:r>
              <w:rPr>
                <w:rFonts w:ascii="Times New Roman" w:cs="Times New Roman" w:eastAsia="Times New Roman" w:hAnsi="Times New Roman"/>
                <w:sz w:val="18"/>
                <w:szCs w:val="18"/>
                <w:color w:val="auto"/>
                <w:w w:val="97"/>
              </w:rPr>
              <w:t>(21)%</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-1010920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-1010920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-1010920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-1010920</wp:posOffset>
            </wp:positionV>
            <wp:extent cx="1454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-453390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-453390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-453390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-453390</wp:posOffset>
            </wp:positionV>
            <wp:extent cx="1454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-170815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-170815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-170815</wp:posOffset>
            </wp:positionV>
            <wp:extent cx="14541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for the nine months ended September 30, 2025 and 2024 were primarily incurred in connection with our most advanced product candidate, amezalpat.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48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255"/>
        </w:trPr>
        <w:tc>
          <w:tcPr>
            <w:tcW w:w="5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0" w:type="dxa"/>
            <w:vAlign w:val="bottom"/>
            <w:gridSpan w:val="7"/>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22"/>
                <w:szCs w:val="22"/>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4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185"/>
        </w:trPr>
        <w:tc>
          <w:tcPr>
            <w:tcW w:w="5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7"/>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1080" w:type="dxa"/>
            <w:vAlign w:val="bottom"/>
            <w:vMerge w:val="restart"/>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200" w:type="dxa"/>
            <w:vAlign w:val="bottom"/>
            <w:vMerge w:val="restart"/>
          </w:tcPr>
          <w:p>
            <w:pPr>
              <w:spacing w:after="0"/>
              <w:rPr>
                <w:sz w:val="16"/>
                <w:szCs w:val="16"/>
                <w:color w:val="auto"/>
              </w:rPr>
            </w:pPr>
          </w:p>
        </w:tc>
        <w:tc>
          <w:tcPr>
            <w:tcW w:w="1260" w:type="dxa"/>
            <w:vAlign w:val="bottom"/>
            <w:vMerge w:val="restart"/>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2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40" w:type="dxa"/>
            <w:vAlign w:val="bottom"/>
            <w:gridSpan w:val="4"/>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w w:val="97"/>
              </w:rPr>
              <w:t>except percentages)</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Amezalpat</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7,022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(1,704)</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TPST-1495</w:t>
            </w:r>
          </w:p>
        </w:tc>
        <w:tc>
          <w:tcPr>
            <w:tcW w:w="260" w:type="dxa"/>
            <w:vAlign w:val="bottom"/>
          </w:tcPr>
          <w:p>
            <w:pPr>
              <w:spacing w:after="0"/>
              <w:rPr>
                <w:sz w:val="18"/>
                <w:szCs w:val="18"/>
                <w:color w:val="auto"/>
              </w:rPr>
            </w:pP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1,938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(1,938)</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Preclinical and other</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1,692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(616)</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53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candidate specific research costs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10,652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(4,258)</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and other costs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5,116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(587)</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and depreciation</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1,966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(822)</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50"/>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(5,667)</w:t>
            </w:r>
          </w:p>
        </w:tc>
        <w:tc>
          <w:tcPr>
            <w:tcW w:w="20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-590550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-590550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-590550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-590550</wp:posOffset>
            </wp:positionV>
            <wp:extent cx="14541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-24765</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14541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14541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decreased by $5.6 million to $12.1 million for the nine months ended September 30, 2025, compared to the nine months ended September 30, 2024, which was primarily attributable to a decrease in costs incurred as a result of re-prioritizing efforts towards exploring strategic alternatives initiated in April 2025. Expenses in the nine months ended September 30, 2025 included $4.5 million related to contract research and manufacturing organizations in preparation for our pivotal Phase 3 trial of amezalpat for the treatment of first-line HCC.</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research and development expenses for the nine months ended September 30, 2025 and 2024:</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outside services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497580"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9758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Stock-based compensation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Consulting and professional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497580" cy="1454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9758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Other expenses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Increase/</w:t>
            </w: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2600" w:type="dxa"/>
            <w:vAlign w:val="bottom"/>
            <w:gridSpan w:val="7"/>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22"/>
                <w:szCs w:val="22"/>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186"/>
        </w:trPr>
        <w:tc>
          <w:tcPr>
            <w:tcW w:w="260" w:type="dxa"/>
            <w:vAlign w:val="bottom"/>
          </w:tcPr>
          <w:p>
            <w:pPr>
              <w:spacing w:after="0"/>
              <w:rPr>
                <w:sz w:val="16"/>
                <w:szCs w:val="16"/>
                <w:color w:val="auto"/>
              </w:rPr>
            </w:pPr>
          </w:p>
        </w:tc>
        <w:tc>
          <w:tcPr>
            <w:tcW w:w="2600" w:type="dxa"/>
            <w:vAlign w:val="bottom"/>
            <w:gridSpan w:val="7"/>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1080" w:type="dxa"/>
            <w:vAlign w:val="bottom"/>
            <w:vMerge w:val="restart"/>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200" w:type="dxa"/>
            <w:vAlign w:val="bottom"/>
            <w:vMerge w:val="restart"/>
          </w:tcPr>
          <w:p>
            <w:pPr>
              <w:spacing w:after="0"/>
              <w:rPr>
                <w:sz w:val="16"/>
                <w:szCs w:val="16"/>
                <w:color w:val="auto"/>
              </w:rPr>
            </w:pPr>
          </w:p>
        </w:tc>
        <w:tc>
          <w:tcPr>
            <w:tcW w:w="126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2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1440" w:type="dxa"/>
            <w:vAlign w:val="bottom"/>
            <w:gridSpan w:val="4"/>
          </w:tcPr>
          <w:p>
            <w:pPr>
              <w:jc w:val="right"/>
              <w:ind w:right="31"/>
              <w:spacing w:after="0" w:line="178" w:lineRule="exact"/>
              <w:rPr>
                <w:sz w:val="20"/>
                <w:szCs w:val="20"/>
                <w:color w:val="auto"/>
              </w:rPr>
            </w:pPr>
            <w:r>
              <w:rPr>
                <w:rFonts w:ascii="Times New Roman" w:cs="Times New Roman" w:eastAsia="Times New Roman" w:hAnsi="Times New Roman"/>
                <w:sz w:val="16"/>
                <w:szCs w:val="16"/>
                <w:b w:val="1"/>
                <w:bCs w:val="1"/>
                <w:color w:val="auto"/>
                <w:w w:val="97"/>
              </w:rPr>
              <w:t>except percentages)</w:t>
            </w: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8,934</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(3,146)</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3,459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shd w:val="clear" w:color="auto" w:fill="CCEEFF"/>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1,665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(686)</w:t>
            </w: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1,666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(1,084)</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shd w:val="clear" w:color="auto" w:fill="CCEEFF"/>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2,010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(834)</w:t>
            </w: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17,734</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(5,667)</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-856615</wp:posOffset>
            </wp:positionV>
            <wp:extent cx="7132320" cy="1371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742950</wp:posOffset>
            </wp:positionH>
            <wp:positionV relativeFrom="paragraph">
              <wp:posOffset>-170815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-170815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-170815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3486150</wp:posOffset>
            </wp:positionH>
            <wp:positionV relativeFrom="paragraph">
              <wp:posOffset>-170815</wp:posOffset>
            </wp:positionV>
            <wp:extent cx="14541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602" w:lineRule="exact"/>
        <w:rPr>
          <w:sz w:val="20"/>
          <w:szCs w:val="20"/>
          <w:color w:val="auto"/>
        </w:rPr>
      </w:pPr>
    </w:p>
    <w:p>
      <w:pPr>
        <w:sectPr>
          <w:pgSz w:w="11900" w:h="16838" w:orient="portrait"/>
          <w:cols w:equalWidth="0" w:num="2">
            <w:col w:w="4800" w:space="720"/>
            <w:col w:w="5720"/>
          </w:cols>
          <w:pgMar w:left="320" w:top="117" w:right="33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$0.1 million to $10.4 million for the nine months ended September 30, 2025, compared to the nine months ended September 30, 2024. The increase was primarily related to employee compensation costs, inclusive of one-time separation costs for employees terminated during the nine months ended September 30, 2025, as well as consulting and professional services.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and 2024, other income (expense), net consisted of total interest expense of $207 thousand and $1.1 million, respectively, related to the Oxford Loan, and interest income of $464 thousand and $1.1 million, respectively. The Oxford Loan was repaid in full and terminated in accordance with its terms in April 2025.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inception through September 30, 2025, our operations have been financed primarily by proceeds from the sale of</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common stock, convertible preferred stock and issuance of debt. In April 2025, we announced plans to explore a full range of strategic alternatives to advance our promising programs. If a strategic alternative is not available to us, we will be required to take additional actions to fund the Company’s operations or we may be forced to wind down our operations. As of September 30, 2025, we had $7.5 million in cash and cash equivalents and an accumulated deficit of $229.3 million.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lack of operating revenue or cash inflows and our cash resources at September 30, 2025 raise substantial doubt as to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ability to continue as a going concern. See “—Funding Requirements” below for additional information on our future capital needs.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Agreement with Oxford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15, 2021, we entered into a loan and security agreement, as amended from time to time, with Oxford to borrow a term loan amount of $35.0 million to be funded in three tranches. On April 8, 2025, we repaid $3.5 million in full satisfaction of the aggregate outstanding amount, including accrued interest and exit fees as of such date. As a result of the repayment, all liens and security interests were terminated.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entered into a sales agreement (the “Sales Agreement”) with Jefferies LLC (“Jefferies”), pursuant to which we may sell, from time to time at our sole discretion through Jefferies, as our sales agent, shares of our common stock (the “ATM Program”). Any shares of our common stock sold will be issued pursuant to our shelf registration statement on Form S-3 (File No. 333-280918). On June 11, 2025, in connection with the RDO (as defined below) we delivered written notice to Jefferies that we were suspending and terminating the prospectus supplement, dated February 6, 2025, related to the ATM Program (the “ATM Prospectus”). We will not make any sales of our securities pursuant to the Sales Agreement, unless and until a new prospectus, prospectus supplement or a new registration statement is filed. Other than the termination of the ATM Prospectus, the Sales Agreement remains in full force and effect. As of the nine months ended September 30, 2025, we have sold an aggregate of 312,830 shares of our common stock for proceeds of $2.8 million pursuant to the ATM Program. As of September 30, 2025, $11.6 million remained available for sale under the ATM Program.</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of this Form 10-Q, our public float was less than $75.0 million. As a result, we are subject to the limitations of General Instruction I.B.6 to Form S-3 until such time as our public float exceeds $75 million, which means we only have the capacity to sell shares up to one-third of our public float under the S-3 Registration Statement, including the ATM program, in any twelve-month period. On February 6, 2025, we filed a prospectus supplement with the SEC limiting the availability under the ATM Program to $14.5 million.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w:t>
      </w:r>
    </w:p>
    <w:p>
      <w:pPr>
        <w:spacing w:after="0" w:line="20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June 11, 2025, we sold an aggregate of 405,000 shares of our common stock and pre-funded warrants to purchase 334,000 shares of our common stock in a registered direct offering (the “RDO”). The offering price was $6.25 per share of common stock and $6.249 per pre-funded warrant, which is the price of each share of common stock sold in the offering, minus the $0.001 exercise price per pre-funded warrant. The net proceeds from the RDO were approximately $4.1 million, after deducting placement agent fees and estimated offering expenses payable by us. As of September 30, 2025, all pre-funded warrants had been exercised.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nine months ended September 30, 2025 and 2024: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4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7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7560" w:type="dxa"/>
            <w:vAlign w:val="bottom"/>
            <w:tcBorders>
              <w:bottom w:val="single" w:sz="8" w:color="CCEEFF"/>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(in</w:t>
            </w:r>
          </w:p>
        </w:tc>
        <w:tc>
          <w:tcPr>
            <w:tcW w:w="8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85"/>
              </w:rPr>
              <w:t>thousands)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1160" w:type="dxa"/>
            <w:vAlign w:val="bottom"/>
            <w:gridSpan w:val="3"/>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(23,246)</w:t>
            </w:r>
          </w:p>
        </w:tc>
        <w:tc>
          <w:tcPr>
            <w:tcW w:w="700" w:type="dxa"/>
            <w:vAlign w:val="bottom"/>
            <w:gridSpan w:val="2"/>
            <w:shd w:val="clear" w:color="auto" w:fill="CFF0FC"/>
          </w:tcPr>
          <w:p>
            <w:pPr>
              <w:jc w:val="center"/>
              <w:ind w:right="38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(22,878)</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(432)</w:t>
            </w:r>
          </w:p>
        </w:tc>
      </w:tr>
      <w:tr>
        <w:trPr>
          <w:trHeight w:val="216"/>
        </w:trPr>
        <w:tc>
          <w:tcPr>
            <w:tcW w:w="7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1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160" w:type="dxa"/>
            <w:vAlign w:val="bottom"/>
            <w:gridSpan w:val="3"/>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(22,754)</w:t>
            </w:r>
          </w:p>
        </w:tc>
        <w:tc>
          <w:tcPr>
            <w:tcW w:w="7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(16,762)</w:t>
            </w: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operating activities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for the nine months ended September 30, 2025 was $23.2 million, consisting of a net loss of $22.2 million, add back of non-cash adjustments for depreciation, stock-based compensation, non-cash operating lease expense and other non-cash items totaling $3.6 million, less changes in operating assets and liabilities of $4.6 million.</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for the nine months ended September 30, 2024 was $22.9 million, consisting of a net loss of $28.0 million, add back of non-cash adjustments for depreciation, stock-based compensation, non-cash operating lease expense and other non-cash items totaling $3.2 million, plus changes in operating assets and liabilities of $2.4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cash was used in investing activities for the nine months ended September 30, 2025.</w:t>
      </w:r>
    </w:p>
    <w:p>
      <w:pPr>
        <w:spacing w:after="0" w:line="1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nine months ended September 30, 2024 was related to purchases of property and equipment, primarily related to laboratory and computer equipment.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financing activities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for the nine months ended September 30, 2025 was related to net proceeds from the June 2025 registered direct offering of $4.1 million as well as the issuance of common stock of $2.8 million under the ATM Program, offset by $6.4 million in outflows related to the repayment of the Oxford Loan.</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for the nine months ended September 30, 2024 was related to proceeds from the issuance of common stock of $8.8 million, offset by $2.2 million in outflows related to the repayment of the Oxford Loan.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primary use of cash is to fund operating expenses, which has historically consisted primarily of research and development expenditures related to our therapeutic discovery and preclinical development efforts and clinical activities, and to a lesser extent, general and administrative expenditures. Currently, our primary use of cash is headcount cost and lease and overhead expenses as we explore strategic alternatives. Cash used to fund operating expenses is impacted by the timing of when we pay these expenses, as reflected in the change in our outstanding accounts payable and accrued expenses. If a strategic alternative is not available to us, we will be required to take additional actions to fund the Company’s operations or we may be forced to wind down our operations.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material cash requirements primarily relate to our operating lease for office space, trade payables, and accrued expenses. As of September 30, 2025, we had $3.5 million payable within 12 months, including $1.1 million related to the Brisbane Lease. Refer to Note 5 to our Condensed Consolidated Financial Statements for additional information.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as disclosed above, we have no long-term debt and no material non-cancelable purchase commitments with service providers, as we have generally contracted on a cancelable, purchase-order basis. We enter into contracts in the normal course of business with equipment and reagent vendors, CROs, CMOs and other third parties for clinical trials, preclinical research studies and testing and manufacturing services. These contracts are cancelable by us upon prior notice. Payments due upon cancellation consist only of payments for services provided or expenses incurred, including noncancelable obligations of our service providers, up to the date of cancellation.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significant changes to our critical accounting policies since December 31, 2024. For a description of critical accounting policies that affect our significant judgments and estimates used in the preparation of our unaudited condensed consolidated financial statements, refer to Item 7 “Management's Discussion and Analysis of Financial Condition and Results of Operations” contained in our Annual Report on Form 10-K.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 to our Condensed Consolidated Financial Statements for a description of recent accounting pronouncements applicable to our Condensed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 Status and a Non-Accelerated Filer</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of the Securities Exchange Act of 1934, or the Exchange Act, meaning that the market value of our shares held by non-affiliates is less than $700 million and our annual revenue was less than $100 million during the most recently completed fiscal year. We may continue to be a smaller reporting company if either</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8"/>
        <w:spacing w:after="0" w:line="254" w:lineRule="auto"/>
        <w:tabs>
          <w:tab w:leader="none" w:pos="23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our shares held by non-affiliates is less than $250 million or (ii) our annual revenue was less than $100 million during the most recently completed fiscal year for which audited financial statements are available as of the determination date and the market value of our shares held by non-affiliates is less than $700 million. As a smaller reporting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If investors consider our common stock less attractive as a result of our election to use the scaled-back disclosure permitted for smaller reporting companies, there may be a less active trading market for our common stock and our share price may be more volatile.</w:t>
      </w:r>
    </w:p>
    <w:p>
      <w:pPr>
        <w:spacing w:after="0" w:line="1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as a non-accelerated filer, we may continue to take advantage of the exception from compliance with the auditor attestation requirements of Section 404 of the Sarbanes-Oxley Act of 2002, as amended.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 for smaller reporting companies.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(principal executive officer) and Chief Financial Officer &amp; Head of Corporate Strategy (principal financial officer), evaluated the effectiveness of our disclosure controls and procedures (as defined in Rules 13a-15(e) and 15d-15(e) under the Exchange Act), as of the end of the period covered by this Quarterly Report. Based on such evaluation, our Chief Executive Officer and Chief Financial Officer &amp; Head of Corporate Strategy and Finance have concluded that as of September 30, 2025, our disclosure controls and procedures were effective at the reasonable assurance level.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internal control over financial reporting during the quarter ended September 30, 2025 that have materially affected, or are reasonably likely to materially affect, our internal control over financial reporting.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02"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litigation and claims arising in the ordinary course of business. While the results of any litigation or other legal proceedings are uncertain, we are not currently a party to any material legal proceedings that, if determined adversely to us, would individually or taken together have a material adverse effect on our business, financial position, results of operations or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Our business involves significant risks, some of which are described below. You should carefully consider the risks described below, together with all of the other information contained in this Quarterly Report on Form 10-Q, including the section entitled “Management’s Discussion and Analysis of Financial Condition and Results of Operations” and the financial statements and the related notes. Any of these events could cause the trading price of our common stock to decline, which would cause you to lose all or part of your investment.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or may make from time to time.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Selected Risks Associated with Our Business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any one of which could materially adversely affect our business, financial condition, operating results, and prospects. You should read this summary together with the more detailed description of each risk factor contained below.</w:t>
      </w:r>
    </w:p>
    <w:p>
      <w:pPr>
        <w:spacing w:after="0" w:line="162" w:lineRule="exact"/>
        <w:rPr>
          <w:sz w:val="20"/>
          <w:szCs w:val="20"/>
          <w:color w:val="auto"/>
        </w:rPr>
      </w:pPr>
    </w:p>
    <w:p>
      <w:pPr>
        <w:ind w:left="1020" w:right="16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substantial doubt regarding our ability to continue as a going concern. We will require substantial additional funding to finance our operations, which may not be available on acceptable terms or at all. Failure to obtain this necessary capital when needed may force us to delay, limit or terminate our product development efforts or our operations.</w:t>
      </w:r>
    </w:p>
    <w:p>
      <w:pPr>
        <w:spacing w:after="0" w:line="175"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activities to evaluate and pursue potential strategic alternatives may not result in any transaction or enhance stockholder value. If we do not successfully consummate a strategic alternative, our board of directors may decide to pursue a dissolution and liquidation of our company.</w:t>
      </w:r>
    </w:p>
    <w:p>
      <w:pPr>
        <w:spacing w:after="0" w:line="1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capital may cause dilution to our stockholders, restrict our operations or require us to relinquish proprietary rights.</w:t>
      </w:r>
    </w:p>
    <w:p>
      <w:pPr>
        <w:spacing w:after="0" w:line="225"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recently implemented corporate restructuring intended to optimize our resource allocation and contain costs may not have the benefits we expect;</w:t>
      </w:r>
    </w:p>
    <w:p>
      <w:pPr>
        <w:spacing w:after="0" w:line="161" w:lineRule="exact"/>
        <w:rPr>
          <w:rFonts w:ascii="Times New Roman" w:cs="Times New Roman" w:eastAsia="Times New Roman" w:hAnsi="Times New Roman"/>
          <w:sz w:val="18"/>
          <w:szCs w:val="18"/>
          <w:color w:val="auto"/>
        </w:rPr>
      </w:pPr>
    </w:p>
    <w:p>
      <w:pPr>
        <w:jc w:val="both"/>
        <w:ind w:left="1020" w:right="8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and we may not achieve or sustain profitability. We anticipate that we will continue to incur losses for the foreseeable future. If we fail to obtain additional funding to conduct our planned research and development efforts, we could be forced to delay, reduce or eliminate our product development programs or commercial development efforts.</w:t>
      </w:r>
    </w:p>
    <w:p>
      <w:pPr>
        <w:spacing w:after="0" w:line="1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expand our development and regulatory capabilities, and as a result, we may encounter difficulties in managing our growth, which could disrupt our operations.</w:t>
      </w:r>
    </w:p>
    <w:p>
      <w:pPr>
        <w:spacing w:after="0" w:line="161" w:lineRule="exact"/>
        <w:rPr>
          <w:rFonts w:ascii="Times New Roman" w:cs="Times New Roman" w:eastAsia="Times New Roman" w:hAnsi="Times New Roman"/>
          <w:sz w:val="18"/>
          <w:szCs w:val="18"/>
          <w:color w:val="auto"/>
        </w:rPr>
      </w:pPr>
    </w:p>
    <w:p>
      <w:pPr>
        <w:ind w:left="1020" w:right="80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develop, obtain regulatory approval for and commercialize amezalpat, TPST-1495, or any of our future product candidates, or if we experience significant delays in doing so, our business will be materially harmed.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20" w:right="8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preclinical studies and earlier clinical trials for our product candidates may not be indicative of the results that may be obtained in later clinical trials, which may delay or prevent obtaining regulatory approval.</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expand our pipeline of product candidates and develop marketable products.</w:t>
      </w:r>
    </w:p>
    <w:p>
      <w:pPr>
        <w:spacing w:after="0" w:line="225"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our product candidates, including TPST-1495 and amezalpat, will depend upon their degree of market acceptance by providers, patients, patient advocacy groups, third-party payors and the general medical community.</w:t>
      </w:r>
    </w:p>
    <w:p>
      <w:pPr>
        <w:spacing w:after="0" w:line="161"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rely on third parties to manufacture our clinical product supplies, and we may have to rely on third parties to produce and process our product candidates, if approved.</w:t>
      </w:r>
    </w:p>
    <w:p>
      <w:pPr>
        <w:spacing w:after="0" w:line="161" w:lineRule="exact"/>
        <w:rPr>
          <w:rFonts w:ascii="Times New Roman" w:cs="Times New Roman" w:eastAsia="Times New Roman" w:hAnsi="Times New Roman"/>
          <w:sz w:val="18"/>
          <w:szCs w:val="18"/>
          <w:color w:val="auto"/>
        </w:rPr>
      </w:pPr>
    </w:p>
    <w:p>
      <w:pPr>
        <w:ind w:left="1020" w:right="34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in an environment of rapid technological change, and it is possible that our competitors may achieve regulatory approval before us or develop therapies that are more advanced or effective than ours, which may harm our business, financial condition and ability to successfully market or commercialize TPST-1495, amezalpat, and any future product candidates.</w:t>
      </w:r>
    </w:p>
    <w:p>
      <w:pPr>
        <w:spacing w:after="0" w:line="175"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sales and marketing capabilities or enter into agreements with third parties to market and sell our product candidates, we may be unable to generate any revenues.</w:t>
      </w:r>
    </w:p>
    <w:p>
      <w:pPr>
        <w:spacing w:after="0" w:line="161"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finding strategic collaborators for continuing development of certain of our future product candidates or successfully commercializing or competing in the market for certain indications.</w:t>
      </w:r>
    </w:p>
    <w:p>
      <w:pPr>
        <w:spacing w:after="0" w:line="161"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regulatory approval process is lengthy and time-consuming, and we may experience significant delays in the clinical development and regulatory approval of our product candidates.</w:t>
      </w:r>
    </w:p>
    <w:p>
      <w:pPr>
        <w:spacing w:after="0" w:line="161"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our ability to obtain, maintain and protect our intellectual property. It is difficult and costly to protect our proprietary rights and technology, and we may not be able to ensure their protection.</w:t>
      </w:r>
    </w:p>
    <w:p>
      <w:pPr>
        <w:spacing w:after="0" w:line="161"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owned and in-licensed patents and patent applications may not provide sufficient protection of our product candidates or result in any competitive advantage.</w:t>
      </w:r>
    </w:p>
    <w:p>
      <w:pPr>
        <w:spacing w:after="0" w:line="161"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the shares of our common stock has been and is likely to continue to be volatile, and purchasers of our common stock could incur substantial losses.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completed a reverse stock split of our shares of common stock, which may reduce and may limit the market trading liquidity of the shares due to the reduced number of shares outstanding and may potentially have an anti-takeover effect.</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market and economic conditions may have serious adverse consequences on our business, financial condition and share price.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is thinly traded and our stockholders may be unable to sell their shares quickly or at market price.</w:t>
      </w:r>
    </w:p>
    <w:p>
      <w:pPr>
        <w:spacing w:after="0" w:line="225"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proper and effective internal controls, our ability to produce accurate financial statements on a timely basis could be impaired.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1020" w:right="18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listing of our common stock on Nasdaq or any stock exchange, our stock price could be adversely affected and the liquidity of our stock and our ability to obtain financing could be impaired and it may be more difficult for our stockholders to sell their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Needs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is substantial doubt regarding our ability to continue as a going concern. We will require significant additional funding to finance our operations, which may not be available on acceptable terms or at all. Failure to obtain this necessary capital when needed may force us to delay, limit or terminate our product development efforts or our operations.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existing cash and cash equivalents of $7.5 million as of September 30, 2025 is expected to fund our operations through less than 12 months from the date our consolidated financial statements are available to be issued.</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we have implemented cost reductions in 2025, we have finite cash resources available to fund our operations. We announced plans to explore a full range of strategic alternatives to advance our promising clinical stage programs and maximize stockholder value. Strategic alternatives under consideration may include, but are not limited to, mergers, acquisitions, partnerships, joint ventures, licensing arrangements or other strategic transactions. We have retained MTS Health Partners, L.P., an internationally recognized financial advisor with substantial experience in the biotechnology industry, to support us with the strategic evaluation process. If a strategic alternative is not available, we will be required to take additional actions, including a potential wind down of our operations.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our cost reductions, we completed a workforce reduction in April 2025 and, in June 2025, we transitioned our Chief Executive Officer, our Chief Medical Officer, and our Chief Financial Officer (collectively, our “Senior Executives”) to consulting agreements with the Company, pursuant to which they will continue to serve the Company in their respective executive roles. The Company retained certain employees from the workforce reduction as consultants covering the Company’s key functions, including clinical development, clinical operations, regulatory affairs, manufacturing, quality assurance and translational medicine.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date, we have not generated product revenues from our activities and have incurred substantial operating losses. We expect that we will continue to generate substantial operating losses for the foreseeable future until we complete development and approval of one of our product candidates.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need to continue to rely on additional financing to achieve our business objectives. Adequate additional financing may not be available to us on acceptable terms, or at all. Our ability to raise additional capital has been adversely impacted by potential worsening global economic conditions, inflation expectations, and the recent disruptions to and volatility in the credit and financial markets in the United States and worldwide resulting from geopolitical tensions.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conditions raise substantial doubt about our ability to continue as a going concern. We have evaluated the significance of the uncertainty regarding our financial condition in relation to our ability to meet our obligations, which has raised substantial doubt about our ability to continue as a going concern. Our existing cash resources will not be sufficient to enable us to fund the anticipated level of operations through 12 months from the date the accompanying financial statements are issued. There can be no assurances that we will be able to secure additional financing or a strategic alternative. In the event we do not, we may be required to wind down our operations and our stockholders will lose their investment.</w:t>
      </w:r>
    </w:p>
    <w:p>
      <w:pPr>
        <w:spacing w:after="0" w:line="179"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activities to evaluate and pursue potential strategic alternatives may not result in any transaction or enhance stockholder value. If we do not successfully consummate a strategic alternative, our board of directors may decide to pursue a dissolution and liquidation of our company.</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begun evaluating and exploring a variety of strategic alternatives focused on maximizing stockholder value, including, but not limited to, an acquisition, merger, reverse merger, other business combination, sales of assets or other strategic transactions. Our ability to successfully execute on a strategic alternative is dependent on a number of factors and we may not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 able to execute upon a transaction or other strategic alternative upon favorable terms within an advantageous timeframe and recognize significant value for our assets, if at all. Additionally, the negotiation and consummation of a transaction or other strategic alternative may be costly and time-consuming. Any executed strategic alternative may not maximize or even enhance stockholder value, could result in total costs and expenses that are greater than expected, could make it more difficult to attract and retain qualified personnel and may disrupt our operations, each of which could have a material adverse effect on our business.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market price of our common stock may reflect a market assumption that a strategic alternative will occur, and a failure to complete a strategic alternative could result in negative investor perceptions and could cause a decline in the market price of our common stock, which could adversely affect our ability to access the equity and financial markets, as well as our ability to explore and enter into different strategic alternatives. There can be no certainty that any strategic alternative will be completed, be on attractive terms, enhance stockholder value or deliver the anticipated benefits, and successful integration or execution of the strategic alternatives will be subject to additional risks. In addition, potential strategic alternatives that require stockholder approval may not be approved by our stockholders. If we do not successfully consummate a strategic alternative, our board of directors may decide to pursue a dissolution and liquidation of our company. In such an event, the amount of cash available for distribution to our stockholders will depend heavily on the timing of such liquidation, the amount of cash that will need to be reserved for commitments and contingent liabilities. Depending on these factors, the amount available for distribution to our common stockholders could be as low as zero and result in a total loss of investment to our stockholders.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proprietary rights.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public or private equity or debt financings, third-party funding, marketing and distribution arrangements, as well as other collaborations, strategic alliances and licensing arrangements, or any combination of these approaches. We do not have any committed external source of funds. We have a sales agreement with Jefferies LLC (“Jefferies”) for our ATM Program, pursuant to which we may sell up to an aggregate of $14.5 million of our common stock. To the extent that we raise additional capital through the sale of equity or convertible debt securities, your ownership interest may be further diluted, and the terms of these securities may include liquidation or other preferences that adversely affect your rights as a stockholder. In addition, we may issue equity or debt securities as consideration for obtaining rights to additional compounds.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Debt and equity financings, if available, may involve agreements that include covenants limiting or restricting our ability to take specific actions, such as redeeming our shares, making investments, incurring additional debt, making capital expenditures, declaring dividends or placing limitations on our ability to acquire, sell or license intellectual property rights and other operating restrictions that could negatively impact our ability to conduct our business. For example, our obligations under the Loan Agreement with Oxford were secured by a security interest in all of our assets, including our intellectual property. In addition, the Loan Agreement contained customary covenants that, subject to specific exceptions, restricted our ability to, among other things, declare dividends or redeem or repurchase equity interests, incur additional liens, make loans and investments, incur additional indebtedness, engage in mergers, acquisitions and asset sales, transact with affiliates, undergo a change in control, add or change business locations, or engage in businesses that were not related to our existing business. Using cash on hand, on April 8, 2025, we repaid $3.5 million in full satisfaction of the aggregate outstanding amount, including accrued interest and exit fees as of such date. Upon making such repayment, the Loan Agreement was terminated in accordance with its terms and all liens and security interests were terminated.</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if we raise additional capital through future collaborations, strategic alliances or third-party licensing arrangements, we may have to relinquish future revenue streams, research programs or product candidates, or grant licenses on terms that may not be favorable to us.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unable to raise additional capital when needed, we may be required to delay, limit, reduce or terminate our drug development or future commercialization efforts, or grant rights to develop and market product candidates that we would otherwise develop and market ourselves.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recently implemented corporate restructuring intended to optimize our resource allocation and contain costs may not have the benefits we expect.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April 2025, we implemented a corporate restructuring plans designed to optimize our resource allocation and contain costs. In connection with the restructuring plan, we reduced our workforce by 21 of 26 full-time employees, which was completed by the end of April 2025. Further, in support of such efforts, on June 5, 2025, each of Stephen Brady, the Company’s Chief Executive Officer and President, Samuel Whiting, the Company’s Executive Vice President and Chief Medical Officer, and Nicholas Maestas, the Company’s Chief Financial Officer and Corporate Secretary, transitioned to consulting agreements with the Company, pursuant to which they will continue to serve the Company in their respective executive roles. These reductions in workforce may yield unintended consequences and costs, such as the loss of institutional knowledge and expertise, attrition beyond our intended workforce reduction, a decrease in morale among our remaining employees, and the risk that we may not achieve the anticipated benefits of the restructuring, all of which may have an adverse effect on our results of operations or financial condition. In addition, while positions have been eliminated, certain functions necessary to our reduced operations will remain, and we may be unsuccessful in distributing the duties and obligations of departed employees among our remaining employees. Our failure to successfully accomplish any of the above activities and goals may have a material adverse impact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raise capital may be limited by applicable laws and regulations.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Using a shelf registration statement on Form S-3 to raise additional capital generally takes less time and is less expensive than other means, such as conducting an offering under a Form S-1 registration statement. However, our ability to raise capital using a shelf registration statement may be limited by, among other things, SEC rules and regulations. Under SEC rules and regulations, if our public float (the market value of our common stock held by non-affiliates) is less than $75.0 million, then the aggregate market value of securities sold by us or on our behalf under our Form S-3 in any 12-month period is limited to an aggregate of one-third of our public float. As our public float is currently less than $75.0 million, we are currently subject to this limitation. If our ability to utilize a Form S-3 registration statement for a primary offering of our securities continues to be limited to one-third of our public float, we may need to conduct such an offering pursuant to an exemption from registration under the Securities Act or under a Form S-1 registration statement, which would increase the cost of raising additional capital relative to utilizing a Form S-3 registration statement.</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we may not achieve or sustain profitability. We anticipate that we will continue to incur losses for the foreseeable future. If we fail to obtain additional funding to conduct our planned research and development efforts, we could be forced to delay, reduce or eliminate our product development programs or commercial development efforts.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clinical-stage biotechnology company with a limited operating history. Biotechnology product development is a highly speculative undertaking and involves a substantial degree of risk. Our operations to date have been limited primarily to organizing and staffing, business planning, raising capital, acquiring and developing product and technology rights, manufacturing, and conducting research and development activities for our product candidates. We have never generated any revenue from product sales, and we have not obtained regulatory approvals for any of our product candidates. We incurred net losses of $22.2 million and $28.0 million for the nine months ended September 30, 2025 and 2024, respectively. As of September 30, 2025, we had an accumulated deficit of $229.3 million. Substantially all of our operating losses have resulted from costs incurred in connection with our research and development programs and from general and administrative costs associated with our operations. We expect to continue to incur significant expenses and operating losses over the next several years and for the foreseeable future as we continue to conduct research and development, clinical testing, regulatory compliance activities, manufacturing activities, and, if any of our product candidates is approved, sales and marketing activities. Our prior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losses, combined with our expected future losses, have had and will continue to have an adverse effect on our stockholders’ equity and working capital.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you to evaluate the success of our business to date and to assess our future viability.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operations to date have been limited to organizing and staffing, business planning, raising capital, acquiring our technology, identifying potential product candidates, undertaking research and preclinical studies of our product candidates, manufacturing, and establishing licensing arrangements. We have not yet demonstrated the ability to complete clinical trials of our product candidates, obtain marketing approvals, manufacture a commercial scale product or conduct sales and marketing activities necessary for successful commercialization. Consequently, any predictions you make about our future success or viability may not be as accurate as they could be if we had a longer operating history.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as a new business, we may encounter unforeseen expenses, difficulties, complications, delays and other known and unknown factors. We will need to transition from a company with a licensing and research focus to a company that is also capable of supporting clinical development and commercial activities. We may not be successful in such a transition.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Strategy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attract and retain highly skilled employees to succeed.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succeed, we must recruit, retain, manage and motivate qualified clinical, scientific, technical and management personnel, and we face significant competition for experienced personnel. In April 2025, we announced a reduction of our workforce to explore a full range of strategic alternatives to advance its promising clinical-stage programs and maximize stockholder value. This restructuring may make attracting and retention of our current and future personnel more challenging. If we do not succeed in attracting and retaining qualified personnel, particularly at the management level, it could adversely affect our ability to execute our business plan, harm our results of operations and increase our capabilities to successfully commercialize our product candidates. The competition for qualified personnel in the biotechnology field is intense and as a result, we may be unable to continue to attract and retain qualified personnel necessary for the development of our business or to recruit suitable replacement personnel.</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acquisitions or strategic alliances could disrupt our business and harm our financial condition and results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 The risks we face in connection with acquisitions, include:</w:t>
      </w:r>
    </w:p>
    <w:p>
      <w:pPr>
        <w:spacing w:after="0" w:line="187" w:lineRule="exact"/>
        <w:rPr>
          <w:sz w:val="20"/>
          <w:szCs w:val="20"/>
          <w:color w:val="auto"/>
        </w:rPr>
      </w:pPr>
    </w:p>
    <w:p>
      <w:pPr>
        <w:ind w:left="5540" w:right="1700" w:hanging="5023"/>
        <w:spacing w:after="0" w:line="485" w:lineRule="auto"/>
        <w:tabs>
          <w:tab w:leader="none" w:pos="103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addressing acquisition integration challenges;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of research and development efforts;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from the acquired company;</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relationships with strategic partners as a result of product acquisitions or strategic positioning resulting from the acquisition;</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employees from the acquired company into our organization;</w:t>
      </w:r>
    </w:p>
    <w:p>
      <w:pPr>
        <w:spacing w:after="0" w:line="225"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or improve controls, procedures and policies at a business that prior to the acquisition may have lacked sufficiently effective controls, procedures and policies;</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activities of the acquired company before the acquisition, including intellectual property infringement claims, violation of laws, commercial disputes, tax liabilities and other known liabilities;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write-offs or charges; and</w:t>
      </w:r>
    </w:p>
    <w:p>
      <w:pPr>
        <w:spacing w:after="0" w:line="225"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the acquired company, including claims from terminated employees, customers, former stockholders or other third parties.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our past or future acquisitions or strategic alliances could cause us to fail to realize the anticipated benefits of these transactions, cause us to incur unanticipated liabilities and harm the business generally. There is also a risk that future acquisitions will result in the incurrence of debt, contingent liabilities, amortization expenses or incremental operating expenses, any of which could harm our financial condition or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tax credit carryforwards may be subject to limitations.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ability to use our federal and state net operating losses (“NOLs”) to offset potential future taxable income and related income taxes that would otherwise be due is dependent upon our generation of future taxable income, and we cannot predict with certainty when, or whether, we will generate sufficient taxable income to use all of our NOLs.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Section 382 and Section 383 of the Code and corresponding provisions of state law, if a corporation undergoes an “ownership change,” its ability to use its pre-change NOL carryforwards and other pre-change tax attributes (such as research tax credits) to offset its post-change income or taxes may be limited. A Section 382 “ownership change” is generally defined as a greater than 50 percentage point change (by value) in its equity ownership by certain stockholders over a three-year period. We may have experienced ownership changes in the past, including as a result of the merger with Millendo, and may experience ownership changes in the future due to subsequent shifts in our stock ownership (some of which are outside of our control). Furthermore, the merger constituted an ownership change (within the meaning of Section 382 of the Code) of Millendo which may have eliminated or otherwise substantially limited our ability to use Millendo’s federal and state NOLs to offset our future taxable income. Consequently, even if we achieve profitability, we may not be able to utilize a material portion of Tempest Tx, Inc. (our predecessor), Millendo’s or our combined NOL carryforwards and other tax attributes, which could have a material adverse effect on cash flow and results of operations. Similar provisions of state tax law may also apply to limit our ability to use of accumulated state tax attributes. There is also a risk that due to regulatory changes, such as suspensions on the use of NOLs, or other unforeseen reasons, our existing NOLs could expire or otherwise be unavailable to offset future income tax liabilities.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Product Development and Regulatory Approval</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obtain regulatory approval for and commercialize TPST-1495, amezalpat, or any of our future product candidates, or if we experience significant delays in doing so, our business will be materially harmed.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plan to invest a substantial amount of our efforts and financial resources in our current lead product candidates, TPST-1495, a dual EP2/EP4 prostaglandin (“PGE2”) receptor antagonist, and amezalpat, a peroxisome proliferator-activated receptor alpha (“PPARα”) antagonist for the treatment of various cancers. We have initiated Phase 1 clinical trials of TPST-1495 and amezalpat for the treatment of advanced solid tumors. We received positive feedback from the FDA on our potential pivotal Phase 3 trial design for amezalpat for HCC during the third quarter of 2024. Any delay in our ability to proceed to a pivotal trial for amezalpat will add time and expense to the development pathway and adversely impact the timing and potential for profitability. Our ability to generate product revenue will depend heavily on the successful development and eventual commercialization of TPST-1495 and amezalpat and any future product candidates, which may never occur. We currently generate no revenue from sales of any product and we may never be able to develop or commercialize a marketable product.</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of our programs and product candidates will require further clinical and/or preclinical development, regulatory approval in multiple jurisdictions, obtaining preclinical, clinical and commercial manufacturing supply, capacity and expertise, building of a commercial organization, substantial investment and significant marketing efforts before we generate any revenue from product sales. TPST-1495 and amezalpat and any future product candidates must be authorized for marketing by the FDA, the Health Products and Food Branch of Health Canada (“HPFB”), the European Medicines Agency (“EMA”), and certain other foreign regulatory agencies before we may commercialize any of our product candidates in the United States, Canada, European Union, or other jurisdictions.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success of TPST-1495 and amezalpat and any future product candidates depends on multiple factors, including:</w:t>
      </w:r>
    </w:p>
    <w:p>
      <w:pPr>
        <w:spacing w:after="0" w:line="225" w:lineRule="exact"/>
        <w:rPr>
          <w:sz w:val="20"/>
          <w:szCs w:val="20"/>
          <w:color w:val="auto"/>
        </w:rPr>
      </w:pPr>
    </w:p>
    <w:p>
      <w:pPr>
        <w:jc w:val="both"/>
        <w:ind w:left="1020" w:right="1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 including those compliant with Good Laboratory Practice (“GLP”), or GLP toxicology studies, biodistribution studies and minimum effective dose studies in animals, and successful enrollment and completion of clinical trials compliant with current Good Clinical Practices (“GCPs”);</w:t>
      </w:r>
    </w:p>
    <w:p>
      <w:pPr>
        <w:spacing w:after="0" w:line="175"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Investigational New Drug applications or other regulatory applications, that allow commencement of our planned clinical trials or future clinical trials for our product candidates in relevant territories;</w:t>
      </w:r>
    </w:p>
    <w:p>
      <w:pPr>
        <w:spacing w:after="0" w:line="161"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relationships with contract research organizations (“CROs”) and clinical sites for the clinical development of our product candidates, both in the United States and internationally;</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arrangements with third-party contract manufacturing organizations (“CMOs”) for key materials used in our manufacturing processes and to establish backup sources for clinical and large-scale commercial supply;</w:t>
      </w:r>
    </w:p>
    <w:p>
      <w:pPr>
        <w:spacing w:after="0" w:line="161"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results from our clinical programs that are supportive of safety and efficacy and provide an acceptable risk-benefit profile for our product candidates in the intended patient populations;</w:t>
      </w:r>
    </w:p>
    <w:p>
      <w:pPr>
        <w:spacing w:after="0" w:line="161"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regulatory approvals from applicable regulatory authorities, including those necessary for pricing and reimbursement of our product candidates;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and maintenance of patent and trade secret protection and regulatory exclusivity for our product candidates;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launch of our product candidates, if and when approved, whether alone or in collaboration with others;</w:t>
      </w:r>
    </w:p>
    <w:p>
      <w:pPr>
        <w:spacing w:after="0" w:line="225"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if and when approved, by patients, patient advocacy groups, third-party payors and the general medical community;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compete with developers of other therapies available in the market;</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and maintenance of adequate reimbursement from third-party payors for our product candidates;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or in-license additional product candidates;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prosecution, maintenance, enforcement and defense of intellectual property rights and claims;</w:t>
      </w:r>
    </w:p>
    <w:p>
      <w:pPr>
        <w:spacing w:after="0" w:line="225"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 continued acceptable safety profile of our product candidates following approval, including meeting any post-marketing commitments or requirements imposed by or agreed to with applicable regulatory authorities;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factors surrounding the approval process, such as government shutdowns; or</w:t>
      </w:r>
    </w:p>
    <w:p>
      <w:pPr>
        <w:spacing w:after="0" w:line="225"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such as the Russia-Ukraine war and the Israel-Hamas war, natural disasters including earthquakes, typhoons, floods and fires, and public health crises.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do not succeed in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Success in preclinical studies and earlier clinical trials for our product candidates may not be indicative of the results that may be obtained in later clinical trials, which may delay or prevent obtaining regulatory approval.</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Clinical development is expensive and can take many years to complete, and our outcome is inherently uncertain. Failure can occur at any time during the clinical trial process. Success in preclinical studies and early clinical trials may not be predictive of results in later-stage clinical trials, and successful results from early or small clinical trials may not be replicated or show as favorable an outcome in later-stage or larger clinical trials, even if successful. We will be required to demonstrate through adequate and well-controlled clinical trials that our product candidates are safe and effective for their intended uses before we can seek regulatory approvals for their commercial sale. The conduct of Phase 3 trials and the submission of a New Drug Application (“NDA”) is a complicated process. We have not previously completed any pivotal clinical trials, have limited experience in preparing, submitting and supporting regulatory filings, and have not previously submitted an NDA. Consequently, we may be unable to successfully and efficiently execute and complete necessary clinical trials and other requirements in a way that leads to NDA submission and approval of any product candidate we are developing.</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if our clinical trials demonstrate acceptable safety and efficacy of TPST-1495 and amezalpat or any future product candidates and such product candidates receive regulatory approval, the labeling we obtain through negotiations with the FDA or foreign regulatory authorities may not include data on secondary endpoints and may not provide us with a competitive advantage over other products approved for the same or similar indications.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companies in the biotechnology industry have suffered significant setbacks in late-stage clinical trials after achieving positive results in early-stage development, and there is a high failure rate for product candidates proceeding through clinical trials. In addition, different methodologies, assumptions and applications we utilize to assess particular safety or efficacy parameters may yield different statistical results. Even if we believe the data collected from clinical trials of our product candidates are promising, these data may not be sufficient to support approval by the FDA or foreign regulatory authorities. Preclinical and clinical data can be interpreted in different ways. Accordingly, the FDA or foreign regulatory authorities could interpret these data in different ways from us or our partners, which could delay, limit or prevent regulatory approval. If our study data does not consistently or sufficiently demonstrate the safety or efficacy of any of our product candidates, including TPST-1495 and amezalpat, to the satisfaction of the FDA or foreign regulatory authorities, then the regulatory approvals for</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such product candidates could be significantly delayed as we work to meet approval requirements, or, if we are not able to meet these requirements, such approvals could be withheld or withdrawn.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experience difficulties in patient enrollment in our clinical trials for a variety of reasons. The timely completion of clinical trials in accordance with our protocols depends, among other things, on our ability to enroll a sufficient number of patients who remain in the study until our conclusion. The enrollment of patients depends on many factors, including:</w:t>
      </w:r>
    </w:p>
    <w:p>
      <w:pPr>
        <w:spacing w:after="0" w:line="176"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protocol;</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required for analysis of the trial’s primary endpoints;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study sites;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and</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our clinical trials will drop out of the trials before the infusion of our product candidates or trial completion.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Delays or failures in planned patient enrollment or retention may result in increased costs, program delays or both, which could have a harmful effect on our ability to develop our product candidates or could render further development impossible. For example, the impact of public health crises or geopolitical tensions, such as the Russia-Ukraine war and the Israel-Hamas war, may delay or prevent patients from enrolling or from receiving treatment in accordance with the protocol and the required timelines, which could delay our clinical trials, or prevent us from completing our clinical trials at all.</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some of our clinical trial sites are also being used by some of our competitors, which may reduce the number of patients who are available for our clinical trials in that clinical trial site.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Moreover, because our product candidates represent unproven methods for cancer treatment, potential patients and their doctors may be inclined to use existing therapies rather than enroll patients in our clinical trials.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and preliminary data from our clinical trials that we may announce or publish from time to time may change as more patient data becomes available and are subject to audit and verification procedures that could result in material changes in the final data.</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we may publish interim or preliminary data from our clinical studies. Interim data from clinical trials that we may complete are subject to the risk that one or more of the clinical outcomes may materially change as patient enrollment continues and more patient data become available.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Preliminary or interim data also remain subject to audit and verification procedures that may result in the final data being materially different from the preliminary data we previously published. As a result, interim and preliminary data should be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viewed with caution until the final data is available. Adverse differences between preliminary or interim data and final data could significantly harm our business prospects.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are investigating amezalpat and TPST-1495 in combination with other approved therapies, and we may in the future investigate product candidates in combination with other approved and unapproved therapies, which exposes us to additional risks.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currently investigating and may continue to investigate one or more of our product candidates in combination with one or more other approved or unapproved therapies to treat cancers. Even if any product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product or that safety, efficacy, manufacturing or supply issues could arise with any of those existing therapies, including shortages of those products for use in our intended clinical trials. If the therapies we use in combination with our product candidates are replaced as the standard of care for the indications we choose for any of our product candidates, the FDA or comparable foreign regulatory authorities may require us to conduct additional clinical trials. The occurrence of any of these risks could result in our own products, if approved, being removed from the market or being less successful commercially. We also may choose to evaluate our current product candidates or any other future product candidates in combination with one or more cancer therapies that have not yet been approved for marketing by the FDA or comparable foreign regulatory authorities. We will not be able to market and sell our current product candidates or any product candidate we develop in combination with an unapproved cancer therapy for a combination indication if that unapproved therapy does not ultimately obtain marketing approval either alone or in combination with our product. In addition, unapproved cancer therapies face the same risks described with respect to our product candidates currently in development and clinical trials, including the potential for serious adverse effects, delay in their clinical trials and lack of FDA approval. If the FDA or comparable foreign regulatory authorities do not approve these other products or revoke their approval of, or if safety, efficacy, quality, manufacturing or supply issues arise with, the products we choose to evaluate in combination with our product candidate we develop, we may be unable to obtain approval of or market such combination therapy.</w:t>
      </w:r>
    </w:p>
    <w:p>
      <w:pPr>
        <w:spacing w:after="0" w:line="1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we cannot predict when, or if, we will obtain regulatory approval to commercialize a product candidate and the approval may be for a narrower indication than we seek.</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Prior to commercialization, TPST-1495, amezalpat and any future product candidates must be approved by the FDA pursuant to an NDA in the United States and pursuant to similar marketing applications by the HPFB, EMA and similar regulatory authorities outside the United States. The process of obtaining marketing approvals, both in the United States and abroad, is expensive and takes many years, if approval is obtained at all, and can vary substantially based upon a variety of factors, including the type, complexity and novelty of the product candidates involved. Failure to obtain marketing approval for a product candidate will prevent us from commercializing the product candidate. We have not received approval to market TPST-1495, amezalpat or any future product candidates from regulatory authorities in any jurisdiction. We have no experience in submitting and supporting the applications necessary to gain marketing approvals, and, in the event regulatory authorities indicate that we may submit such applications, we may be unable to do so as quickly and efficiently as desired.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us from obtaining marketing approval or prevent or limit commercial use. Regulatory authorities have substantial discretion in the approval process and may refuse to accept or file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 of TPST-1495 and amezalpat and any future product candidates may be delayed or refused for many reasons, including: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our product candidates are safe and effective for any of their proposed indications;</w:t>
      </w:r>
    </w:p>
    <w:p>
      <w:pPr>
        <w:spacing w:after="0" w:line="16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populations studied in clinical trials may not be sufficiently broad or representative to assure efficacy and safety in the populations for which we seek approval;</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our product candidates’ clinical and other benefits outweigh their safety risks;</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or other comparable submission in foreign jurisdictions or to obtain regulatory approval in the United States or elsewhere;</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facilities of third-party manufacturers with which we contract or procure certain service or raw materials, may not be adequate to support approval of our product candidates; and</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if our product candidates meet their pre-specified safety and efficacy endpoints in clinical trials, the regulatory authorities may not complete their review processes in a timely manner and may not consider such clinical trial results sufficient to grant,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Regulatory authorities also may approve a product candidate for more limited indications than requested or they may impose significant limitations in the form of narrow indications, warnings, contraindications or Risk Evaluation and Mitigation Strategies (“REMS”). These regulatory authorities may also grant approval subject to the performance of costly post-marketing clinical trials. In addition, regulatory authorities may not approve the labeling claims that are necessary or desirable for the successful commercialization of our product candidates. Any of the foregoing scenarios could materially harm the commercial prospects for our product candidates and adversely affect our business, financial condition, results of operations and prospects.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TPST-1495, amezalpat and any future product candidates may cause undesirable and/or unforeseen side effects or be perceived by the public as unsafe, which could delay or prevent their advancement into clinical trials or regulatory approval, limit the commercial potential or result in significant negative consequences.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is the case with pharmaceuticals generally, it is likely that there may be side effects and adverse events associated with our product candidates’ use. Results of our clinical trials could reveal a high and unacceptable severity and prevalence of side effects or unexpected characteristics. As we continue developing our product candidates and initiate clinical trials of our additional product candidates, serious adverse events (“SAEs”), undesirable side effects, relapse of disease or unexpected characteristics may emerge causing us to abandon these product candidates or limit their development to more narrow uses or subpopulations in which the SAEs or undesirable side effects or other characteristics are less prevalent, less severe or more acceptable from a risk-benefit perspective or in which efficacy is more pronounced or durable.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any such adverse events occur, our clinical trials could be suspended or terminated and the FDA, the HPFB, the European Commission, the EMA or other regulatory authorities could order us to cease further development of, or deny approval of, our product candidates for any or all targeted indications. Even if we can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adversely affect our business, financial condition, results of operations and prospects significantly, including our ability to successfully sign collaboration or license agreements with external partners. Other treatments for cancers that utilize prostaglandin E2 antagonist or a PPARα antagonist or similar mechanism of action could also generate data that could adversely affect the clinical, regulatory or commercial perception of TPST-1495 and amezalpat and any future product candidates.</w:t>
      </w:r>
    </w:p>
    <w:p>
      <w:pPr>
        <w:spacing w:after="0" w:line="19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Additionally, if any of our product candidates receives marketing approval, the FDA could require us to adopt a REMS to ensure that the benefits of the product outweigh our risks, which may include, for example, a Medication Guide outlining the risks of the product for distribution to patients and a communication plan to health care practitioners, or other elements to assure safe use of the product.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Furthermore, if we or others later identify undesirable side effects caused by our product candidates, several potentially significant negative consequences could result, including:</w:t>
      </w:r>
    </w:p>
    <w:p>
      <w:pPr>
        <w:spacing w:after="0" w:line="162"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or withdraw approvals of such product candidate;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in the product labeling;</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candidate is administered or conduct additional clinical trials;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occurrences may harm our business, financial condition, results of operations and prospects significantly.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expand our pipeline of product candidates and develop marketable products.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are researching or have in preclinical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obtaining manufacturing supply capability,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develop further product candidates, we may not be able to obtain product revenue in future periods, which would adversely affect our business, prospects, financial condition and results of operations.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our pipeline includes multiple programs, we are primarily focused on our lead product candidates, TPST-1495 and amezalpat, and we may forego or delay pursuit of opportunities with other product candidates or for other indications that later prove to have greater commercial potential. Our resource allocation decisions may cause us to fail to capitalize on viable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will be subject to extensive post-marketing regulatory requirements and could be subject to post-marketing restrictions or withdrawal from the market, and we may be subject to penalties if we fail to comply with regulatory requirements or if we experience unanticipated problems with our product candidates, when and if any of them are approved.</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potential commercialization, including their testing, manufacturing, recordkeeping, labeling, storage, approval, advertising, promotion, sale and distribution, are subject to comprehensive regulation by the FDA and other U.S. and international regulatory authorities. These requirements include submissions of safety and other post-marketing information and reports, registration and listing requirements, requirements relating to manufacturing, including current Good Manufacturing Practices (“cGMP”), quality control, quality assurance and corresponding maintenance of records and documents, including periodic inspections by the FDA and other regulatory authorities and requirements regarding the distribution of samples to providers and recordkeeping. In addition, manufacturers of drug products and their facilities are subject to continual review and periodic, unannounced inspections by the FDA and other regulatory authorities for compliance with cGMP.</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or efficacy of any approved product. The FDA closely regulates the post-approval marketing and promotion of drugs to ensure that they are marketed in a manner consistent with the provisions of the approved labeling. The FDA imposes stringent restrictions on manufacturers’ communications regarding use of their products. If we promote our product candidates in a manner inconsistent with FDA-approved labeling or otherwise not in compliance with FDA regulations, we may be subject to enforcement action. Violations of the FFDCA relating to the promotion of prescription drugs may lead to investigations alleging violations of federal and state healthcare fraud and abuse laws, as well as state consumer protection laws and similar laws in international jurisdictions.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 candidates, manufacturers or manufacturing processes, or failure to comply with regulatory requirements, may yield various results, including:</w:t>
      </w:r>
    </w:p>
    <w:p>
      <w:pPr>
        <w:spacing w:after="0" w:line="162"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 candidates, manufacturers or manufacturing processes;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any approved product from the market;</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 candidates;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 candidates;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product candidates and generate revenue and could require us to expend significant time and resources in response and could generate negative publicity. 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it may lose any marketing approval that we have obtained, and we may not achieve or sustain profitability.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Non-compliance with Canadian and European requirements regarding safety monitoring or pharmacovigilance, and with requirements related to the development of products for the pediatric population, can also result in significant financial penalties.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market and sell TPST-1495, amezalpat and any future product candidates in other jurisdictions, we must obtain separate marketing approvals and comply with numerous and varying regulatory requirements. The approval procedure varies among countries and can involve additional testing. The time and data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Failure to obtain foreign regulatory approvals or non-compliance with foreign regulatory requirements could result in significant delays, difficulties and costs for us and could delay or prevent the introduction of our product candidates in certain countries.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and Manufacturing</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our product candidates, including TPST-1495 and amezalpat, will depend upon their degree of market acceptance by providers, patients, patient advocacy groups, third-party payors and the general medical community.</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if the requisite approvals from the FDA, the HPFB, the EMA and other regulatory authorities internationally are obtained, the commercial success of our product candidates will depend, in part, on the acceptance of providers, patients and third-party payors of drugs designed to act as a dual antagonist of EP2 and EP4 and PPARα antagonists in general, and our product candidates in particular, as medically necessary, cost-effective and safe. In addition, we may face challenges in seeking to establish and grow sales of TPST-1495 and amezalpat or any future product candidates. Any product that we commercialize may not gain acceptance by providers, patients, patient advocacy groups, third-party payors and the general medical</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community. If these products do not achieve an adequate level of acceptance, we may not generate significant product revenue and may not become profitable.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Even if a potential product displays a favorable efficacy and safety profile in preclinical studies and clinical trials, market acceptance of the product will not be fully known until after it is launched.</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pricing, insurance coverage and reimbursement status of newly approved products is uncertain. Failure to obtain or maintain adequate coverage and reimbursement for our product candidates, if approved, could limit our ability to market those products and decrease our ability to generate product revenue.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Successful sales of our product candidates, if approved, depend on the availability of coverage and adequate reimbursement from third-party payors including governmental healthcare programs, such as Medicare and Medicaid, managed care organizations and commercial payors, among others. Significant uncertainty exists as to the coverage and reimbursement status of any product candidates for which we obtain regulatory approval. In addition, because our product candidates represent new approaches to the treatment of cancer, we cannot accurately estimate the potential revenue from our product candidates.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that coverage and reimbursement by third-party payors will be essential for most patients to be able to afford these treatments. Accordingly, sales of our product candidates will depend substantially, both domestically and internationally, on the extent to which the costs of our product candidates will be paid by health maintenance, managed care, pharmacy benefit and similar healthcare management organizations, or will be reimbursed by government payors, private health coverage insurers and other third-party payors. Even if coverage is provided, the established reimbursement amount may not be high enough to allow us to establish or maintain pricing sufficient to realize a sufficient return on our investment.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will be covered and reimbursed. The Medicare program covers certain individuals aged 65 or older, disabled or suffering from end-stage renal disease. The Medicaid program, which varies from state-to-state, covers certain individuals and families who have limited financial means. The Medicare and Medicaid programs increasingly are used as models for how private payors and other government payors develop their coverage and reimbursement policies for drugs. One payor’s determination to provide coverage for a drug product, however, does not assure that other payors will also provide coverage for the drug product. Further, a payor’s decision to provide coverage for a drug product does not imply that an adequate reimbursement rate will be approved.</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government and private payors, professional organizations such as the American Medical Association, can influence decisions about coverage and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compared to existing alternatives. Such organizations may set guidelines that limit reimbursement or utilization of our product candidates, if approved. Even if favorable coverage and reimbursement status is attained for one or more product candidates for which our collaborators receive regulatory approval, less favorable coverage policies and reimbursement rates may be implemented in the future.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therapeutics such as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revenues and profits.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increasing efforts by government and other third-party payors, in the United States and internationally, to cap or reduce healthcare costs may cause such payors to limit both coverage and the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certain third-party payors, such as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 Recently there have been instances in which third-party payors have refused to reimburse treatments for patients for whom the treatment is indicated in the FDA-approved product labeling. Even if we are successful in obtaining FDA approval to commercialize our product candidates, we cannot guarantee that we will be able to secure reimbursement for all patients for whom treatment with our product candidates is indicated.</w:t>
      </w:r>
    </w:p>
    <w:p>
      <w:pPr>
        <w:spacing w:after="0" w:line="18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third parties on which we depend to conduct our planned preclinical studies or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on third-party CROs, CMOs, consultants and others to design, conduct, supervise and monitor key activities relating to, testing, discovery, manufacturing, preclinical studies and clinical trials of our product candidates, and we intend to do the same for future activities relating to existing and future programs. Because we rely on third parties and does not have the ability to conduct all required testing,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testing, discovery, manufacturing, preclinical studies or clinical trials being delayed or unsuccessful, in whole or in part.</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as well as in accordance with GLP, GCP and other applicable laws, regulations and standards. Our reliance on third parties that we do not control does not relieve us of these responsibilities and requirements. The FDA and other regulatory authorities enforce GCP through periodic inspections of trial sponsors, principal investigators and trial sites. If we or any of these third parties fails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have complied with GCP. In addition, our clinical trials must be conducted with product produced in accordance with cGMP. Our failure to comply with these regulations may require us to repeat clinical trials, which could delay or prevent the receipt of regulatory approvals. Any such event could have an adverse effect on our business, financial condition, results of operations and prospects.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in an environment of rapid technological change, and it is possible that our competitors may achieve regulatory approval before us or develop therapies that are more advanced or effective than our therapies, which may harm our business, financial condition and our ability to successfully market or commercialize TPST-1495, amezalpat, and any future product candidates.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biopharmaceutical industry, and the immuno-oncology industry specifically, is characterized by intense competition and rapid innovation. We are aware of other companies focused on developing cancer therapies in various indications. We may also face competition from large and specialty pharmaceutical and biotechnology companies, academic research institutions, government agencies and public and private research institutions that conduct research, seek patent protection, and establish collaborative arrangements for research, development, manufacturing and commercialization.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of our potential competitors, alone or with their strategic partners, may have substantially greater financial, technical and other resources than we do, such as larger research and development, clinical, marketing and manufacturing organizations. Mergers and acquisitions in the biotechnology and pharmaceutical industries may result in even more resources being concentrated among a smaller number of competitors. Our commercial opportunity could be reduced or eliminated if competitors develop and commercialize products that are safer, more effective, have fewer or less severe side effects, are more convenient or are less expensive than any product candidates that we may develop. Competitors also may obtain FDA or other regulatory approval for their products more rapidly than we may obtain approval for our products, which could result in our competitors establishing a strong market position before we are able to enter the market, if ever. Additionally, new or advanced technologies developed by our competitors may render our current or future product candidates uneconomical or obsolete, and we may not be successful in marketing our product candidates against competitors.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become and remain profitable, we must develop and eventually commercialize product candidates with significant market potential, which will require us to be successful in a range of challenging activities. These activities include, among other things, completing preclinical studies and initiating and completing clinical trials of our product candidates, obtaining marketing approval for these product candidates, manufacturing, marketing and selling those products that are approved and satisfying any post marketing requirements.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common stock and could impair our ability to raise capital, maintain our research and development efforts, expand our business or continue operations. A decline in the value of our common stock also could cause you to lose all or part of your investment.</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rely on third parties to manufacture our clinical product supplies, and we may have to rely on third parties to produce and process our product candidates, if approved.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must currently rely on outside vendors to manufacture supplies and process our product candidates. We have not yet manufactured or processed our product candidates on a commercial scale and may not be able to achieve manufacturing and processing and may be unable to create an inventory of mass-produced, off-the-shelf product to satisfy demands for any of our product candidates.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yet have sufficient information to reliably estimate the cost of the commercial manufacturing and processing of our product candidates, and the actual cost to manufacture and process our product candidates could materially and adversely affect the commercial viability of our product candidates. As a result, we may never be able to develop a commercially viable product. In addition, we anticipate reliance on a limited number of third-party manufacturers exposes us to the following risks:</w:t>
      </w:r>
    </w:p>
    <w:p>
      <w:pPr>
        <w:spacing w:after="0" w:line="72" w:lineRule="exact"/>
        <w:rPr>
          <w:sz w:val="20"/>
          <w:szCs w:val="20"/>
          <w:color w:val="auto"/>
        </w:rPr>
      </w:pPr>
    </w:p>
    <w:p>
      <w:pPr>
        <w:jc w:val="both"/>
        <w:ind w:left="1020" w:hanging="503"/>
        <w:spacing w:after="0" w:line="261"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identify manufacturers on acceptable terms or at all because the number of potential manufacturers is limited, and the FDA may have questions regarding any replacement contractor. This may require new testing and regulatory interactions. In addition, a new manufacturer would have to be educated in, or develop substantially equivalent processes for, production of our products after receipt of FDA questions, if any.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020" w:right="6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might be unable to timely formulate and manufacture our product or produce the quantity and quality required to meet our clinical and commercial needs, if any.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manufacturers may not be able to execute our manufacturing procedures appropriately.</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contract manufacturers may not perform as agreed or may not remain in the contract manufacturing business for the time required to supply our clinical trials or to successfully produce, store and distribute our products.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Manufacturers are subject to ongoing periodic unannounced inspection by the FDA, the Drug Enforcement Administration and corresponding state agencies to ensure strict compliance with cGMP and other government regulations and corresponding foreign standards. We do not have control over third-party manufacturers’ compliance with these regulations and standards.</w:t>
      </w:r>
    </w:p>
    <w:p>
      <w:pPr>
        <w:spacing w:after="0" w:line="6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own, or may have to share, the intellectual property rights to any improvements made by our third-party manufacturers in the manufacturing process for our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could breach or terminate their agreement(s) with us.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contract manufacturers would also be subject to the same risks we face in developing our own manufacturing capabilities, as described above. Each of these risks could delay our clinical trials, the approval, if any, of our product candidates by the FDA or the commercialization of our product candidates or result in higher costs or deprive us of potential product revenue. In addition, we will rely on third parties to perform release tests on our product candidates prior to delivery to patients. If these tests are not appropriately done and test data are not reliable, patients could be put at risk of serious harm.</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our ability to obtain marketing approval, or our ability to provide supply of our product candidates for patients, if approved, could be delayed or stopped.</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intend to establish manufacturing relationships with a limited number of suppliers to manufacture raw materials, the drug substance and finished product of any product candidate for which we are responsible for preclinical or clinical development. Each supplier may require licenses to manufacture such components if such processes are not owned by the supplier or in the public domain. As part of any marketing approval, a manufacturer and its processes are required to be qualified by the FDA prior to regulatory approval. If supply from the approved vendor is interrupted, there could be a significant disruption in commercial supply. An alternative vendor would need to be qualified through an NDA supplement which could result in further delay. The FDA or other regulatory agencies outside of the United States may also require additional studies if a new supplier is relied upon for commercial production. Switching vendors may involve substantial costs and is likely to result in a delay in our desired clinical and commercial timelines.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process of manufacturing drugs is complex, highly regulated and subject to multiple risks. Manufacturing drugs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at the facilities of our manufacturers, such facilities may need to be closed for an extended period of time to investigate and remedy the contamination, which could delay clinical trials and adversely harm our business. Moreover, if the FDA determines that our CMOs are not in compliance with FDA laws and regulations, including those governing cGMP, the FDA may deny an NDA approval until the deficiencies are corrected or we replace the manufacturer in our NDA with a manufacturer that is in compliance.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cGMP. Furthermore, although we do not have day-to-day control over the operations of our CMOs, we are responsible for ensuring compliance with applicable laws and regulations, including cGMP.</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If our manufacturers are unable to produce sufficient quantities for clinical trials or for commercialization, commercialization efforts would be impaired, which would have an adverse effect on our business, financial condition, results of operations and prospects.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we will rely upon a limited number of manufacturers for our product candidates, which may include single-source suppliers for the various steps of manufacture. This reliance on a limited number of manufacturers and the complexity of drug manufacturing and the difficulty of scaling up a manufacturing process could cause the delay of clinical trials, regulatory submissions, required approvals or commercialization of our product candidates, cause us to incur higher costs and prevent us from commercializing our product candidates successfully. Furthermore, if our suppliers fail to deliver the required commercial quantities of materials on a timely basis and at commercially reasonable prices, and we are unable to secure one or more replacement suppliers capable of production in a timely manner at a substantially equivalent cost, our clinical trials may be delayed or we could lose potential revenue.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and marketing capabilities or enter into agreements with third parties to market and sell our product candidates, we may be unable to generate any revenues.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do not have an organization for the sales, marketing and distribution of TPST-1495, amezalpat or any future product candidates, and the cost of establishing and maintaining such an organization may exceed the cost-effectiveness of doing so. To market any products that may be approved, we must build our sales, marketing, managerial and other non-technical capabilities or make arrangements with third parties to perform these services. With respect to certain of our current programs as well as future programs, we may rely completely on an alliance partner for sales and marketing. In addition, although we intend to establish a sales organization if we are able to obtain approval to market any product candidates, we may enter into strategic alliances with third parties to develop and commercialize TPST-1495, amezalpat and any future product candidates, including in markets outside of the United States or for other large markets that are beyond our resources. This will reduce the revenue generated from the sales of these products.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future strategic alliance partners may not dedicate sufficient resources to the commercialization of our product candidates or may otherwise fail in their commercialization due to factors beyond our control. If we are unable to establish effective alliances to enable the sale of our product candidates to healthcare professionals and in geographical regions, including the United States, that will not be covered by our marketing and sales force, or if our potential future strategic alliance partners do not successfully commercialize the product candidates, our ability to generate revenues from product sales will be adversely affected.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unable to establish adequate sales, marketing and distribution capabilities, whether independently or with third parties, we may not be able to generate sufficient product revenue and may not become profitable.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finding strategic collaborators for continuing development of certain of our future product candidates or successfully commercializing or competing in the market for certain indications.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future, we may decide to collaborate with non-profit organizations, universities and pharmaceutical and biotechnology companies for the development and potential commercialization of existing and new product candidates. 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for our product candidate. The terms of any additional collaborations or other arrangements that we may establish may not be favorable to us.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expense. If we elect to increase our expenditures to fund development or commercialization activities on our product candidates,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success of any potential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such collaboration arrangements.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or any failure by our partners to perform their obligations under collaboration agreements, would adversely affect us financially and could harm our business reputation or negatively impact our ability to successfully develop, obtain regulatory approvals for and commercialize our product candidates.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regulatory approval process is lengthy and time consuming, and we may experience significant delays in the clinical development and regulatory approval of our product candidates.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Obtaining FDA approval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clinical or other data. Even if we eventually complete clinical testing and receive approval for our product candidates, the FDA may approve our product candidates for a more limited indication or a narrower patient population than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also experience delays in obtaining regulatory approvals, including but not limited to:</w:t>
      </w:r>
    </w:p>
    <w:p>
      <w:pPr>
        <w:spacing w:after="0" w:line="225"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authorization to begin a trial, if applicable;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study protocols and need to conduct additional studies as may be required by a regulator;</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or regulatory delays and changes in regulation or policy relating to the development and commercialization of our product candidate by the FDA or other comparable foreign regulatory authorities;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meeting regulatory requirements established by the FDA, and other comparable foreign regulatory authorities;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financial resources to commence and complete the planned trials;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the terms of any collaboration agreements we may choose to initiate or conclude;</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prospective CROs and clinical trial sites, the terms of which can be subject to extensive negotiation and may vary significantly among different CROs and trial sites;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third-party contractors, such as CROs, or investigators to comply with regulatory requirements, including GCPs;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obtaining the necessary approvals from regulators or institutional review boards (“IRBs”), in order to commence a clinical trial at a prospective trial site, or their suspension or termination of a clinical trial once commenced;</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recruit and enroll suitable patients to participate in a trial;</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patients complete a trial, including having patients enrolled in clinical trials dropping out of the trial before the product candidate is manufactured and returned to the site, or return for post-treatment follow-up;</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having patients complete a trial or return for post-treatment follow-up;</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deviating from trial protocol or dropping out of a trial;</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patient safety concerns that arise during the course of a trial;</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add new clinical trial sites; or</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the data generated from our preclinical or clinical trials;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intellectual property disputes, including patent infringement actions brought by third parties;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establishing, expanding and scaling manufacturing capabilities;</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manufacture, or obtain from third parties, sufficient quantities of qualified materials under cGMP, for the completion in pre-clinical and clinical studies;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biopharmaceutical product candidate storage, stability and distribution resulting in global supply chain disruptions;</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any product candidate for which we may receive regulatory approval in regions where we choose to commercialize our products on our own; or</w:t>
      </w:r>
    </w:p>
    <w:p>
      <w:pPr>
        <w:spacing w:after="0" w:line="161"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unforeseen business disruptions or market fluctuations that delay our product development or clinical trials and increase our costs or expenses, such as business or operational disruptions, delays, or system failures due to malware, unauthorized access, terrorism, war, natural disasters, strikes, geopolitical conflicts (such as the Russia-Ukraine war and the Israel-Hamas war), restrictions on trade, import or export restrictions, or public health crises.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could also encounter delays if physicians encounter unresolved ethical issues associated with enrolling patients in clinical trials of our product candidates in lieu of prescribing existing treatments that have established safety and efficacy profiles. Further, a clinical trial may be suspended or terminated by us, the IRBs for the institutions in which such trials are being conducted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safety issues or adverse side effects, failure to demonstrate a benefit from using a product candidate, changes in governmental regulations or administrative actions, lack of adequate funding to continue the clinical trial, or based on a recommendation by the Data Safety Monitoring Committee.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Many of the factors that cause, or lead to, a delay in the commencement or completion of clinical trials may ultimately lead to the denial of regulatory approval of our product candidates.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Breakthrough Therapy designation or Fast Track designation by the FDA for one or more of our product candidates but may not receive such designation. Even if we secure such designation, it may not lead to a faster development or regulatory review or approval process and it does not increase the likelihood that our product candidates will receive marketing approval.</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seek Breakthrough Therapy or Fast Track designation for some of our product candidates. In February 2025, we announced that the FDA had granted Fast Track Designation to amezalpat for the treatment of HCC. If a product candidate is intended for the treatment of a serious or life-threatening condition and clinical or preclinical data demonstrate the potential to address unmet medical needs for this condition, the product candidate may be eligible for Fast Track designation. The benefits of Fast Track designation include more frequent meetings with FDA to discuss the drug’s development plan and ensure collection of appropriate data needed to support drug approval, more frequent written communication from FDA about such things as the design of the proposed clinical trials and use of biomarkers, eligibility for Accelerated Approval and Priority Review, if relevant criteria are met, and rolling review, which means that a drug company can submit completed sections of our NDA for review by FDA, rather than waiting until every section of our NDA is completed before the entire application can be reviewed. NDA review usually does not begin until the entire application has been submitted to the FDA.</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breakthrough therapy is defined as a drug that is intended, alone or in combination with one or more other drugs or biologics,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by the FDA may be eligible for all features of Fast Track designation, intensive guidance on an efficient drug development program, beginning as early as Phase 1, and organizational commitment involving senior managers at FDA.</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has broad discretion whether or not to grant these designations, so even if we believe a particular product candidate is eligible, we cannot assure that the FDA would decide to grant the designation. Even if we obtain Fast Track designation and/or Breakthrough Therapy designation for one or more of our product candidates, it may not experience a faster development process, review or approval compared to non-expedited FDA review procedures. In addition, the FDA may withdraw Fast Track designation or Breakthrough Therapy designation if it believes that the designation is no longer supported. These designations do not guarantee qualification for the FDA’s priority review procedures or a faster review or approval process, including for amezalpat for the treatment of HCC.</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attempt to secure FDA approval of our product candidates through the accelerated approval pathway. If we are unable to obtain accelerated approval, we may be required to conduct additional preclinical studies or clinical trials beyond those that we currently contemplate, which could increase the expense of obtaining, and delay the receipt of, necessary marketing approvals.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developing certain product candidates for the treatment of serious conditions, and therefore may decide to seek approval of such product candidates under the FDA’s accelerated approval pathway. A product may be eligible for accelerated approval if it is designed to treat a serious or life-threatening disease or condition and provides a meaningful therapeutic benefit over existing treatments based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of or lack of alternative treatments. For the purposes of accelerated approval, a surrogate endpoint is a marker, such as a laboratory measurement, radiographic image, physical sign, or other measure that is thought to predict clinical benefit, but is not itself a measure of clinical benefit.</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verity and describe the drug’s anticipated effect on irreversible morbidity or mortality or other clinical benefit. In some cases, the FDA may require that the trial be designed, initiated, and/or fully enrolled prior to approval. If the sponsor fails to conduct such studies in a timely manner, or if such post-approval studies fail to verify the drug’s predicted clinical benefit, or if other evidence demonstrates that our product candidate is not shown to be safe and effective under the conditions of use, the FDA may withdraw its approval of the drug on an expedited basis.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decide to submit an NDA seeking accelerated approval or receive an expedited regulatory designation for any of our product candidates, there can be no assurance that such submission or application will be accepted or that any expedited development, review or approval will be granted on a timely basis, or at all. If any of our competitors were to receive full approval on the basis of a confirmatory trial for an indication for which we are seeking accelerated approval before we receive accelerated approval, the indication we are seeking may no longer qualify as a condition for which there is an unmet medical need and accelerated approval of our product candidate would be more difficult or may not occur.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Failure to obtain accelerated approval or any other form of expedited development, review or approval for our product candidates would result in a longer time period to commercialization of such product candidate, if any, and could increase the cost of development of such product candidate harm our competitive position in the marketplace.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Although we have received orphan drug designation for amezalpat and may continue to seek orphan drug designation for some or all of our current or future product candidates, we may be unsuccessful in obtaining Orphan Drug Designation for our product candidates or transfer of designations obtained by others for future product candidates, and, even if we obtain such designation, we may be unable to maintain the benefits associated with Orphan Drug Designation, including the potential for market exclusivity.</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January 2025, we received Orphan Drug Designation for amezalpat for the treatment of patients with HCC. We may continue to seek orphan drug designation for one or more of our current or future product candidates, including TPST-1495. The FDA may designate drugs intended to treat relatively small patient populations as orphan drugs. Under the Orphan Drug Act, the FDA may designate a drug as an orphan drug if it is intended to treat a rare disease or condition, which is defined as a patient population of fewer than 200,000 individuals in the United States, or a patient population greater than 200,000 in the United States when there is no reasonable expectation that the cost of developing and making available the drug in the United States will be recovered from sales in the United States for that drug. Orphan drug designation must be requested before submitting an NDA. In the United States, Orphan Drug Designation entitles a party to financial incentives such as opportunities for tax credits for qualified clinical research costs and exemption from prescription drug user fees. Generally, if a drug with an Orphan Drug Designation subsequently receives the first marketing approval for the indication for which it has such designation, the drug is entitled to a period of marketing exclusivity, which precludes FDA from approving another marketing application for the same drug and indication for that time period, except in limited circumstances. If a competitor is able to obtain orphan drug exclusivity prior to us for a product that constitutes the same active moiety and treats the same indications as our product candidates, we may not be able to obtain approval of our drug by the applicable regulatory authority for a significant period of time unless we are able to show that our drug is clinically superior to the approved drug. The applicable period is seven years in the United States.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seek Orphan Drug Designation for one or more of our product candidates in the United States as part of our business strategy. However, Orphan Drug Designation does not guarantee future orphan drug marketing exclusivity. Even after an orphan drug is approved, the FDA can also subsequently approve a later application for the same drug for the same condition if the FDA concludes that the later drug is clinically superior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 designation.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Moreover, orphan drug exclusive marketing rights in the United States may be lost if the FDA later determines that the request for designation was materially defective or if we are unable to manufacture sufficient quantities of the product to meet the needs of patients with the rare disease or condition. Orphan Drug Designation neither shortens the development time or regulatory review time of a drug nor gives the drug any advantage in the regulatory review or approval process.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Enacted and future legislation may increase the difficulty and cost for us to commercialize and obtain marketing approval of our product candidates and may affect the prices we may set.</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as amended by the Health Care and Education Reconciliation Act of 2010, or collectively the Affordable Care Act (“ACA”), was enacted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example, on August 16, 2022, the Inflation Reduction Act of 2022 (“IRA”) was signed into law, which among other things, extends enhanced subsidies for individuals purchasing health insurance coverage in ACA through plan year 2025. The IRA also reduces the "donut hole" under the Medicare Part D program beginning in 2025 by significantly lowering the beneficiary maximum out-of-pocket cost and through a newly established manufacturer discount program. In the future, there may be other efforts to challenge, repeal or replace the ACA. For example, on July 4, 2025, the annual reconciliation bill, the “One Big Beautiful Bill Act” (“OBBBA”), was signed into law which is expected to reduce Medicaid spending and enrollment by implementing work requirements for some beneficiaries, capping state-directed payments, reducing federal funding, and limiting provider taxes used to fund the program. OBBBA also narrows access to ACA marketplace exchange enrollment and declines to extend the ACA enhanced advanced premium tax credits, set to expire at the end of 2025, which, among other provisions in the law, are anticipated to reduce the number of Americans with health insurance. We are continuing to monitor any further changes to the ACA that, in turn, may potentially impact our business in the future.</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Recently, the cost of prescription pharmaceuticals has been the subject of considerable discussion in the United States at both the federal and state levels. The heightened governmental scrutiny in the United States of pharmaceutical pricing practices in light of the rising cost of prescription drugs and biologics, also has resulted in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the IRA, among other things, (1) directs HHS to negotiate the price of certain high-expenditure, single-source drugs covered under Medicare that have been on the market for at least 7 years (the “Medicare Drug Price Negotiation Program”) and (2) imposes rebates under Medicare Part B and Medicare Part D to penalize price increases that outpace inflation. These provisions began to take effect progressively in fiscal year 2023. On August 15, 2024, HHS announced the agreed-upon price of the first ten drugs that were subject to price negotiations, although the Medicare Drug Price Negotiation Program is currently subject to legal challenges. On January 17, 2025, HHS selected fifteen additional products covered under Part D for price negotiation in 2025. Each year thereafter more Part B and Part D products will become subject to the Medicare Drug Price Negotiation Program.</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current Trump administration is pursuing policies to reduce regulations and expenditures across government including at HHS, the FDA, the National Institutes of Health, CMS and related agencies. These actions, presently directed by executive orders or memoranda from the Office of Management and Budget, may propose policy changes that create additional uncertainty for our business. For example, on September 30, 2025, the current administration announced the first agreement with a major pharmaceutical company that requires the drug manufacturer to offer, through a direct to consumer platform, U.S. patients and Medicaid programs prescription drug Most-Favored Nation pricing equal to or lower than those paid in other developed nations, with additional mandates for direct-to-patient discounts and repatriation of foreign revenues. Other recent actions and proposals include, for example, (1) reducing agency workforce; (2) directing program cuts; (3) rescinding a Biden administration executive order tasking the Center for Medicare and Medicaid Innovation (“CMMI”) to consider new payment and healthcare models to limit drug spending and eliminating the Biden administration’s executive order that directed HHS to establishing an AI task force and developing a strategic plan; (4) directing HHS and other agencies to lower prescription drug costs for Medicare through a variety of initiatives, including by improving upon the Medicare Drug Price Negotiation Program and establishing Most-Favored-Nation pricing for pharmaceutical products; (5) imposing tariffs of imported pharmaceutical products; (6) directing certain federal agencies to enforce existing law regarding hospital and price plan price transparency and by standardizing prices across hospitals and health plans, and (7) as part of the Make America Healthy Again (MAHA) Commission’s recent Strategy Report, working across government agencies to increase enforcement on direct-to-consumer pharmaceutical advertising. These actions and policies may significantly reduce U.S. drug prices, potentially impacting manufacturers’ global pricing strategies and profitability, while increasing their operational costs and compliance risks. Additionally, in its June 2024 decision in Loper Bright Enterprises v. Raimondo (“Loper Bright”),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our operations, including those issued</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by the FDA. Congress may introduce and ultimately pass health care related legislation that could impact the drug approval process and make changes to the Medicare Drug Price Negotiation Program created under the IRA.</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state level, legislatures and agencies are increasingly passing legislation and implementing regulations designed to control spending on and patient out-of-pocket costs for drug products. These measures include constraints on pricing, discounting and reimbursement; restrictions on certain product access and marketing; cost disclosure and transparency measures that require detailed reporting of drug pricing and marketing information both at product launch and in the event of a price increase; and, in some cases, measures designed to encourage importation from other countries and bulk purchasing.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that the ACA and the IRA,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also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FDA’s ability to review and approve new products may be hindered by a variety of factors, including budget and funding levels, ability to hire and retain key personnel, statutory, regulatory and policy changes and global health concerns.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In addition, government funding of other government agencies that fund research and development activities is subject to the political process, which is inherently fluid and unpredictable. Disruptions at the FDA and other agencies may also slow the time necessary for new drugs to be reviewed and/or approved by necessary government agencies, which would adversely affect our business. For example, over the last several years, including in October 2025, the U.S. government has shut down several times and certain regulatory agencies, such as the FDA, have had to furlough critical employees and stop critical activities. If the current government shutdown continues or a prolonged government shutdown occurs, it could significantly impact the ability of the FDA to timely review and process our regulatory submissions, which could have a material adverse effect on our business.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ability of the FDA and other government agencies to properly administer their functions is highly dependent on the levels of government funding and the ability to fill key leadership appointments, among various factors. Delays in filling or replacing key positions could significantly impact the ability of the FDA and other agencies to fulfill their functions, and could greatly impact healthcare and the pharmaceutical industry. In addition, the current administration has proposed implemented substantial reductions in force at various government agencies including the FDA, which could significantly reduce the FDA’s capacity to perform its functions in a manner consistent with its past practices and could delay reviews and negatively impact our business.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the third parties with whom we work are subject to stringent and evolving U.S. and foreign laws, regulations, and rules, contractual obligations, industry standards, policies and other obligations related to data privacy and security, and our (or the third parties with whom we work) actual or perceived failure to comply with them could harm our business.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collect, receive, store, process, generate, use, transfer, disclose, make accessible, protect, secure, dispose of, transmit, and share (collectively, “process”) a large quantity of personal data and other sensitive information, including proprietary and confidential business data, trade secrets, intellectual property, and patient health information in connection with our preclinical and clinical studies.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United States, there are numerous federal, state, and local privacy and data security laws and regulations governing the processing of personal data, including health information privacy laws, security breach notification laws, personal data privacy laws, consumer protection laws (e.g., Section 5 of the Federal Trade Commission Act), and other similar laws (e.g., wiretapping laws). Each of these laws is subject to varying interpretations and constantly evolving. In addition, we obtain health information from third parties (including research institutions from which it obtains clinical trial data) that are subject to privacy and security requirements under HIPAA, which imposes specific requirements relating to the privacy, security, and transmission of protected health information.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states have also adopted comprehensive privacy laws and regulations that impose certain obligations on covered businesses, including providing specific disclosures in privacy notices and affording residents with certain rights concerning their personal data. For example, the California Consumer Privacy Act, as amended by the California Privacy Rights Act (collectively, the “CCPA”) gives California residents expanded rights to access and delete their personal data, opt out of certain personal data sharing, and receive detailed information about how their personal information is used. The CCPA provides for civil penalties for violations, as well as a private right of action for data breaches that is expected to increase data breach litigation. Although the CCPA and other comprehensive U.S. state privacy laws exempt some data processed in the context of clinical trials, these developments further complicate compliance efforts if we become subject to those laws, potentially increasing our legal risk and compliance costs for us, and the third parties with whom we work. Similar laws are being considered in several other states, as well as at the federal and local levels, and we expect more states to pass similar laws in the future.</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govern data privacy and security. For example, in Canada, the Personal Information Protection and Electronic Documents Act (“PIPEDA”) and similar provincial laws may impose obligations with respect to processing personal data, including health-related information. PIPEDA requires companies to obtain an individual’s consent when collecting, using or disclosing that individual’s personal data. Individuals have the right to access and challenge the accuracy of their personal data held by an organization, and personal data may only be used for the purposes for which it was collected. If an organization intends to use personal data for another purpose, it must again obtain that individual’s consent. Failure to comply with PIPEDA could result in significant fines and penalties.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another example, the European Union’s General Data Protection Regulation (the “EU GDPR”) and the United Kingdom’s GDPR (the “UK GDPR”, and together with the EU GDPR, the “GDPR”) also impose strict requirements for processing personal data and substantial fines for breaches and violations (for example, under the EU GDPR, up to the greater of €20 million or 4% of our annual worldwide gross revenue). Additionally, under the GDPR, companies may face temporary or definitive bans on data processing and other corrective action or private litigation related to processing of personal data brought by classes of data subjects or consumer protection organizations authorized at law to represent their interests.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mechanisms are subject to legal challenges, and there is no assurance that we can satisfy or rely on these measures to lawfully transfer personal data to the United States.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Regulators in the United States such as the Department of Justice are also increasingly scrutinizing certain personal data transfers and have proposed, and may enact, certain data export restrictions and localization requirements. For example, the “Preventing Access to U.S. Sensitive Personal Data and Government-Related Data by Countries of Concern or Covered Persons” rule (the “Rule”) finalized by the Department of Justice in late 2024 and enacting the Biden Administration’s executive order “Preventing Access to Americans’ Bulk Sensitive Personal Data and United States Government-Related Data by Countries of Concern,” will take effect on April 8, 2025. The Rule prohibits or restricts various categories of transactions involving bulk sensitive personal data between U.S. persons and countries of concern or covered persons. Companies subject to the Rule face the risk of non-compliance with restrictions on transferring bulk sensitive personal data to countries of concern, such as China, Russia, or Iran, or covered persons, which could lead to significant penalties, including civil and criminal charges, as well as reputational damage and operational disruptions.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data privacy and security laws, we are contractually subject to industry standards adopted by industry groups and, we may become subject to such obligations in the future. We are also bound by contractual obligations related to data privacy and security, and our efforts to comply with such obligations may not be successful. We publish privacy policies, marketing materials and other statements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In addition, these obligations may require us to change our business model.</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Compliance with these obligations is a rigorous and time-intensive process, and we may be required to put in place additional mechanisms designed to ensure compliance with these obligations. If we fail (or are perceived to have failed) to comply with any such obligations, we may face significant consequences, including without limitation government enforcement actions (e.g., investigations, fines and penalties, audits, inspections); litigation (including class-action claims) and mass arbitration demands); additional reporting requirements and/or oversight; bans or restrictions on processing personal data; orders to destroy or not use personal data; imprisonment of company officials; or other consequences that could adversely affect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of third parties with whom we work, or our data, are or were compromised, we could experience adverse consequences, including disclosure of sensitive information, damage to our reputation, and significant financial and legal exposure.</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with whom we work, process proprietary, confidential, and sensitive data, including personal data (such as health-related data), intellectual property, trade secrets (collectively, sensitive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information). Cyberattacks, malicious internet-based activity, online and offline fraud, and other similar activities threaten the confidentiality, integrity, and availability of our sensitive information and information technology systems, and those of the third parties with whom we work. These threats are increasing in their frequency, sophistication and intensity, have become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are vulnerable to a heightened risk of these attacks, including retaliatory cyberattacks, that could materially disrupt our systems and operations, supply chain, and ability to produce, sell and distribute our goods and services.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Cyberattacks could include wrongful conduct by hostile foreign governments, industrial espionage, wire fraud and other forms of cyber fraud, the deployment of harmful malware (including as a result of advanced persistent threat intrusions), denial-of-service attacks, social engineering attacks (including through deep-fakes, which are increasingly more difficult to identify as fake, and phishing attacks), malicious code (such as viruses and worms), denial-of-service attacks, credential stuffing attacks, credential harvesting, personnel misconduct or error, ransomware attacks, supply-chain attacks, software bugs, server malfunctions, software or hardware failures, loss of data, attacks enhanced or facilitated by AI or other information technology assets, fraud or other means to threaten confidentiality, integrity and availability of our sensitive information. We and the third parties with whom we work may also experience telecommunications failures, natural disasters, terrorism, war and other similar threats.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particular, severe ransomware attacks are becoming increasingly prevalent and can lead to significant interruptions in our operations, ability to provide our products or services, loss of sensitive information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more of our employees work remotely, the risk of a cybersecurity incident potentially occurring, and our investment in risk mitigations against such an incident, is increasing. For example, there has been an increase in phishing and spam emails as well as social engineering attempts from “hackers.”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rely on third parties and their technology to operate critical business systems to process sensitive information, including our CROs, CMOs and other contractors, consultants and law and accounting firms. Our ability to monitor these third parties’ information security practices is limited, and these third parties may not have adequate information security measures in place. If these third parties experience a security incident or other interruption, we could experience adverse consequences. While we may be entitled to damages if our third-party partners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devote resources to protect our information systems, we realize that cyberattacks are a threat, and there can be no assurance that our efforts will prevent information security breaches. We take steps designed to detect, mitigate, and remediate vulnerabilities in our information systems (such as our and the third parties’ with whom we work hardware and software). We have not, and may not in the future, however, detect and remediate all such vulnerabilities including on a timely basis. Further, we have, and may in the future, experience delays in developing and deploying remedial measures and patches designed to address identified vulnerabilities. Vulnerabilities could be exploited and result in a security incident.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the previously identified or similar threats have in the past and may in the future cause a security incident or other interruption that have in the past and may in the future result in unauthorized, unlawful, or accidental acquisition, modification, destruction, loss, alteration, encryption, disclosure of, or access to our sensitive information or our information technology systems, or those of the third parties with whom we work. For example, we have been the target of unsuccessful phishing attempts in the past, and expect such attempts will continue in the future. A security incident or other interruption could disrupt our ability (and that of third parties with whom we work) to provide our services.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expend significant resources or may have to modify our business activities (including our clinical trial activities) to try to protect against security incidents. Certain data privacy and security obligations require us to implement and maintain specific security measures or industry-standard or reasonable security measures to protect our information technology systems and sensitive information. Applicable data privacy and security obligations require us, or we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 or the failure to comply with such requirements could lead to adverse consequences.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successful or perceived security incident experienced by us or the third parties with whom we work could cause serious negative consequences for us, including, without limitation, the disruption of operations, the misappropriation of sensitive information, disclosure of corporate strategic plans, material disruption of our development programs and our business operations, government enforcement actions (e.g., investigations, fines, penalties, audits, inspections), additional reporting requirements and/or oversight, restrictions on processing sensitive information, litigation, indemnification obligations, reputational harm, negative publicity, and other harms. For example, the loss of data from preclinical studies or clinical trials could result in significant delays in our regulatory approval efforts and significantly increase our costs to recover or reproduce the data. To the extent that any disruption or security incident were to result in a loss of, or damage to, our sensitive information or applications, or inappropriate disclosure of such information, we could incur liability, our competitive position could be harmed, and the further development and commercialization of our product candidates could be significantly delayed.</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CMOs and consultants may engage in misconduct or other improper activities, including non-compliance with regulatory standards and requirements and insider trading.</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principal investigators, consultants and commercial partners. Misconduct by these parties could include intentional failures to comply with the regulations of FDA and non-U.S. regulators, to provide accurate information to the FDA and non-U.S. regulators, to comply with healthcare fraud and abuse laws and regulations in the United States and abroad, to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could cause serious harm to our reputation.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such actions are instituted against us, and we are not successful in defending or asserting our rights, those actions could have a significant impact on our business, including the imposition of significant fines or other sanctions.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and relationships with future customers, providers and third-party payors will be subject to applicable anti-kickback, fraud and abuse and other healthcare laws and regulations, which could expose us to penalties including criminal sanctions, civil penalties, contractual damages, reputational harm and diminished profits and future earnings.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Healthcare providers and third-party payors will play a primary role in the recommendation and prescription of any product candidates for which we obtain marketing approval. Our future arrangements with providers, third-party payors and customers will subject us to broadly applicable fraud and abuse and other healthcare laws and regulations that may constrain the business or financial arrangements and relationships through which we market, sell and distribute any product candidates for which we obtain marketing approval.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Restrictions under applicable U.S. federal and state healthcare laws and regulations include the following:</w:t>
      </w:r>
    </w:p>
    <w:p>
      <w:pPr>
        <w:spacing w:after="0" w:line="225" w:lineRule="exact"/>
        <w:rPr>
          <w:sz w:val="20"/>
          <w:szCs w:val="20"/>
          <w:color w:val="auto"/>
        </w:rPr>
      </w:pPr>
    </w:p>
    <w:p>
      <w:pPr>
        <w:jc w:val="both"/>
        <w:ind w:left="1020" w:hanging="503"/>
        <w:spacing w:after="0" w:line="25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a criminal law that prohibits, among other things, persons and entities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 A person or entity does not need to have actual knowledge of the federal Anti-Kickback Statute or specific intent to violate it in order to have committed a violation. Violations of the federal Anti-Kickback Statute can result in significant civil monetary penalties and criminal fines, as well as imprisonment and exclusion from participation in federal health care programs;</w:t>
      </w:r>
    </w:p>
    <w:p>
      <w:pPr>
        <w:spacing w:after="0" w:line="18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False Claims Act, imposes significant civil penalties and treble damages,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20" w:right="20"/>
        <w:spacing w:after="0" w:line="282" w:lineRule="auto"/>
        <w:rPr>
          <w:sz w:val="20"/>
          <w:szCs w:val="20"/>
          <w:color w:val="auto"/>
        </w:rPr>
      </w:pPr>
      <w:r>
        <w:rPr>
          <w:rFonts w:ascii="Times New Roman" w:cs="Times New Roman" w:eastAsia="Times New Roman" w:hAnsi="Times New Roman"/>
          <w:sz w:val="18"/>
          <w:szCs w:val="18"/>
          <w:color w:val="auto"/>
        </w:rPr>
        <w:t>may assert that a claim including items or services resulting from a violation of the U.S. federal Anti-Kickback Statute constitutes a false or fraudulent claim for purposes of the civil False Claims Act;</w:t>
      </w:r>
    </w:p>
    <w:p>
      <w:pPr>
        <w:spacing w:after="0" w:line="162" w:lineRule="exact"/>
        <w:rPr>
          <w:sz w:val="20"/>
          <w:szCs w:val="20"/>
          <w:color w:val="auto"/>
        </w:rPr>
      </w:pPr>
    </w:p>
    <w:p>
      <w:pPr>
        <w:jc w:val="both"/>
        <w:ind w:left="1020" w:hanging="503"/>
        <w:spacing w:after="0" w:line="26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Criminal Statute on False Statements Relating to Health Care Matters makes it a crime to knowingly and willfully falsify, conceal, or cover up a material fact, make any materially false, fictitious, or fraudulent statements or representations, or make or use any materially false writing or document knowing the same to contain any materially false, fictitious, or fraudulent statement or entry in connection with the delivery of or payment for healthcare benefits, items, or services;</w:t>
      </w:r>
    </w:p>
    <w:p>
      <w:pPr>
        <w:spacing w:after="0" w:line="179"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authorizes the imposition of substantial civil monetary penalties against an entity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health care program; (3) violations of the federal Anti-Kickback Statute; or (4) failing to report and return a known overpayment;</w:t>
      </w:r>
    </w:p>
    <w:p>
      <w:pPr>
        <w:spacing w:after="0" w:line="18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imposes criminal and civil liability for, among other things, knowingly and willfully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179"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requires applicable manufacturers of covered drugs, devices, biologics, and medical supplies for which payment is available under Medicare, Medicaid, or the Children’s Health Insurance Program, among others, to track and report payments and other transfers of value provided during the previous year to U.S. licensed physicians (defined to include doctors, dentists, optometrists, podiatrists, and chiropractors), other healthcare professionals (such as physician assistants and nurse practitioners), and, teaching hospitals, as well as certain ownership and investment interests held by physicians and their immediate family;</w:t>
      </w:r>
    </w:p>
    <w:p>
      <w:pPr>
        <w:spacing w:after="0" w:line="183" w:lineRule="exact"/>
        <w:rPr>
          <w:rFonts w:ascii="Times New Roman" w:cs="Times New Roman" w:eastAsia="Times New Roman" w:hAnsi="Times New Roman"/>
          <w:sz w:val="18"/>
          <w:szCs w:val="18"/>
          <w:color w:val="auto"/>
        </w:rPr>
      </w:pPr>
    </w:p>
    <w:p>
      <w:pPr>
        <w:ind w:left="1020" w:right="56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and</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54"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from government-funded healthcare programs, such as Medicare and Medicaid, disgorgement, contractual damages, reputational harm, diminished profits and future earnings, and the curtailment or restructuring of our operations. If any of the physicians or other healthcare providers or entities with whom we expect to do business is found to be not in compliance with applicable laws, it may be costly to us in terms of money, time and resources, and we may be subject to criminal, civil or administrative sanctions, including exclusion from government-funded healthcare programs.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may produce hazardous waste products. We generally contract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for costs and expenses, we may incur due to injuries to our employees resulting from the use of hazardous materials, this insurance may not provide adequate coverage against potential liabilities.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could materially adversely affect us.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New tax laws or regulations could be enacted at any time, and existing tax laws or regulations could be interpreted, modified or applied in a manner that is adverse to us, which could adversely affect our business and financial condition. For example, The U.S. government recently enacted the OBBBA, that (along with other recent U.S. federal tax reform legislation) has resulted in significant changes to the taxation of business entities including, among other changes, the imposition of minimum taxes and excise taxes, changes to the taxation of income derived from international operations, changes in the deduction and amortization of research and development expenditures, and limitations on the deductibility of business interest. The Inflation Reduction Act enacted in 2022 includes, among other changes, a minimum tax equal to 15% of the adjusted financial statement income of certain large corporations, as well as a 1% excise tax on certain share buybacks by public corporations that is imposed on such corporations. Future guidance from the Internal Revenue Service and other tax authorities with respect to any legislation may affect us, and certain aspects of such legislation could be repealed or modified in future legislation or sunset in future years.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obtain, maintain and protect our intellectual property. It is difficult and costly to protect our proprietary rights and technology, and we may not be able to ensure their protection.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commercial success will depend in large part on obtaining and maintaining patent, trademark, trade secret and other intellectual property protection of our proprietary technologies and product candidates, which include TPST-1495, amezalpat and any future product candidates we have in development, their respective components, formulations, combination therapies, methods used to manufacture them and methods of treatment, as well as successfully defending our patents and other intellectual property rights against third-party challenges. Our ability to stop unauthorized third parties from making, using, selling, offering to sell, importing or otherwise commercializing our product candidates is dependent upon the extent to which we have rights under valid and enforceable patents or trade secrets that cover these activities. If we are unable to secure and maintain patent protection for any product or technology we develop, or if the scope of the patent protection secured is not sufficiently broad, our competitors could develop and commercialize products and technology similar or identical to our, and our ability to commercialize any product candidates we may develop may be adversely affected.</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patenting process is expensive and time-consuming, and we may not be able to file and prosecute all necessary or desirable patent applications at a reasonable cost or in a timely manner. Additionally, recent reforms and changes at government agencies of the United States and those of non-U.S. jurisdictions could increase the uncertainties and costs surrounding the prosecution or maintenance of our patent applications, and the maintenance, enforcement, or defense of our issued patents. For example, the ability of the USPTO and other applicable patent authorities to properly administer their functions is highly dependent on the levels of funding available to the agency and their ability to retain key personnel and fill key leadership appointments, among various factors. Termination of employees or delays in replacing or hiring for key positions could significantly impact the ability of the USPTO and other applicable patent authorities to fulfill their functions and could greatly impact our ability to timely and adequately prosecute or maintain our patent applications, and our ability to timely and adequately maintain, enforce, or defend our issued patents. In addition, we may not pursue or obtain patent protection in all relevant markets. It is also possible that we will fail to identify patentable aspects of our research and development activities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may be reliant on our licensors or licensees to do so. Our pending and future patent applications may not result in issued patents. Even if patent applications we own currently or in the future or may license in the future issue as patents, they may not issue in a form that will provide us with any meaningful protection, prevent competitors or other third parties from competing with us, or otherwise provide us with any competitive advantage. Any patents that we hold or in-license may be challenged, narrowed, circumvented or invalidated by third parties. Consequently, we do not know whether any of our platform advances and product candidates will be protectable or remain protected by valid and enforceable patents. In addition, our existing patents and any future patents we obtain may not be sufficiently broad to prevent others from using our technology or from developing competing products and technologies.</w:t>
      </w:r>
    </w:p>
    <w:p>
      <w:pPr>
        <w:spacing w:after="0" w:line="18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depend on intellectual property licensed from third parties, and our future licensors may not always act in our best interest. If we fail to comply with our obligations under our intellectual property licenses, if the licenses are terminated, or if disputes regarding these licenses arise, we could lose significant rights that may be important to our business.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in the future depend on patents, know-how and proprietary technology licensed from third parties. Our licenses to such patents, know-how and proprietary technology may not provide exclusive rights in all relevant fields of use and in all territories in which we may wish to develop or commercialize our products in the future. The agreements under which we license patents, know-how and proprietary technology from others may be complex, and certain provisions in such agreements may be susceptible to multiple interpretations.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in the future need to obtain licenses from third parties to advance our research or allow commercialization of product candidates Tempest may develop. It is possible that we may be unable to obtain any licenses at a reasonable cost or on reasonable terms, if at all. In either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or product candidates.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our future licensors fail to adequately protect our licensed intellectual property, our ability to commercialize product candidates could suffer. We may not have complete control over the maintenance, prosecution and litigation of our future in-licensed patents and patent applications. For example, we cannot be certain that activities such as the maintenance and prosecution by our future licensors will be conducted in compliance with applicable laws and regulations or will result in valid and enforceable patents and other intellectual property rights. It is possible that our future licensors’ infringement proceedings or defense activities may be less vigorous than had we conducted them ourselves or may not be conducted in accordance with our best interests.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resolution of any contract interpretation disagreement that may arise could narrow what we might believe to be the scope of our rights to the relevant patents, know-how and proprietary technology, or increase what we believe to be our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financial or other obligations under the relevant agreement. Disputes that may arise between us and our future licensors regarding intellectual property subject to a license agreement could include disputes regarding:</w:t>
      </w:r>
    </w:p>
    <w:p>
      <w:pPr>
        <w:spacing w:after="0" w:line="162"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of the licensor that is not subject to the licensing agreement;</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product candidates and what activities satisfy those diligence obligations;</w:t>
      </w:r>
    </w:p>
    <w:p>
      <w:pPr>
        <w:spacing w:after="0" w:line="16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milestone or other payment obligations that may result from the advancement or commercial sale of any of our product candidates; and</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disputes over intellectual property that we may license in the future prevent or impair our ability to maintain our licensing arrangements on acceptable terms, we may be unable to successfully develop and commercialize the affected technology or product candidates.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owned and in-licensed patents and patent applications may not provide sufficient protection of our product candidates or result in any competitive advantage.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patent position of biopharmaceutical companies generally is highly uncertain, involves complex legal and factual questions, and has been the subject of much litigation. As a result, the issuance, scope, validity, enforceability and commercial value of our patent rights are highly uncertain. Our pending and future patent applications and those of our future licensors may not result in patents being issued which protect our product candidates or which effectively prevent others from commercializing competitive product candidates.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strength of patents in the biotechnology and pharmaceutical field involves complex legal and scientific questions and can be uncertain. The patent applications that we own or may in-license may fail to result in issued patents with claims that cover our product candidates or uses thereof in the United States or in other foreign countries. For example, while our patent applications are pending, we may be subject to a third-party preissuance submission of prior art to the U.S. Patent and Trademark Office (the “USPTO”), or become involved in interference or derivation proceedings, or equivalent proceedings in foreign jurisdictions. Even if patents do successfully issue, third parties may challenge their inventorship, validity, enforceability or scope, including through opposition, revocation, reexamination, post-grant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An adverse determination in any such submission, proceeding or litigation may result in loss of patent rights, loss of exclusivity, patent term adjustment being jeopardized, patent term being reduced, or in patent claims being narrowed, invalidated or held unenforceable, which could limit our ability to stop others from using or commercializing similar or identical technology and products, or limit the duration of the patent protection of our technology and product candidates. Furthermore, even if they are unchallenged, our patents and patent applications may not adequately protect our intellectual property or prevent others from designing around our claims. Moreover, some of our owned and in-licensed patents and patent applications may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If the breadth or strength of protection provided by the patent applications we hold with respect to our product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candidates is threatened, it could dissuade companies from collaborating with us to develop, and threaten our ability to commercialize, our product candidates. Further, if we encounter delays in development, testing, and regulatory review of new product candidates, the period of time during which we could market our product candidates under patent protection would be reduced or eliminated.</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Since patent applications in the United States and other countries are confidential for a period of time after filing or until issuance, at any moment in time, we cannot be certain that it was in the past or will be in the future the first to file any patent application related to our product candidates. In addition, some patent applications in the United States may be maintained in secrecy until the patents are issued. As a result, there may be prior art of which we are not aware that may affect the validity or enforceability of a patent claim, and we may be subject to priority disputes. We may be required to disclaim part or all of the term of certain patents or all of the term of certain patent applications.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patent office or other governmental authority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that block our efforts or potentially result in our product candidates or our activities infringing such claims. It is possible that our competitors may have filed, and may in the future file, patent applications covering our products or technology similar to our products and technology. Those patent applications may have priority over our owned and in-licensed patent applications or patents, which could require us to obtain rights to issued patents covering such technologies. The possibility also exists that others will develop products that have the same effect as our product candidates on an independent basis that do not infringe our patents or other intellectual property rights, or will design around the claims of patents that we have had issued that cover our product candidates or their use. Likewise, our currently owned patents and patent applications, if issued as patents, directed to our proprietary technologies and our product candidates are expected to expire from 2033 through 2046, without taking into account any possible patent term adjustments or extensions. Our earliest patents may expire before, or soon after, our first product achieves marketing approval in the United States or foreign jurisdictions. Additionally, we cannot be assured that the USPTO or relevant foreign patent offices will grant any of the pending patent applications we own currently or in the future or may in-license in the future. Upon the expiration of our current patents, we may lose the right to exclude others from practicing these inventions. The expiration of these patents could also have a similar material adverse effect on our business, financial condition, results of operations and prospects.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62" w:lineRule="exact"/>
        <w:rPr>
          <w:sz w:val="20"/>
          <w:szCs w:val="20"/>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or use compounds that are similar to the active compositions of our product candidates but that are not covered by the claims of our patents;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APIs in our current product candidates will eventually become commercially available in generic drug products, and no patent protection may be available with regard to formulation or method of use;</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licensors, as the case may be, may fail to meet our or our obligations to the U.S. government regarding any patents and patent applications funded by U.S. government grants, leading to the loss or unenforceability of patent rights;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licensors, as the case may be, might not have been the first to file patent applications for certain inventions;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result in issued patents;</w:t>
      </w:r>
    </w:p>
    <w:p>
      <w:pPr>
        <w:spacing w:after="0" w:line="225"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prior public disclosures that could invalidate our owned or in-licensed patents, as the case may be, or parts of our owned or in-licensed patents;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others may circumvent our owned or in-licensed patents;</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unpublished applications or patent applications maintained in secrecy that may later issue with claims covering our product candidates or technology similar to ours;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foreign countries may not protect our, or our future licensors’, as the case may be, proprietary rights to the same extent as the laws of the United States;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our owned or in-licensed issued patents or patent applications, if and when issued, may not adequately cover our product candidates;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owned or in-licensed issued patents may not provide us with any competitive advantages, may be narrowed in scope, or be held invalid or unenforceable as a result of legal challenges by third parties;</w:t>
      </w:r>
    </w:p>
    <w:p>
      <w:pPr>
        <w:spacing w:after="0" w:line="16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 of our owned or in-licensed patents or patent applications may become involved with competitors, develop products or processes that design around our patents, or become hostile to us or the patents or patent applications on which they are named as inventors;</w:t>
      </w:r>
    </w:p>
    <w:p>
      <w:pPr>
        <w:spacing w:after="0" w:line="16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owned or in-licensed patents or patent applications may omit individual(s) that should be listed as inventor(s) or include individual(s) that should not be listed as inventor(s), which may cause these patents or patents issuing from these patent applications to be held invalid or unenforceable or such omitted individuals may grant licenses to third parties;</w:t>
      </w:r>
    </w:p>
    <w:p>
      <w:pPr>
        <w:spacing w:after="0" w:line="1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in scientific collaborations in the past and will continue to do so in the future and our collaborators may develop adjacent or competing products that are outside the scope of our patents;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for which we can obtain patent protection;</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product candidates or diagnostic tests we develop may be covered by third parties’ patents or other exclusive rights; or</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foregoing could have a material adverse effect on our business, financial conditions, results of operations and prospects.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strategy of obtaining rights to key technologies through in-licenses may not be successful.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future growth of our business may depend in part on our ability to in-license or otherwise acquire the rights to additional product candidates and technologies. We cannot assure you that we will be able to in-license or acquire the rights to any product candidates or technologies from third parties on acceptable terms or at all.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example, our agreements with certain of our third-party research partners provide that improvements developed in the course of our relationship may be owned solely by either we or our third-party research partner, or jointly between us and the third party. If we determine that exclusive rights to such improvements owned solely by a research partner or other third party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 whom we collaborate are necessary to commercialize our drug candidates or maintain our competitive advantage, we may need to obtain an exclusive license from such third party in order to use the improvements and continue developing, manufacturing or marketing our drug candidates. We may not be able to obtain such a license on an exclusive basis, on commercially reasonable terms, or at all, which could prevent us from commercializing our drug candidates or allow our competitors or others the opportunity to access technology that is important to our business. We also may need the cooperation of any co-owners of our intellectual property in order to enforce such intellectual property against third parties, and such cooperation may not be provided to us.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in-licensing and acquisition of these technologies is a highly competitive area, and a number of more established companies are also pursuing strategies to license or acquire product candidates or technologies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license rights to us. Furthermore, we may be unable to identify suitable product candidates or technologies within our area of focus. If we are unable to successfully obtain rights to suitable product candidates or technologies, our business and prospects could be materially and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patent protection, we rely upon know-how and trade secret protection, as well as non-disclosure agreements and invention assignment agreements with our employees, consultants and third-parties, to protect our confidential and proprietary information, especially where we do not believe patent protection is appropriate or obtainable.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are to be kept confidential and not disclosed to third parties, except in certain specified circumstances. In the case of employees, the agreements provide that all inventions conceived by the individual, and that are related to our current or planned business or research and development or made during normal working hours, on our premises or using our equipment or proprietary information (or as otherwise permitted by applicable law), are our exclusive property. In the case of consultants and other third parties, the agreements provide that all inventions conceived in connection with the services provided are our exclusive property. However, we cannot guarantee that we have entered into such agreements with each party that may have or have had access to our trade secrets or proprietary technology and processes. We have also adopted policies and conducts training that provides guidance on our expectations, and our advice for best practices, in protecting our trade secrets. Despite these efforts, any of these parties may breach the agreements and disclose our proprietary information, including our trade secrets, and we may not be able to obtain adequate remedies for such breaches.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contractual measures, we try to protect the confidential nature of our proprietary information through other precautions, such as physical and technological security measures. However, trade secrets and know-how can be difficult to protect. These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any recourse we might take against this type of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us from receiving legal recourse. If any of our confidential or proprietary information, such as our trade secrets, were to be disclosed or misappropriated, such as through a security incident, or if any of that information was independently developed by a competitor, our competitive position could be harmed. Additionally, certain trade secret and proprietary information may be required to be disclosed in submissions to regulatory authorities. If such authorities do not maintain the confidential basis of such information or disclose it as part of the basis of regulatory approval, our competitive position could be adversely affected.</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courts outside the United States are sometimes less willing to protect trade secrets. If we choose to go to court to stop a third party from using any of our trade secrets, we may incur substantial costs. Even if we are successful, these types of lawsuits may result in substantial cost and require significant time from our scientists and management. Although we take steps to protect our proprietary information and trade secrets, third parties may independently develop substantially equivalent proprietary information and techniques or otherwise gain access to our trade secrets or disclose our technology, through legal or illegal means. As a result, we may not be able to meaningfully protect our trade secrets. Any of the foregoing could have a material adverse effect on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may prevent, delay or otherwise interfere with our product discovery and development efforts.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Our commercial success depends in part on our ability to develop, manufacture, market and sell our product candidates and use our proprietary technologies without infringing, misappropriating or otherwise violating the intellectual property or other proprietary rights of third parties. There is a substantial amount of litigation involving patents and other intellectual property rights in the biotechnology and pharmaceutical industries, as well as administrative proceedings for challenging patents, including interference, derivation,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misappropriate or otherwise violate their intellectual property rights. Numerous U.S. and foreign issued patents and pending patent applications that are owned by third parties exist in the fields in which we are developing our product candidates.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 third parties may allege they have patent rights encompassing our product candidates, technologies or methods.</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a third party claims that we infringe, misappropriate or otherwise violate their intellectual property rights, we may face a number of issues, including, but not limited to:</w:t>
      </w:r>
    </w:p>
    <w:p>
      <w:pPr>
        <w:spacing w:after="0" w:line="162" w:lineRule="exact"/>
        <w:rPr>
          <w:sz w:val="20"/>
          <w:szCs w:val="20"/>
          <w:color w:val="auto"/>
        </w:rPr>
      </w:pPr>
    </w:p>
    <w:p>
      <w:pPr>
        <w:ind w:left="1020" w:right="4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and other intellectual property claims that, regardless of merit, may be expensive and time-consuming to litigate and may divert our management’s attention from our core business;</w:t>
      </w:r>
    </w:p>
    <w:p>
      <w:pPr>
        <w:spacing w:after="0" w:line="16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plus the patent owner’s attorneys’ fees;</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developing, manufacturing, marketing or selling our product candidates, or from using our proprietary technologies, unless the third-party licenses our product rights or proprietary technology to us, which it is not required to do, on commercially reasonable terms or at all;</w:t>
      </w:r>
    </w:p>
    <w:p>
      <w:pPr>
        <w:spacing w:after="0" w:line="1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 party, we may have to pay substantial royalties, upfront fees and other amounts, and/or grant cross-licenses to intellectual property rights for our product candidates;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redesign our product candidates or processes so they do not infringe, which may not be possible or may require substantial monetary expenditures and time; and</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including by enforcing our patents against us by filing a patent infringement lawsuit against us. In this regard, patents issued in the United States by law enjoy a presumption of validity that can be rebutted only with evidence that is “clear and convincing,” a heightened standard of proof.</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may be third-party patents of which we are currently unaware of with claims to materials, formulations, methods of manufacture or methods for treatment related to the use or manufacture of our product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 upon these patents.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any third-party patents were held by a court of competent jurisdiction to cover the manufacturing process of our product candidates, or materials used in or formed during the manufacturing process, or any final product itself, the holders of those patents may be able to block our ability to commercialize our product candidate unless we obtain a license under the applicable patents, or until those patents were to expire or those patents are finally determined to be invalid or unenforceable. Similarly, if any third-party patent were held by a court of competent jurisdiction to cover aspects of our formulations, processes for manufacture or methods of use, including combination therapy or patient selection methods, the holders of that patent may be able to block our ability to develop and commercialize the product candidate unless we obtain a license or until such patent expires or is finally determined to be invalid or unenforceable. In either case, a license may not be available on commercially reasonable terms, or at all, particularly if such patent is owned or controlled by one of our primary competitors. If we are unable to obtain a necessary license to a third-party patent on commercially reasonable terms, or at all, our ability to commercialize our product candidates may be impaired or delayed, which could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time and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license of this nature would be available at all or whether it would be available on commercially reasonable terms. Furthermore, even in the absence of litigation, we may need to obtain licenses from third parties to advance our research or allow commercialization of our product candidates and we may fail to obtain any of these licenses at a reasonable cost or on reasonable terms, if at all.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that event, we would be unable to further develop and commercialize our product candidates, which could significantly harm our business.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time-consuming and unsuccessful and could result in a finding that such patents are unenforceable or invalid.</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future licensors. To counter infringement or unauthorized use, we may be required to file infringement claims, which can be expensive and time-consuming. In addition, in an infringement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proceeding, a court may decide that one or more of our patents is not valid or is unenforceable, or may refuse to stop the other party from using the technology at issue on the grounds that our patents do not cover the technology in question.</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patent litigation in the United States, defendant counterclaims alleging invalidity and/or unenforceability are commonplace, and there are numerous grounds upon which a third party can assert invalidity or unenforceability of a patent.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These types of mechanisms include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proceedings, derivation proceedings, and equivalent proceedings in foreign jurisdictions (e.g., opposition proceedings). These types of proceedings could result in revocation or amendment to our patents such that they no longer cover our product candidates. The outcome for any particular patent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Defense of these types of claims, regardless of their merit, would involve substantial litigation expense and would be a substantial diversion of employee resources from our business.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Conversely, we may choose to challenge the patentability of claims in a third party’s U.S. patent by requesting that the USPTO review the patent claims in re-examination, post-grant review, inter partes review, interference proceedings, derivation proceedings, and equivalent proceedings in foreign jurisdictions (e.g., opposition proceedings), or we may choose to challenge a third party’s patent in patent opposition proceedings in the Canadian Intellectual Property Office (“CIPO”), the European Patent Office (“EPO”), or another foreign patent office. The outcome following legal assertions of invalidity is unpredictable. Additionally, we may be subject to claims of patent infringement during those proceedings, and delays caused by the federal agencies may increase the time period that we are subject to such claims. For example, administrative changes, including reduced staff and budgets experienced by the Patent and Trial Appeal Board, could further delay our ability to timely challenge any such patents. Even if successful, the costs of these opposition proceedings could be substantial, and may consume our time or other resources. If we fail to obtain a favorable result at the USPTO, CIPO, EPO or other patent office then we may be exposed to litigation by a third party alleging that the patent may be infringed by our product candidates or proprietary technologies.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that perception could have a substantial adverse effect on the price of our common stock. Any of the foregoing could have a material adverse effect on our business financial condition, results of operations and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For example, patents covering methods-of-use are not available in certain foreign countries.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do not have or have not obtained patent protection to develop their own products and, further, may export otherwise infringing products to territories where we have patent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protection but where enforcement is not as strong as that in the United States. These products may compete with our product candidates in jurisdictions where we do not have any issued patents and our patent claims or other intellectual property rights may not be effective or sufficient to prevent them from competing.</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management’s efforts and attention from other aspects of our business. Proceedings to enforce our patent rights in foreign jurisdictions could result in substantial costs and divert management’s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Geo-political actions in the United States and in foreign countries (such as, the Russia and Ukraine conflict; retaliatory measures by foreign countries in response to actions by the United States, in particular; and tariffs) could increase the uncertainties and costs surrounding the prosecution or maintenance of our patent applications or those of any future licensors and the maintenance, enforcement or defense of our issued patents or those of any future licensors. For example, the United States and foreign government actions related to the Russia-Ukraine war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a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Also, many foreign countries could threaten to impose retaliatory measures that may adversely impact our intellectual property rights in those countries. For example, on March 14, 2025, Brazil enacted Law No. 15.122/2025 (known as the “Economic Reciprocity Law”), which provides a framework that allows for the suspension of obligations related to foreign entity’s intellectual property rights. Accordingly, our competitive position may be impaired, and our business, financial condition, results of operations and prospects may be adversely affected.</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assert that our employees or consultants have wrongfully used or disclosed confidential information or misappropriated trade secrets.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we employ individuals who were previously employed at universities or other biopharmaceutical or pharmaceutical companies, including our competitors or potential competitors. Although we try to ensure that our employees and consultants do not use the proprietary information or know-how of others in their work for us, we may be subject to claims that our employees, consultants or independent contractors have inadvertently or otherwise used or disclosed intellectual property, including trade secrets or other proprietary information, of a former</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employer or other third parties. We may then have to pursue litigation to defend against these claims. If we fail in defending any claims of this nature, in addition to paying monetary damages, we may lose valuable intellectual property rights or personnel. Even if we are successful in defending against these types of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that perception could have a substantial adverse effect on the price of our common stock. This type of litigation or proceeding could substantially increase our operating losses and reduce our resources available for development activities, and we may not have sufficient financial or other resources to adequately conduct this type of litigation or proceedings. For example, some of our competitors may be able to sustain the costs of this type of litigation or proceedings more effectively than we can because of their substantially greater financial resources. In any case, uncertainties resulting from the initiation and continuation of intellectual property litigation or other intellectual property related proceedings could adversely affect our ability to compete in the marketplace.</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foreign patent agencies in several stages over the lifetime of the patent. The USPTO and various foreign patent agencies also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laws and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Were a noncompliance event to occur, our competitors might be able to enter the market, which would have a material adverse effect on our business financial condition, results of operations and prospects.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in non-U.S. jurisdictions could diminish the value of patents in general, thereby impairing our ability to protect our product candidates.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Past or future patent reform legislation could increase the uncertainties and costs surrounding the prosecution of our patent applications and the enforcement or defense of our issued patents. For example, in March 2013, under the Leahy-Smith America Invents Act (“America Invents Act”), the United States moved from a “first to invent” to a “first-to-file” patent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continue to evolve as the USPTO continues to promulgate new regulations and procedures in connection with the America Invents Act. In addition, the courts have yet to address many of these provisions and the applicability of the act and new regulations on the specific patents discussed in this filing have not been determined and would need to be reviewed. Moreover, the America Invents Act and our implementation could increase the uncertainties and costs surrounding the prosecution of our patent applications and the enforcement or defense of our issued patents.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We cannot predict how decisions by the federal courts, the U.S. Congress or the USPTO may impact the value of our patent rights. For example, the Federal Circuit recently issued a decision involving the interaction of patent term adjustment (“PTA”), terminal disclaimers, and obviousness-type double patenting. This decision creates uncertainty to the patent terms of certain U.S. patents that share the same priority claim where on expires later than another due to accrued PTA. Depending on decisions by the U.S. Congress, the federal courts and the USPTO, the laws and regulations governing patents could change in unpredictable ways that would weaken our ability to obtain new patents or to enforce our existing patents and patents that we might obtain or license in the future. For example, in the case, Assoc. for Molecular Pathology v. Myriad Genetics, Inc., the U.S. Supreme Court held that certain claims to DNA molecules are not patent-eligible.</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Similarly, other cases by the U.S. Supreme Court have held that certain methods of treatment or diagnosis are not patent-eligible. U.S. law regarding patent-eligibility continues to evolve. While we do not believe that any of our patents will be found invalid based on these changes to U.S. patent law, we cannot predict how future decisions by the courts, the U.S. Congress or the USPTO may impact the value of our patents and patent applications. Any similar adverse changes in the patent laws of other jurisdictions could also have a material adverse effect on our business, financial condition, results of operations and prospects.</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a further example, as of June 1, 2023, European patent applications and patents may be subjected to the jurisdiction of the Unified Patent Court (“UPC”). In 2012, the European Union Patent Package (The “EU Patent Package”) regulations were passed with the goal of providing a single pan-European Unitary Patent and a new European UPC for litigation involving European patents. The EU Patent Package was implemented on June 1, 2023. As a result, all European patents, including those issued prior to ratification of the EU Patent Package, now by default automatically fall under the jurisdiction of the UPC. European patent applications will have the option, upon grant of a patent, of becoming a Unitary Patent, which will be subject to the jurisdiction of the UPC. The UPC and Unitary Patent are significant changes in European patent practice. It is uncertain how the UPC will impact granted European patents in the biotechnology and pharmaceutical industries. Our European patent applications, if issued, could be challenged in the UPC. During the first seven years of the UPC’s existence, the UPC legislation allows a patent owner to opt its European patents out of the jurisdiction of the UPC. As the UPC is a new court system, there is no precedent for the court, increasing the uncertainty of any litigation in the UPC. As a single court system can invalidate a European patent, we, where applicable, may opt out of the UPC and as such, each European patent would need to be challenged in each individual country. We may decide to opt out future European patents from the UPC, but doing so may preclude us from realizing the benefits of the UPC. Moreover, if we do not meet all of the opt-out formalities and requirements under the UPC, our future European patents could remain under the jurisdiction of the UPC. The UPC will provide our competitors with a new forum to centrally revoke our European patents, and allow for the possibility of a competitor to obtain pan-European injunctions. Such a loss of patent protection could have a material adverse impact on our business and our ability to commercialize our technology and product candidates due to increased competition and, resultantly, on our financial condition, prospects and results of operations.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Given the amount of time required for the development, testing and regulatory review of new product candidates, patents protecting our product candidates might expire before or shortly after we or our partners commercialize those candidates. As a result, our owned and licensed patent portfolio may not provide us with sufficient rights to exclude others from commercializing products similar or identical to ours.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any product candidates we may develop, our business may be materially harmed.</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 of 1984 (the “Hatch-Waxman Amendments”). The Hatch-Waxman Amendments permit a patent extension term of up to five years as compensation for patent term lost during clinical trials and the FDA regulatory review process. A patent term extension cannot extend the remaining term of a patent beyond a total of 14 years from the date of product approval, only one patent per product may be extended and only those claims covering the approved drug, a method for using it, or a method for manufacturing it may be extended. U.S. and ex-U.S. law concerning patent term extensions and foreign equivalents continue to evolve. Even if we were to seek a patent term extension, it may not be granted because of, for example, the failure to exercise due diligence during the testing phase or regulatory review process, the failure to apply within applicable deadlines, the failure to apply prior to expiration of relevant patents, or any other failure to satisfy applicable requirements. Additionally, administrative changes at the USPTO or other applicable patent authorities, such as reduced hiring and/or funding, may result in delays in issuance of a patent or in accrual of patent term extension, thereby reducing the amount of patent term extension that could otherwise be received. Administrative changes (e.g., at the FDA or USPTO) may also lead to delays in review and analysis of requests for patent term extension, which could result in a patent term extension not being timely granted (e.g., before the expiration of the patent). Moreover, the applicable time period of extension or the scope of patent protection afforded could be less than we project or request. If we are unable to obtain patent term extension or term of any such extension is less than we project or request, our competitors may obtain approval of competing products following our patent expiration sooner than expected, and our business, financial condition, results of operations and prospects could be materially harmed.</w:t>
      </w:r>
    </w:p>
    <w:p>
      <w:pPr>
        <w:spacing w:after="0" w:line="1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Intellectual property discovered through government funded programs may be subject to federal regulations such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march-in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rights, certain reporting requirements and a preference for U.S.-based companies. Compliance with such regulations may limit our exclusive rights and limit our ability to contract with non-U.S. manufacturers.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Although we do not currently license or own issued patents or pending patent applications that have been generated through the use of U.S. government funding, we may in-license or acquire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Recently, the government released a draft framework that may be used by an agency when deciding to exercise its march-in rights for public comments, and as such, the framework for deciding when march-in rights are exercised may change. If the U.S. government exercised its march-in rights in our current or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 and Other General Matters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the shares of our common stock has been and is likely to continue to be volatile, and purchasers of our common stock could incur substantial losses.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has been and is likely to continue to be volatile. For example, during 2024, the closing price of our common stock on The Nasdaq Capital Market ranged from $9.08 per share to $70.72 per share. Some of the factors that may cause the market price of our common stock to fluctuate include:</w:t>
      </w:r>
    </w:p>
    <w:p>
      <w:pPr>
        <w:spacing w:after="0" w:line="176"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preclinical studies of our product candidates, or those of our competitors or our existing or future collaborators;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and development projections we may provide to the public;</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financial and development projections of the investment community;</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collaborations, joint ventures or capital commitments by us or our competitors;</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 candidates, clinical studies, manufacturing process or sales and marketing terms;</w:t>
      </w:r>
    </w:p>
    <w:p>
      <w:pPr>
        <w:spacing w:after="0" w:line="16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our business, or if they issue adverse or misleading opinions regarding our business and stock;</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securities by us or our securityholders in the future;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raise an adequate amount of capital to fund our operations and continued development of our product candidates;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competitors of new commercial products, clinical progress or lack thereof, significant contracts, commercial relationships or capital commitments;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relating to precision medicine product candidates, including with respect to other products in such markets;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technological innovations or new therapies that compete with our products and services;</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and overall fluctuations in the financial markets in the United States and abroad, including as a result of bank failures, public health crises or geopolitical tensions, such as the Russia-Ukraine war and the Israel-Hamas war; and</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common stock to fluctuate substantially, regardless of our actual operating performance, which may limit or prevent investors from selling their shares at or above the price paid for the shares and may otherwise negatively affect the liquidity of our common stock.</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and financial condition.</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completed a reverse stock split of our shares of common stock, which may reduce and may limit the market trading liquidity of the shares due to the reduced number of shares outstanding and may potentially have an anti-takeover effect.</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completed the Reverse Stock Split of our common stock by a ratio of 1-for-13, effective April 8, 2025. The liquidity of our common stock may be adversely affected by the Reverse Stock Split as a result of the reduced number of shares outstanding following the Reverse Stock Split. In addition, the Reverse Stock Split may increase the number of stockholders who own odd lots of our common stock, creating the potential for such stockholders to experience an increase in the cost of selling their shares and greater difficulty affecting such sales. Reducing the number of outstanding shares of our common stock through the Reverse Stock Split is intended, absent other factors, to increase the per share market price of our common stock. However, other factors, such as our financial results, market conditions and the market perception of our business may adversely affect the market price of our common stock. As a result, there can be no assurance that the Reverse Stock Split will result in the intended benefits, that the market price of our common stock will remain higher following the Reverse Stock Split or that the market price of our common stock will not decrease in the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and share price.</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and uncertainty about economic stability. For example, the macroeconomic uncertainty and volatile business environment have resulted in ongoing inflation, volatility in the capital markets, significantly reduced liquidity and credit availability, decreases in consumer demand and confidence, declines in economic growth, increases in unemployment rates and uncertainty about economic stability. Our general business strategy may be materially or adversely impacted by if these unpredictable and unstable market conditions continue. Additionally, geopolitical tensions, like the Russia-Ukraine war and the war in Israel, and the imposition of tariffs in the U.S. and abroad, has created extreme volatility in the global capital markets and is expected to have further global economic consequences, including disruptions of the global supply chain and energy markets. Any such volatility and disruptions may have adverse consequences for us or the third parties on whom we rely. If the equity and credit markets deteriorate, including as a result of future bank closures or political unrest, war or a global or domestic recession or the fear thereof,, it may make any necessary debt or equity financing more difficult to obtain in a timely manner or on favorable terms, more costly or more dilutive.</w:t>
      </w:r>
    </w:p>
    <w:p>
      <w:pPr>
        <w:spacing w:after="0" w:line="8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Trade disputes, trade restrictions, tariffs and other political tensions between the U.S. and other countries may also exacerbate unfavorable macroeconomic conditions, including inflationary pressures, foreign exchange volatility, financial market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instability, and economic recessions or downturns, which may also negatively impact customer demand for our services, delay renewals or limit expansion opportunities with existing customers, limit our access to capital, or otherwise negatively impact our business and operations. In addition, retaliatory trade policies or anti-U.S. sentiment in certain regions whether driven by trade tensions, political disagreements, or regulatory concerns may make customers and governments more hesitant to adopt solutions offered by U.S.-based providers. This may lead to increased preference for local competitors, changes to government procurement policies, heightened regulatory scrutiny, decreased intellectual property protections, delays in regulatory approvals or other retaliatory regulatory non-tariff policies, the introduction of trade barriers applicable to digital services, which may result in heightened international legal and operational risks and difficulties in attracting and retaining non-U.S. customers, suppliers, employees, partners and investors. Ongoing tariff and macroeconomic uncertainty may also contribute to volatility in the price of our common stock.</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inflation can adversely affect us by increasing our costs, including salary costs. Any significant increases in inflation and related increase in interest rates could have a material adverse effect on our business, results of operations and financial condition. A weak or declining economy could also strain our suppliers and manufacturers, possibly resulting in supply and clinical trial disruption. Any of the foregoing could harm our business and we cannot anticipate all of the ways in which the current economic climate and financial market conditions could adversely impact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is thinly traded and our stockholders may be unable to sell their shares quickly or at market price.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have had periods of high-volume daily trading in our common stock, generally our stock is thinly traded. As a consequence of this lack of liquidity, the trading of relatively small quantities of shares by our stockholders may disproportionately influence the price of those shares in either direction. Our common stock price could, for example, decline significantly as a result of sales of a large number of shares of our common stock on the market without commensurate demand, as compared to a seasoned issuer that could better absorb those sales without adverse impact on its share price, or from the perception that these sales could occur.</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reduced reporting requirements applicable to smaller reporting companies may make our common stock less attractive to investors.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“smaller reporting company” as defined in Section 12 of the Exchange Act. For as long as we continue to be a smaller reporting company, we may take advantage of exemptions from various reporting requirements that are applicable to other public companies that are not smaller reporting companies, including not being required to comply with the auditor attestation requirements of Section 404 of Sarbanes-Oxley Act of 2002, reduced disclosure obligations regarding executive compensation in our periodic reports and proxy statements,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Status as a Public Company and Other General Matters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continue to incur increased costs as a result of operating as a public company, and our management is required to devote substantial time to compliance with our public company responsibilities and corporate governance practices.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continue to incur significant legal, accounting and other expenses. The Sarbanes-Oxley Act, the Dodd-Frank Wall Street Reform and Consumer Protection Act, the listing requirements of the Nasdaq Stock Market (Nasdaq) and other applicable securities rules and regulations impose various requirements on public companies. Our management and other personnel need to devote a substantial amount of time to compliance with these requirements. Moreover, these rules and regulations increase our legal and financial compliance costs and will make some activities more time-consuming and costly. We cannot predict or estimate the amount of additional costs we will continue to incur as a public company or the timing of such costs. Once we are no longer a smaller reporting company or otherwise no longer qualifies for applicable exemptions, we will be subject to</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laws and regulations affecting public companies that will increase our costs and the demands on management and could harm our operating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financial statements on a timely basis could be impaired.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the reporting requirements of the Securities Exchange Act of 1934, as amended (the “Exchange Act”), The Sarbanes-Oxley Act, the Dodd-Frank Wall Street Reform and Consumer Protection Act, and the rules and regulations of the stock market on which our common stock is listed. The Sarbanes-Oxley Act requires, among other things, that we maintain effective disclosure controls and procedures and internal control over financial reporting and a report by management on, among other things, the effectiveness of our internal control over financial reporting. We will not be required to have our auditors formally attest to the effectiveness of our internal control over financial reporting until we cease to be a smaller reporting company.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identify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We cannot assure you that there will not be material weaknesses or significant deficiencies in the internal control over financial reporting in the future.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in a timely manner, or if we are unable to maintain proper and effective internal controls, we may not be able to accurately report our financial condition, results of operations or cash flows.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reporting on internal control over financial reporting, investors may lose confidence in the accuracy and completeness of our financial reports, the market price of our common stock could decline, and we could be subject to sanctions or investigations by Nasdaq Stock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listing of our common stock on Nasdaq or any stock exchange, our stock price could be adversely affected and the liquidity of our stock and our ability to obtain financing could be impaired and it may be more difficult for our stockholders to sell their securities.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our common stock is currently listed on Nasdaq, we may not be able to continue to meet the exchange’s minimum listing requirements or those of any other national exchange. The Listing Rules of Nasdaq require listing issuers to comply with certain standards in order to remain listed on its exchange. If, for any reason, we should fail to maintain compliance with these listing standards and Nasdaq should delist our securities from trading on its exchange and we are unable to obtain listing on another national securities exchange, we anticipate that our securities would begin trading on the over-the-counter market. Delisting from Nasdaq and trading on the over-the-counter market could adversely affect the liquidity of our securities. Securities traded on the over-the-counter market generally have limited trading volume and exhibit a wider spread between the bid/ask quotation, as compared to securities listed on a national securities exchange. Consequently, you may not be able to liquidate your investment in the event of an emergency or for any other reason.</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Nasdaq delists our securities from trading on its exchange for failure to meet the listing standards, we and our stockholders could face significant negative consequences including limited availability of market quotations for our securities, a determination that the common stock is a “penny stock” which will require brokers trading in the common stock to adhere to more stringent rules, possibly resulting in a reduced level of trading activity in the secondary trading market for shares of the common stock, a limited amount of analyst coverage, and a decreased ability to issue additional securities or obtain additional financing in the future.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natural disasters and other calamities, including public health crises, and our business continuity and disaster recovery plans may not adequately protect us from a serious disaster.</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Natural disasters could severely disrupt our operations and have a material adverse effect on our business, results of operations, financial condition and prospects. If a natural disaster, fire, hurricane, power outage or other event occurred that prevented us from using all or a significant portion of our headquarters, that damaged critical infrastructure, such as our suppliers’ manufacturing facilities, or that otherwise disrupted operations, such as data storage, it may be difficult or, in certain cases, impossible for us to continue our business for a substantial period of time.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Occurrences of epidemics or pandemics, depending on their scale, may cause different degrees of damage to the national and local economies within our geographic focus. Global economic conditions may be disrupted by widespread outbreaks of infectious or contagious diseases, and such disruption may adversely affect clinical development plans.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and our ability to obtain sufficient insurance coverage could have a material and adverse effect on our business, financial condition, results of operations and prospects.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face an inherent risk of product liability exposure related to the testing of our product candidates in clinical trials and will face an even greater risk if we commercialize any of our product candidates. Any such product liability claims may include allegations of defects in manufacturing, defects in design, a failure to warn of dangers inherent in a product, negligence, strict liability or breach of warranty. Claims could also be asserted under U.S. state consumer protection acts. If we cannot successfully defend against claims that our product candidates caused injuries, we could incur substantial liabilities. Regardless of merit or eventual outcome, liability claims may result in:</w:t>
      </w:r>
    </w:p>
    <w:p>
      <w:pPr>
        <w:spacing w:after="0" w:line="183"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that we may develop;</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time and costs to defend the related litigation;</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our collaboration relationships or disputes with our collaborators;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product recalls, withdrawals or labeling restrictions; and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 candidates that we may develop.</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currently have insurance that we believe is appropriate for our stage of development, we may need to obtain higher levels prior to clinical development or marketing any of our future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and by-laws and under Delaware law could make an acquisition of us, which may be beneficial to our stockholders, more difficult and may prevent attempts by our stockholders to replace or remove our current management.</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Provisions in our certificate of incorporation and by-laws may discourage, delay or prevent a merger, acquisition or other change in control of the company that stockholders may consider favorable, including transactions in which our common stockholders might otherwise receive a premium price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87"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not all members of the board are elected at one time;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the board;</w:t>
      </w:r>
    </w:p>
    <w:p>
      <w:pPr>
        <w:spacing w:after="0" w:line="225"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for nominations to our board of directors;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actions by our stockholders by written consent;</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be effected at a duly called stockholders meeting;</w:t>
      </w:r>
    </w:p>
    <w:p>
      <w:pPr>
        <w:spacing w:after="0" w:line="22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1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75% of the votes that all our stockholders would be entitled to cast to amend or repeal certain provisions of our certificate of incorporation or by-laws.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in October 2023, we implemented a stockholder rights plan (the “Rights Plan”), also called a “poison pill,” that may have the effect of discouraging or preventing a change of control by, among other things, making it uneconomical for a third party to acquire us without the consent of our board of directors. We amended the Rights Plan on October 9, 2024 and on December 5, 2024. As a result of the amendments, the rights will expire immediately following our 2025 Annual Meeting of Stockholders, or, if our stockholders approve the Rights Plan, on October 10, 2026, unless the rights are earlier redeemed or exchanged by us.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manner prescribed by the statute.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bylaws provide that the Court of Chancery of the State of Delaware is the sole and exclusive forum for any derivative action or proceeding brought on our behalf, any action asserting a breach of fiduciary duty, any action asserting a claim against it arising pursuant to any provisions of the DGCL, our certificate of incorporation or our bylaws, or any action asserting a claim against us that is governed by the internal affairs doctrine. The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bylaws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that we will pay any cash dividends in the foreseeable future.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current expectation is that we will retain our future earnings, if any, to fund our growth as opposed to paying dividends. As a result, capital appreciation, if any, of our common stock will be your sole source of gain, if any, for the foreseeable future.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equity research analysts publish about us and our business. We have no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or fails to publish reports on us regularly, demand for our common stock could decrease, which in turn could cause our stock price or trading volume to decline.</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our last fiscal quarter, no director or officer (as defined in Rule 16a-1(f) under the Exchange Act) adopted or terminated a “Rule 10b5-1 trading arrangement” or “non-Rule 10b5-1 trading arrangement,” as each term is defined in Item 408(a) of Regulation S-K.</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incorporated by reference or filed as part of this report.</w:t>
      </w:r>
    </w:p>
    <w:p>
      <w:pPr>
        <w:spacing w:after="0" w:line="262"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36830</wp:posOffset>
            </wp:positionV>
            <wp:extent cx="284607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63" w:lineRule="exact"/>
        <w:rPr>
          <w:sz w:val="20"/>
          <w:szCs w:val="20"/>
          <w:color w:val="auto"/>
        </w:rPr>
      </w:pPr>
    </w:p>
    <w:p>
      <w:pPr>
        <w:ind w:left="10400"/>
        <w:spacing w:after="0"/>
        <w:rPr>
          <w:sz w:val="20"/>
          <w:szCs w:val="20"/>
          <w:color w:val="auto"/>
        </w:rPr>
      </w:pPr>
      <w:r>
        <w:rPr>
          <w:rFonts w:ascii="Times New Roman" w:cs="Times New Roman" w:eastAsia="Times New Roman" w:hAnsi="Times New Roman"/>
          <w:sz w:val="16"/>
          <w:szCs w:val="16"/>
          <w:b w:val="1"/>
          <w:bCs w:val="1"/>
          <w:color w:val="auto"/>
        </w:rPr>
        <w:t>Filed or</w:t>
      </w:r>
    </w:p>
    <w:p>
      <w:pPr>
        <w:spacing w:after="0" w:line="28" w:lineRule="exact"/>
        <w:rPr>
          <w:sz w:val="20"/>
          <w:szCs w:val="20"/>
          <w:color w:val="auto"/>
        </w:rPr>
      </w:pPr>
    </w:p>
    <w:p>
      <w:pPr>
        <w:ind w:left="180"/>
        <w:spacing w:after="0"/>
        <w:tabs>
          <w:tab w:leader="none" w:pos="10300" w:val="left"/>
        </w:tabs>
        <w:rPr>
          <w:sz w:val="20"/>
          <w:szCs w:val="20"/>
          <w:color w:val="auto"/>
        </w:rPr>
      </w:pPr>
      <w:r>
        <w:rPr>
          <w:rFonts w:ascii="Times New Roman" w:cs="Times New Roman" w:eastAsia="Times New Roman" w:hAnsi="Times New Roman"/>
          <w:sz w:val="15"/>
          <w:szCs w:val="15"/>
          <w:b w:val="1"/>
          <w:bCs w:val="1"/>
          <w:color w:val="auto"/>
        </w:rPr>
        <w:t>Exhibit</w:t>
      </w:r>
      <w:r>
        <w:rPr>
          <w:sz w:val="20"/>
          <w:szCs w:val="20"/>
          <w:color w:val="auto"/>
        </w:rPr>
        <w:tab/>
      </w:r>
      <w:r>
        <w:rPr>
          <w:rFonts w:ascii="Times New Roman" w:cs="Times New Roman" w:eastAsia="Times New Roman" w:hAnsi="Times New Roman"/>
          <w:sz w:val="15"/>
          <w:szCs w:val="15"/>
          <w:b w:val="1"/>
          <w:bCs w:val="1"/>
          <w:color w:val="auto"/>
        </w:rPr>
        <w:t>Furnished</w:t>
      </w:r>
    </w:p>
    <w:p>
      <w:pPr>
        <w:spacing w:after="0" w:line="30" w:lineRule="exact"/>
        <w:rPr>
          <w:sz w:val="20"/>
          <w:szCs w:val="20"/>
          <w:color w:val="auto"/>
        </w:rPr>
      </w:pPr>
    </w:p>
    <w:p>
      <w:pPr>
        <w:ind w:left="180"/>
        <w:spacing w:after="0"/>
        <w:tabs>
          <w:tab w:leader="none" w:pos="3060" w:val="left"/>
          <w:tab w:leader="none" w:pos="6880" w:val="left"/>
          <w:tab w:leader="none" w:pos="7480" w:val="left"/>
          <w:tab w:leader="none" w:pos="8560" w:val="left"/>
          <w:tab w:leader="none" w:pos="9280" w:val="left"/>
          <w:tab w:leader="none" w:pos="10340" w:val="left"/>
        </w:tabs>
        <w:rPr>
          <w:sz w:val="20"/>
          <w:szCs w:val="20"/>
          <w:color w:val="auto"/>
        </w:rPr>
      </w:pPr>
      <w:r>
        <w:rPr>
          <w:rFonts w:ascii="Times New Roman" w:cs="Times New Roman" w:eastAsia="Times New Roman" w:hAnsi="Times New Roman"/>
          <w:sz w:val="16"/>
          <w:szCs w:val="16"/>
          <w:b w:val="1"/>
          <w:bCs w:val="1"/>
          <w:color w:val="auto"/>
        </w:rPr>
        <w:t>Number</w:t>
      </w:r>
      <w:r>
        <w:rPr>
          <w:sz w:val="20"/>
          <w:szCs w:val="20"/>
          <w:color w:val="auto"/>
        </w:rPr>
        <w:tab/>
      </w:r>
      <w:r>
        <w:rPr>
          <w:rFonts w:ascii="Times New Roman" w:cs="Times New Roman" w:eastAsia="Times New Roman" w:hAnsi="Times New Roman"/>
          <w:sz w:val="16"/>
          <w:szCs w:val="16"/>
          <w:b w:val="1"/>
          <w:bCs w:val="1"/>
          <w:color w:val="auto"/>
        </w:rPr>
        <w:t>Description of Exhibit</w:t>
      </w:r>
      <w:r>
        <w:rPr>
          <w:sz w:val="20"/>
          <w:szCs w:val="20"/>
          <w:color w:val="auto"/>
        </w:rPr>
        <w:tab/>
      </w:r>
      <w:r>
        <w:rPr>
          <w:rFonts w:ascii="Times New Roman" w:cs="Times New Roman" w:eastAsia="Times New Roman" w:hAnsi="Times New Roman"/>
          <w:sz w:val="16"/>
          <w:szCs w:val="16"/>
          <w:b w:val="1"/>
          <w:bCs w:val="1"/>
          <w:color w:val="auto"/>
        </w:rPr>
        <w:t>Form</w:t>
        <w:tab/>
        <w:t>File Number</w:t>
        <w:tab/>
        <w:t>Exhibit</w:t>
        <w:tab/>
        <w:t>Filing Date</w:t>
      </w:r>
      <w:r>
        <w:rPr>
          <w:sz w:val="20"/>
          <w:szCs w:val="20"/>
          <w:color w:val="auto"/>
        </w:rPr>
        <w:tab/>
      </w:r>
      <w:r>
        <w:rPr>
          <w:rFonts w:ascii="Times New Roman" w:cs="Times New Roman" w:eastAsia="Times New Roman" w:hAnsi="Times New Roman"/>
          <w:sz w:val="16"/>
          <w:szCs w:val="16"/>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124"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78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9"/>
              </w:rPr>
              <w:t>3.1</w:t>
            </w:r>
          </w:p>
        </w:tc>
        <w:tc>
          <w:tcPr>
            <w:tcW w:w="5760" w:type="dxa"/>
            <w:vAlign w:val="bottom"/>
            <w:gridSpan w:val="14"/>
          </w:tcPr>
          <w:p>
            <w:pPr>
              <w:spacing w:after="0"/>
              <w:rPr>
                <w:rFonts w:ascii="Times New Roman" w:cs="Times New Roman" w:eastAsia="Times New Roman" w:hAnsi="Times New Roman"/>
                <w:sz w:val="16"/>
                <w:szCs w:val="16"/>
                <w:color w:val="0000FF"/>
              </w:rPr>
            </w:pPr>
            <w:hyperlink r:id="rId293">
              <w:r>
                <w:rPr>
                  <w:rFonts w:ascii="Times New Roman" w:cs="Times New Roman" w:eastAsia="Times New Roman" w:hAnsi="Times New Roman"/>
                  <w:sz w:val="16"/>
                  <w:szCs w:val="16"/>
                  <w:color w:val="0000FF"/>
                </w:rPr>
                <w:t>Restated Certificate of Incorporation of the Registrant, as amended</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80" w:type="dxa"/>
            <w:vAlign w:val="bottom"/>
          </w:tcPr>
          <w:p>
            <w:pPr>
              <w:spacing w:after="0"/>
              <w:rPr>
                <w:sz w:val="20"/>
                <w:szCs w:val="20"/>
                <w:color w:val="auto"/>
              </w:rPr>
            </w:pPr>
          </w:p>
        </w:tc>
        <w:tc>
          <w:tcPr>
            <w:tcW w:w="5760" w:type="dxa"/>
            <w:vAlign w:val="bottom"/>
            <w:gridSpan w:val="14"/>
          </w:tcPr>
          <w:p>
            <w:pPr>
              <w:spacing w:after="0"/>
              <w:rPr>
                <w:rFonts w:ascii="Times New Roman" w:cs="Times New Roman" w:eastAsia="Times New Roman" w:hAnsi="Times New Roman"/>
                <w:sz w:val="16"/>
                <w:szCs w:val="16"/>
                <w:color w:val="0000FF"/>
              </w:rPr>
            </w:pPr>
            <w:hyperlink r:id="rId294">
              <w:r>
                <w:rPr>
                  <w:rFonts w:ascii="Times New Roman" w:cs="Times New Roman" w:eastAsia="Times New Roman" w:hAnsi="Times New Roman"/>
                  <w:sz w:val="16"/>
                  <w:szCs w:val="16"/>
                  <w:color w:val="0000FF"/>
                </w:rPr>
                <w:t>Certificate of Amendment to the Restated Certificate of Incorporation of the Company,</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jc w:val="center"/>
              <w:ind w:right="99"/>
              <w:spacing w:after="0" w:line="183" w:lineRule="exact"/>
              <w:rPr>
                <w:sz w:val="20"/>
                <w:szCs w:val="20"/>
                <w:color w:val="auto"/>
              </w:rPr>
            </w:pPr>
            <w:r>
              <w:rPr>
                <w:rFonts w:ascii="Times New Roman" w:cs="Times New Roman" w:eastAsia="Times New Roman" w:hAnsi="Times New Roman"/>
                <w:sz w:val="16"/>
                <w:szCs w:val="16"/>
                <w:color w:val="auto"/>
                <w:w w:val="99"/>
              </w:rPr>
              <w:t>3.2</w:t>
            </w:r>
          </w:p>
        </w:tc>
        <w:tc>
          <w:tcPr>
            <w:tcW w:w="5760" w:type="dxa"/>
            <w:vAlign w:val="bottom"/>
            <w:gridSpan w:val="14"/>
          </w:tcPr>
          <w:p>
            <w:pPr>
              <w:spacing w:after="0" w:line="183" w:lineRule="exact"/>
              <w:rPr>
                <w:rFonts w:ascii="Times New Roman" w:cs="Times New Roman" w:eastAsia="Times New Roman" w:hAnsi="Times New Roman"/>
                <w:sz w:val="16"/>
                <w:szCs w:val="16"/>
                <w:color w:val="0000FF"/>
              </w:rPr>
            </w:pPr>
            <w:hyperlink r:id="rId294">
              <w:r>
                <w:rPr>
                  <w:rFonts w:ascii="Times New Roman" w:cs="Times New Roman" w:eastAsia="Times New Roman" w:hAnsi="Times New Roman"/>
                  <w:sz w:val="16"/>
                  <w:szCs w:val="16"/>
                  <w:color w:val="0000FF"/>
                </w:rPr>
                <w:t>as filed with the Secretary of State of the State of Delaware on June 24, 2021</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 w:type="dxa"/>
            <w:vAlign w:val="bottom"/>
          </w:tcPr>
          <w:p>
            <w:pPr>
              <w:spacing w:after="0"/>
              <w:rPr>
                <w:sz w:val="20"/>
                <w:szCs w:val="20"/>
                <w:color w:val="auto"/>
              </w:rPr>
            </w:pPr>
          </w:p>
        </w:tc>
        <w:tc>
          <w:tcPr>
            <w:tcW w:w="5760" w:type="dxa"/>
            <w:vAlign w:val="bottom"/>
            <w:gridSpan w:val="14"/>
          </w:tcPr>
          <w:p>
            <w:pPr>
              <w:spacing w:after="0"/>
              <w:rPr>
                <w:rFonts w:ascii="Times New Roman" w:cs="Times New Roman" w:eastAsia="Times New Roman" w:hAnsi="Times New Roman"/>
                <w:sz w:val="16"/>
                <w:szCs w:val="16"/>
                <w:color w:val="0000FF"/>
              </w:rPr>
            </w:pPr>
            <w:hyperlink r:id="rId295">
              <w:r>
                <w:rPr>
                  <w:rFonts w:ascii="Times New Roman" w:cs="Times New Roman" w:eastAsia="Times New Roman" w:hAnsi="Times New Roman"/>
                  <w:sz w:val="16"/>
                  <w:szCs w:val="16"/>
                  <w:color w:val="0000FF"/>
                </w:rPr>
                <w:t>Certificate of Amendment to the Restated Certificate of Incorporation of the Company,</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jc w:val="center"/>
              <w:ind w:right="99"/>
              <w:spacing w:after="0" w:line="183" w:lineRule="exact"/>
              <w:rPr>
                <w:sz w:val="20"/>
                <w:szCs w:val="20"/>
                <w:color w:val="auto"/>
              </w:rPr>
            </w:pPr>
            <w:r>
              <w:rPr>
                <w:rFonts w:ascii="Times New Roman" w:cs="Times New Roman" w:eastAsia="Times New Roman" w:hAnsi="Times New Roman"/>
                <w:sz w:val="16"/>
                <w:szCs w:val="16"/>
                <w:color w:val="auto"/>
                <w:w w:val="99"/>
              </w:rPr>
              <w:t>3.3</w:t>
            </w:r>
          </w:p>
        </w:tc>
        <w:tc>
          <w:tcPr>
            <w:tcW w:w="5760" w:type="dxa"/>
            <w:vAlign w:val="bottom"/>
            <w:gridSpan w:val="14"/>
          </w:tcPr>
          <w:p>
            <w:pPr>
              <w:spacing w:after="0" w:line="183" w:lineRule="exact"/>
              <w:rPr>
                <w:rFonts w:ascii="Times New Roman" w:cs="Times New Roman" w:eastAsia="Times New Roman" w:hAnsi="Times New Roman"/>
                <w:sz w:val="16"/>
                <w:szCs w:val="16"/>
                <w:color w:val="0000FF"/>
              </w:rPr>
            </w:pPr>
            <w:hyperlink r:id="rId295">
              <w:r>
                <w:rPr>
                  <w:rFonts w:ascii="Times New Roman" w:cs="Times New Roman" w:eastAsia="Times New Roman" w:hAnsi="Times New Roman"/>
                  <w:sz w:val="16"/>
                  <w:szCs w:val="16"/>
                  <w:color w:val="0000FF"/>
                </w:rPr>
                <w:t>as filed with the Secretary of State of the State of Delaware on June 25, 2021</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 w:type="dxa"/>
            <w:vAlign w:val="bottom"/>
          </w:tcPr>
          <w:p>
            <w:pPr>
              <w:spacing w:after="0"/>
              <w:rPr>
                <w:sz w:val="20"/>
                <w:szCs w:val="20"/>
                <w:color w:val="auto"/>
              </w:rPr>
            </w:pPr>
          </w:p>
        </w:tc>
        <w:tc>
          <w:tcPr>
            <w:tcW w:w="5760" w:type="dxa"/>
            <w:vAlign w:val="bottom"/>
            <w:gridSpan w:val="14"/>
          </w:tcPr>
          <w:p>
            <w:pPr>
              <w:spacing w:after="0"/>
              <w:rPr>
                <w:rFonts w:ascii="Times New Roman" w:cs="Times New Roman" w:eastAsia="Times New Roman" w:hAnsi="Times New Roman"/>
                <w:sz w:val="16"/>
                <w:szCs w:val="16"/>
                <w:color w:val="0000FF"/>
              </w:rPr>
            </w:pPr>
            <w:hyperlink r:id="rId296">
              <w:r>
                <w:rPr>
                  <w:rFonts w:ascii="Times New Roman" w:cs="Times New Roman" w:eastAsia="Times New Roman" w:hAnsi="Times New Roman"/>
                  <w:sz w:val="16"/>
                  <w:szCs w:val="16"/>
                  <w:color w:val="0000FF"/>
                </w:rPr>
                <w:t>Certificate of Designation of Series A Junior Participating Preferred Stock filed with the</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jc w:val="center"/>
              <w:ind w:right="99"/>
              <w:spacing w:after="0" w:line="183" w:lineRule="exact"/>
              <w:rPr>
                <w:sz w:val="20"/>
                <w:szCs w:val="20"/>
                <w:color w:val="auto"/>
              </w:rPr>
            </w:pPr>
            <w:r>
              <w:rPr>
                <w:rFonts w:ascii="Times New Roman" w:cs="Times New Roman" w:eastAsia="Times New Roman" w:hAnsi="Times New Roman"/>
                <w:sz w:val="16"/>
                <w:szCs w:val="16"/>
                <w:color w:val="auto"/>
                <w:w w:val="99"/>
              </w:rPr>
              <w:t>3.4</w:t>
            </w:r>
          </w:p>
        </w:tc>
        <w:tc>
          <w:tcPr>
            <w:tcW w:w="5760" w:type="dxa"/>
            <w:vAlign w:val="bottom"/>
            <w:gridSpan w:val="14"/>
          </w:tcPr>
          <w:p>
            <w:pPr>
              <w:spacing w:after="0" w:line="183" w:lineRule="exact"/>
              <w:rPr>
                <w:rFonts w:ascii="Times New Roman" w:cs="Times New Roman" w:eastAsia="Times New Roman" w:hAnsi="Times New Roman"/>
                <w:sz w:val="16"/>
                <w:szCs w:val="16"/>
                <w:color w:val="0000FF"/>
              </w:rPr>
            </w:pPr>
            <w:hyperlink r:id="rId296">
              <w:r>
                <w:rPr>
                  <w:rFonts w:ascii="Times New Roman" w:cs="Times New Roman" w:eastAsia="Times New Roman" w:hAnsi="Times New Roman"/>
                  <w:sz w:val="16"/>
                  <w:szCs w:val="16"/>
                  <w:color w:val="0000FF"/>
                </w:rPr>
                <w:t>Secretary of State of the State of Delaware on October 10, 2023</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auto"/>
                <w:w w:val="99"/>
              </w:rPr>
              <w:t>3.5</w:t>
            </w:r>
          </w:p>
        </w:tc>
        <w:tc>
          <w:tcPr>
            <w:tcW w:w="5760" w:type="dxa"/>
            <w:vAlign w:val="bottom"/>
            <w:gridSpan w:val="14"/>
          </w:tcPr>
          <w:p>
            <w:pPr>
              <w:spacing w:after="0"/>
              <w:rPr>
                <w:rFonts w:ascii="Times New Roman" w:cs="Times New Roman" w:eastAsia="Times New Roman" w:hAnsi="Times New Roman"/>
                <w:sz w:val="16"/>
                <w:szCs w:val="16"/>
                <w:color w:val="0000FF"/>
              </w:rPr>
            </w:pPr>
            <w:hyperlink r:id="rId297">
              <w:r>
                <w:rPr>
                  <w:rFonts w:ascii="Times New Roman" w:cs="Times New Roman" w:eastAsia="Times New Roman" w:hAnsi="Times New Roman"/>
                  <w:sz w:val="16"/>
                  <w:szCs w:val="16"/>
                  <w:color w:val="0000FF"/>
                </w:rPr>
                <w:t>Certificate of Amendment to the Restated Certificate of Incorporation of the Company,</w:t>
              </w:r>
            </w:hyperlink>
          </w:p>
        </w:tc>
        <w:tc>
          <w:tcPr>
            <w:tcW w:w="0" w:type="dxa"/>
            <w:vAlign w:val="bottom"/>
          </w:tcPr>
          <w:p>
            <w:pPr>
              <w:spacing w:after="0"/>
              <w:rPr>
                <w:sz w:val="1"/>
                <w:szCs w:val="1"/>
                <w:color w:val="auto"/>
              </w:rPr>
            </w:pPr>
          </w:p>
        </w:tc>
      </w:tr>
      <w:tr>
        <w:trPr>
          <w:trHeight w:val="20"/>
        </w:trPr>
        <w:tc>
          <w:tcPr>
            <w:tcW w:w="7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vMerge w:val="continue"/>
          </w:tcPr>
          <w:p>
            <w:pPr>
              <w:spacing w:after="0"/>
              <w:rPr>
                <w:sz w:val="15"/>
                <w:szCs w:val="15"/>
                <w:color w:val="auto"/>
              </w:rPr>
            </w:pPr>
          </w:p>
        </w:tc>
        <w:tc>
          <w:tcPr>
            <w:tcW w:w="5760" w:type="dxa"/>
            <w:vAlign w:val="bottom"/>
            <w:gridSpan w:val="14"/>
          </w:tcPr>
          <w:p>
            <w:pPr>
              <w:spacing w:after="0" w:line="183" w:lineRule="exact"/>
              <w:rPr>
                <w:rFonts w:ascii="Times New Roman" w:cs="Times New Roman" w:eastAsia="Times New Roman" w:hAnsi="Times New Roman"/>
                <w:sz w:val="16"/>
                <w:szCs w:val="16"/>
                <w:color w:val="0000FF"/>
              </w:rPr>
            </w:pPr>
            <w:hyperlink r:id="rId297">
              <w:r>
                <w:rPr>
                  <w:rFonts w:ascii="Times New Roman" w:cs="Times New Roman" w:eastAsia="Times New Roman" w:hAnsi="Times New Roman"/>
                  <w:sz w:val="16"/>
                  <w:szCs w:val="16"/>
                  <w:color w:val="0000FF"/>
                </w:rPr>
                <w:t>as filed with the Secretary of State of the State of Delaware on April 4, 2025</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8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9"/>
              </w:rPr>
              <w:t>3.6</w:t>
            </w:r>
          </w:p>
        </w:tc>
        <w:tc>
          <w:tcPr>
            <w:tcW w:w="5760" w:type="dxa"/>
            <w:vAlign w:val="bottom"/>
            <w:gridSpan w:val="14"/>
          </w:tcPr>
          <w:p>
            <w:pPr>
              <w:spacing w:after="0"/>
              <w:rPr>
                <w:rFonts w:ascii="Times New Roman" w:cs="Times New Roman" w:eastAsia="Times New Roman" w:hAnsi="Times New Roman"/>
                <w:sz w:val="16"/>
                <w:szCs w:val="16"/>
                <w:color w:val="0000FF"/>
              </w:rPr>
            </w:pPr>
            <w:hyperlink r:id="rId298">
              <w:r>
                <w:rPr>
                  <w:rFonts w:ascii="Times New Roman" w:cs="Times New Roman" w:eastAsia="Times New Roman" w:hAnsi="Times New Roman"/>
                  <w:sz w:val="16"/>
                  <w:szCs w:val="16"/>
                  <w:color w:val="0000FF"/>
                </w:rPr>
                <w:t>Amended and Restated Bylaws of the Registrant</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auto"/>
                <w:w w:val="97"/>
              </w:rPr>
              <w:t>10.1+</w:t>
            </w:r>
          </w:p>
        </w:tc>
        <w:tc>
          <w:tcPr>
            <w:tcW w:w="5760" w:type="dxa"/>
            <w:vAlign w:val="bottom"/>
            <w:gridSpan w:val="14"/>
          </w:tcPr>
          <w:p>
            <w:pPr>
              <w:spacing w:after="0"/>
              <w:rPr>
                <w:rFonts w:ascii="Times New Roman" w:cs="Times New Roman" w:eastAsia="Times New Roman" w:hAnsi="Times New Roman"/>
                <w:sz w:val="16"/>
                <w:szCs w:val="16"/>
                <w:color w:val="0000FF"/>
              </w:rPr>
            </w:pPr>
            <w:hyperlink r:id="rId299">
              <w:r>
                <w:rPr>
                  <w:rFonts w:ascii="Times New Roman" w:cs="Times New Roman" w:eastAsia="Times New Roman" w:hAnsi="Times New Roman"/>
                  <w:sz w:val="16"/>
                  <w:szCs w:val="16"/>
                  <w:color w:val="0000FF"/>
                </w:rPr>
                <w:t>Securities Purchase Agreement, dated June 11, 2025, by and among Tempest</w:t>
              </w:r>
            </w:hyperlink>
          </w:p>
        </w:tc>
        <w:tc>
          <w:tcPr>
            <w:tcW w:w="0" w:type="dxa"/>
            <w:vAlign w:val="bottom"/>
          </w:tcPr>
          <w:p>
            <w:pPr>
              <w:spacing w:after="0"/>
              <w:rPr>
                <w:sz w:val="1"/>
                <w:szCs w:val="1"/>
                <w:color w:val="auto"/>
              </w:rPr>
            </w:pPr>
          </w:p>
        </w:tc>
      </w:tr>
      <w:tr>
        <w:trPr>
          <w:trHeight w:val="20"/>
        </w:trPr>
        <w:tc>
          <w:tcPr>
            <w:tcW w:w="7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vMerge w:val="continue"/>
          </w:tcPr>
          <w:p>
            <w:pPr>
              <w:spacing w:after="0"/>
              <w:rPr>
                <w:sz w:val="15"/>
                <w:szCs w:val="15"/>
                <w:color w:val="auto"/>
              </w:rPr>
            </w:pPr>
          </w:p>
        </w:tc>
        <w:tc>
          <w:tcPr>
            <w:tcW w:w="5760" w:type="dxa"/>
            <w:vAlign w:val="bottom"/>
            <w:gridSpan w:val="14"/>
          </w:tcPr>
          <w:p>
            <w:pPr>
              <w:spacing w:after="0" w:line="183" w:lineRule="exact"/>
              <w:rPr>
                <w:rFonts w:ascii="Times New Roman" w:cs="Times New Roman" w:eastAsia="Times New Roman" w:hAnsi="Times New Roman"/>
                <w:sz w:val="16"/>
                <w:szCs w:val="16"/>
                <w:color w:val="0000FF"/>
              </w:rPr>
            </w:pPr>
            <w:hyperlink r:id="rId299">
              <w:r>
                <w:rPr>
                  <w:rFonts w:ascii="Times New Roman" w:cs="Times New Roman" w:eastAsia="Times New Roman" w:hAnsi="Times New Roman"/>
                  <w:sz w:val="16"/>
                  <w:szCs w:val="16"/>
                  <w:color w:val="0000FF"/>
                </w:rPr>
                <w:t>Therapeutics, Inc. and the purchaser party thereto.</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EE"/>
            </w:tcBorders>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auto"/>
                <w:w w:val="97"/>
              </w:rPr>
              <w:t>10.2+</w:t>
            </w:r>
          </w:p>
        </w:tc>
        <w:tc>
          <w:tcPr>
            <w:tcW w:w="5760" w:type="dxa"/>
            <w:vAlign w:val="bottom"/>
            <w:gridSpan w:val="14"/>
          </w:tcPr>
          <w:p>
            <w:pPr>
              <w:spacing w:after="0" w:line="183" w:lineRule="exact"/>
              <w:rPr>
                <w:rFonts w:ascii="Times New Roman" w:cs="Times New Roman" w:eastAsia="Times New Roman" w:hAnsi="Times New Roman"/>
                <w:sz w:val="16"/>
                <w:szCs w:val="16"/>
                <w:color w:val="0000FF"/>
              </w:rPr>
            </w:pPr>
            <w:hyperlink r:id="rId300">
              <w:r>
                <w:rPr>
                  <w:rFonts w:ascii="Times New Roman" w:cs="Times New Roman" w:eastAsia="Times New Roman" w:hAnsi="Times New Roman"/>
                  <w:sz w:val="16"/>
                  <w:szCs w:val="16"/>
                  <w:color w:val="0000FF"/>
                </w:rPr>
                <w:t>Amended and Restated Offer Letter, dated August 11, 2025, by and</w:t>
              </w:r>
            </w:hyperlink>
          </w:p>
        </w:tc>
        <w:tc>
          <w:tcPr>
            <w:tcW w:w="0" w:type="dxa"/>
            <w:vAlign w:val="bottom"/>
          </w:tcPr>
          <w:p>
            <w:pPr>
              <w:spacing w:after="0"/>
              <w:rPr>
                <w:sz w:val="1"/>
                <w:szCs w:val="1"/>
                <w:color w:val="auto"/>
              </w:rPr>
            </w:pPr>
          </w:p>
        </w:tc>
      </w:tr>
      <w:tr>
        <w:trPr>
          <w:trHeight w:val="20"/>
        </w:trPr>
        <w:tc>
          <w:tcPr>
            <w:tcW w:w="78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vMerge w:val="continue"/>
          </w:tcPr>
          <w:p>
            <w:pPr>
              <w:spacing w:after="0"/>
              <w:rPr>
                <w:sz w:val="15"/>
                <w:szCs w:val="15"/>
                <w:color w:val="auto"/>
              </w:rPr>
            </w:pPr>
          </w:p>
        </w:tc>
        <w:tc>
          <w:tcPr>
            <w:tcW w:w="5760" w:type="dxa"/>
            <w:vAlign w:val="bottom"/>
            <w:gridSpan w:val="14"/>
          </w:tcPr>
          <w:p>
            <w:pPr>
              <w:spacing w:after="0" w:line="183" w:lineRule="exact"/>
              <w:rPr>
                <w:rFonts w:ascii="Times New Roman" w:cs="Times New Roman" w:eastAsia="Times New Roman" w:hAnsi="Times New Roman"/>
                <w:sz w:val="16"/>
                <w:szCs w:val="16"/>
                <w:color w:val="0000FF"/>
              </w:rPr>
            </w:pPr>
            <w:hyperlink r:id="rId300">
              <w:r>
                <w:rPr>
                  <w:rFonts w:ascii="Times New Roman" w:cs="Times New Roman" w:eastAsia="Times New Roman" w:hAnsi="Times New Roman"/>
                  <w:sz w:val="16"/>
                  <w:szCs w:val="16"/>
                  <w:color w:val="0000FF"/>
                </w:rPr>
                <w:t>between Tempest Therapeutics, Inc. and Justin Trojanowski.</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 w:type="dxa"/>
            <w:vAlign w:val="bottom"/>
          </w:tcPr>
          <w:p>
            <w:pPr>
              <w:spacing w:after="0"/>
              <w:rPr>
                <w:sz w:val="18"/>
                <w:szCs w:val="18"/>
                <w:color w:val="auto"/>
              </w:rPr>
            </w:pPr>
          </w:p>
        </w:tc>
        <w:tc>
          <w:tcPr>
            <w:tcW w:w="576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Rules 13a-14(a) and 15d-14(a)</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3040" w:type="dxa"/>
            <w:vAlign w:val="bottom"/>
            <w:gridSpan w:val="9"/>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spacing w:after="0"/>
              <w:rPr>
                <w:sz w:val="15"/>
                <w:szCs w:val="15"/>
                <w:color w:val="auto"/>
              </w:rPr>
            </w:pPr>
          </w:p>
        </w:tc>
        <w:tc>
          <w:tcPr>
            <w:tcW w:w="5760" w:type="dxa"/>
            <w:vAlign w:val="bottom"/>
            <w:gridSpan w:val="14"/>
          </w:tcPr>
          <w:p>
            <w:pPr>
              <w:spacing w:after="0" w:line="183" w:lineRule="exact"/>
              <w:rPr>
                <w:sz w:val="20"/>
                <w:szCs w:val="20"/>
                <w:color w:val="auto"/>
              </w:rPr>
            </w:pPr>
            <w:r>
              <w:rPr>
                <w:rFonts w:ascii="Times New Roman" w:cs="Times New Roman" w:eastAsia="Times New Roman" w:hAnsi="Times New Roman"/>
                <w:sz w:val="16"/>
                <w:szCs w:val="16"/>
                <w:color w:val="0000FF"/>
              </w:rPr>
              <w:t>promulgated under the Securities Exchange Act of 1934, as adopted pursuant to Section</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3040" w:type="dxa"/>
            <w:vAlign w:val="bottom"/>
            <w:gridSpan w:val="9"/>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jc w:val="center"/>
              <w:ind w:right="99"/>
              <w:spacing w:after="0" w:line="183" w:lineRule="exact"/>
              <w:rPr>
                <w:sz w:val="20"/>
                <w:szCs w:val="20"/>
                <w:color w:val="auto"/>
              </w:rPr>
            </w:pPr>
            <w:r>
              <w:rPr>
                <w:rFonts w:ascii="Times New Roman" w:cs="Times New Roman" w:eastAsia="Times New Roman" w:hAnsi="Times New Roman"/>
                <w:sz w:val="16"/>
                <w:szCs w:val="16"/>
                <w:color w:val="auto"/>
                <w:w w:val="99"/>
              </w:rPr>
              <w:t>31.1</w:t>
            </w:r>
          </w:p>
        </w:tc>
        <w:tc>
          <w:tcPr>
            <w:tcW w:w="5760" w:type="dxa"/>
            <w:vAlign w:val="bottom"/>
            <w:gridSpan w:val="14"/>
          </w:tcPr>
          <w:p>
            <w:pPr>
              <w:spacing w:after="0" w:line="183" w:lineRule="exact"/>
              <w:rPr>
                <w:sz w:val="20"/>
                <w:szCs w:val="20"/>
                <w:color w:val="auto"/>
              </w:rPr>
            </w:pPr>
            <w:r>
              <w:rPr>
                <w:rFonts w:ascii="Times New Roman" w:cs="Times New Roman" w:eastAsia="Times New Roman" w:hAnsi="Times New Roman"/>
                <w:sz w:val="16"/>
                <w:szCs w:val="16"/>
                <w:color w:val="0000FF"/>
              </w:rPr>
              <w:t>302 of the Sarbanes-Oxley Act of 2002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EE"/>
            </w:tcBorders>
            <w:shd w:val="clear" w:color="auto" w:fill="0000FF"/>
          </w:tcPr>
          <w:p>
            <w:pPr>
              <w:spacing w:after="0" w:line="20" w:lineRule="exact"/>
              <w:rPr>
                <w:sz w:val="1"/>
                <w:szCs w:val="1"/>
                <w:color w:val="auto"/>
              </w:rPr>
            </w:pPr>
          </w:p>
        </w:tc>
        <w:tc>
          <w:tcPr>
            <w:tcW w:w="304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 w:type="dxa"/>
            <w:vAlign w:val="bottom"/>
          </w:tcPr>
          <w:p>
            <w:pPr>
              <w:spacing w:after="0"/>
              <w:rPr>
                <w:sz w:val="20"/>
                <w:szCs w:val="20"/>
                <w:color w:val="auto"/>
              </w:rPr>
            </w:pPr>
          </w:p>
        </w:tc>
        <w:tc>
          <w:tcPr>
            <w:tcW w:w="576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Rules 13a-14(a) and 15d-14(a)</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800" w:type="dxa"/>
            <w:vAlign w:val="bottom"/>
            <w:gridSpan w:val="10"/>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80" w:type="dxa"/>
            <w:vAlign w:val="bottom"/>
          </w:tcPr>
          <w:p>
            <w:pPr>
              <w:spacing w:after="0"/>
              <w:rPr>
                <w:sz w:val="15"/>
                <w:szCs w:val="15"/>
                <w:color w:val="auto"/>
              </w:rPr>
            </w:pPr>
          </w:p>
        </w:tc>
        <w:tc>
          <w:tcPr>
            <w:tcW w:w="5760" w:type="dxa"/>
            <w:vAlign w:val="bottom"/>
            <w:gridSpan w:val="14"/>
          </w:tcPr>
          <w:p>
            <w:pPr>
              <w:spacing w:after="0" w:line="183" w:lineRule="exact"/>
              <w:rPr>
                <w:sz w:val="20"/>
                <w:szCs w:val="20"/>
                <w:color w:val="auto"/>
              </w:rPr>
            </w:pPr>
            <w:r>
              <w:rPr>
                <w:rFonts w:ascii="Times New Roman" w:cs="Times New Roman" w:eastAsia="Times New Roman" w:hAnsi="Times New Roman"/>
                <w:sz w:val="16"/>
                <w:szCs w:val="16"/>
                <w:color w:val="0000FF"/>
              </w:rPr>
              <w:t>promulgated under the Securities Exchange Act of 1934, as adopted pursuant to section</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880" w:type="dxa"/>
            <w:vAlign w:val="bottom"/>
            <w:gridSpan w:val="11"/>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jc w:val="center"/>
              <w:ind w:right="99"/>
              <w:spacing w:after="0" w:line="183" w:lineRule="exact"/>
              <w:rPr>
                <w:sz w:val="20"/>
                <w:szCs w:val="20"/>
                <w:color w:val="auto"/>
              </w:rPr>
            </w:pPr>
            <w:r>
              <w:rPr>
                <w:rFonts w:ascii="Times New Roman" w:cs="Times New Roman" w:eastAsia="Times New Roman" w:hAnsi="Times New Roman"/>
                <w:sz w:val="16"/>
                <w:szCs w:val="16"/>
                <w:color w:val="auto"/>
                <w:w w:val="99"/>
              </w:rPr>
              <w:t>31.2</w:t>
            </w:r>
          </w:p>
        </w:tc>
        <w:tc>
          <w:tcPr>
            <w:tcW w:w="5760" w:type="dxa"/>
            <w:vAlign w:val="bottom"/>
            <w:gridSpan w:val="14"/>
          </w:tcPr>
          <w:p>
            <w:pPr>
              <w:spacing w:after="0" w:line="183" w:lineRule="exact"/>
              <w:rPr>
                <w:sz w:val="20"/>
                <w:szCs w:val="20"/>
                <w:color w:val="auto"/>
              </w:rPr>
            </w:pPr>
            <w:r>
              <w:rPr>
                <w:rFonts w:ascii="Times New Roman" w:cs="Times New Roman" w:eastAsia="Times New Roman" w:hAnsi="Times New Roman"/>
                <w:sz w:val="16"/>
                <w:szCs w:val="16"/>
                <w:color w:val="0000FF"/>
              </w:rPr>
              <w:t>302 of the Sarbanes-Oxley Act of 2002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EE"/>
            </w:tcBorders>
            <w:shd w:val="clear" w:color="auto" w:fill="0000FF"/>
          </w:tcPr>
          <w:p>
            <w:pPr>
              <w:spacing w:after="0" w:line="20" w:lineRule="exact"/>
              <w:rPr>
                <w:sz w:val="1"/>
                <w:szCs w:val="1"/>
                <w:color w:val="auto"/>
              </w:rPr>
            </w:pPr>
          </w:p>
        </w:tc>
        <w:tc>
          <w:tcPr>
            <w:tcW w:w="312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 w:type="dxa"/>
            <w:vAlign w:val="bottom"/>
          </w:tcPr>
          <w:p>
            <w:pPr>
              <w:spacing w:after="0"/>
              <w:rPr>
                <w:sz w:val="20"/>
                <w:szCs w:val="20"/>
                <w:color w:val="auto"/>
              </w:rPr>
            </w:pPr>
          </w:p>
        </w:tc>
        <w:tc>
          <w:tcPr>
            <w:tcW w:w="576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and Principal Financial Officer pursuant to</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880" w:type="dxa"/>
            <w:vAlign w:val="bottom"/>
            <w:gridSpan w:val="11"/>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spacing w:after="0"/>
              <w:rPr>
                <w:sz w:val="15"/>
                <w:szCs w:val="15"/>
                <w:color w:val="auto"/>
              </w:rPr>
            </w:pPr>
          </w:p>
        </w:tc>
        <w:tc>
          <w:tcPr>
            <w:tcW w:w="5760" w:type="dxa"/>
            <w:vAlign w:val="bottom"/>
            <w:gridSpan w:val="14"/>
          </w:tcPr>
          <w:p>
            <w:pPr>
              <w:spacing w:after="0" w:line="183" w:lineRule="exact"/>
              <w:rPr>
                <w:sz w:val="20"/>
                <w:szCs w:val="20"/>
                <w:color w:val="auto"/>
              </w:rPr>
            </w:pPr>
            <w:r>
              <w:rPr>
                <w:rFonts w:ascii="Times New Roman" w:cs="Times New Roman" w:eastAsia="Times New Roman" w:hAnsi="Times New Roman"/>
                <w:sz w:val="16"/>
                <w:szCs w:val="16"/>
                <w:color w:val="0000FF"/>
              </w:rPr>
              <w:t>Rules 13a-14(b) and 15d-14(b) promulgated under the Securities Exchange Act of 1934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880" w:type="dxa"/>
            <w:vAlign w:val="bottom"/>
            <w:gridSpan w:val="11"/>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auto"/>
                <w:w w:val="92"/>
              </w:rPr>
              <w:t>32.1</w:t>
            </w:r>
            <w:r>
              <w:rPr>
                <w:rFonts w:ascii="Times New Roman" w:cs="Times New Roman" w:eastAsia="Times New Roman" w:hAnsi="Times New Roman"/>
                <w:sz w:val="21"/>
                <w:szCs w:val="21"/>
                <w:color w:val="auto"/>
                <w:w w:val="92"/>
                <w:vertAlign w:val="superscript"/>
              </w:rPr>
              <w:t>^</w:t>
            </w:r>
          </w:p>
        </w:tc>
        <w:tc>
          <w:tcPr>
            <w:tcW w:w="5760" w:type="dxa"/>
            <w:vAlign w:val="bottom"/>
            <w:gridSpan w:val="14"/>
          </w:tcPr>
          <w:p>
            <w:pPr>
              <w:spacing w:after="0" w:line="183" w:lineRule="exact"/>
              <w:rPr>
                <w:sz w:val="20"/>
                <w:szCs w:val="20"/>
                <w:color w:val="auto"/>
              </w:rPr>
            </w:pPr>
            <w:r>
              <w:rPr>
                <w:rFonts w:ascii="Times New Roman" w:cs="Times New Roman" w:eastAsia="Times New Roman" w:hAnsi="Times New Roman"/>
                <w:sz w:val="16"/>
                <w:szCs w:val="16"/>
                <w:color w:val="0000FF"/>
              </w:rPr>
              <w:t>and 18 U.S.C. Section 1350, as adopted pursuant to section 906 of The Sarbanes-Oxley</w:t>
            </w:r>
          </w:p>
        </w:tc>
        <w:tc>
          <w:tcPr>
            <w:tcW w:w="0" w:type="dxa"/>
            <w:vAlign w:val="bottom"/>
          </w:tcPr>
          <w:p>
            <w:pPr>
              <w:spacing w:after="0"/>
              <w:rPr>
                <w:sz w:val="1"/>
                <w:szCs w:val="1"/>
                <w:color w:val="auto"/>
              </w:rPr>
            </w:pPr>
          </w:p>
        </w:tc>
      </w:tr>
      <w:tr>
        <w:trPr>
          <w:trHeight w:val="20"/>
        </w:trPr>
        <w:tc>
          <w:tcPr>
            <w:tcW w:w="7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880" w:type="dxa"/>
            <w:vAlign w:val="bottom"/>
            <w:gridSpan w:val="11"/>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vMerge w:val="continue"/>
          </w:tcPr>
          <w:p>
            <w:pPr>
              <w:spacing w:after="0"/>
              <w:rPr>
                <w:sz w:val="15"/>
                <w:szCs w:val="15"/>
                <w:color w:val="auto"/>
              </w:rPr>
            </w:pPr>
          </w:p>
        </w:tc>
        <w:tc>
          <w:tcPr>
            <w:tcW w:w="5760" w:type="dxa"/>
            <w:vAlign w:val="bottom"/>
            <w:gridSpan w:val="14"/>
          </w:tcPr>
          <w:p>
            <w:pPr>
              <w:spacing w:after="0" w:line="183" w:lineRule="exact"/>
              <w:rPr>
                <w:sz w:val="20"/>
                <w:szCs w:val="20"/>
                <w:color w:val="auto"/>
              </w:rPr>
            </w:pPr>
            <w:r>
              <w:rPr>
                <w:rFonts w:ascii="Times New Roman" w:cs="Times New Roman" w:eastAsia="Times New Roman" w:hAnsi="Times New Roman"/>
                <w:sz w:val="16"/>
                <w:szCs w:val="16"/>
                <w:color w:val="0000FF"/>
              </w:rPr>
              <w:t>Act of 2002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496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8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auto"/>
              </w:rPr>
              <w:t>101.INS</w:t>
            </w:r>
          </w:p>
        </w:tc>
        <w:tc>
          <w:tcPr>
            <w:tcW w:w="576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w:t>
            </w:r>
          </w:p>
        </w:tc>
        <w:tc>
          <w:tcPr>
            <w:tcW w:w="0" w:type="dxa"/>
            <w:vAlign w:val="bottom"/>
          </w:tcPr>
          <w:p>
            <w:pPr>
              <w:spacing w:after="0"/>
              <w:rPr>
                <w:sz w:val="1"/>
                <w:szCs w:val="1"/>
                <w:color w:val="auto"/>
              </w:rPr>
            </w:pPr>
          </w:p>
        </w:tc>
      </w:tr>
      <w:tr>
        <w:trPr>
          <w:trHeight w:val="210"/>
        </w:trPr>
        <w:tc>
          <w:tcPr>
            <w:tcW w:w="780" w:type="dxa"/>
            <w:vAlign w:val="bottom"/>
            <w:vMerge w:val="continue"/>
          </w:tcPr>
          <w:p>
            <w:pPr>
              <w:spacing w:after="0"/>
              <w:rPr>
                <w:sz w:val="18"/>
                <w:szCs w:val="18"/>
                <w:color w:val="auto"/>
              </w:rPr>
            </w:pPr>
          </w:p>
        </w:tc>
        <w:tc>
          <w:tcPr>
            <w:tcW w:w="576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Interactive Data File as its XBRL tags are embedded within the Inline XBRL document</w:t>
            </w:r>
          </w:p>
        </w:tc>
        <w:tc>
          <w:tcPr>
            <w:tcW w:w="0" w:type="dxa"/>
            <w:vAlign w:val="bottom"/>
          </w:tcPr>
          <w:p>
            <w:pPr>
              <w:spacing w:after="0"/>
              <w:rPr>
                <w:sz w:val="1"/>
                <w:szCs w:val="1"/>
                <w:color w:val="auto"/>
              </w:rPr>
            </w:pPr>
          </w:p>
        </w:tc>
      </w:tr>
      <w:tr>
        <w:trPr>
          <w:trHeight w:val="270"/>
        </w:trPr>
        <w:tc>
          <w:tcPr>
            <w:tcW w:w="78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101.SCH</w:t>
            </w:r>
          </w:p>
        </w:tc>
        <w:tc>
          <w:tcPr>
            <w:tcW w:w="576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Inline XBRL Taxonomy Extension Schema With Embedded Linkbase Documents</w:t>
            </w:r>
          </w:p>
        </w:tc>
        <w:tc>
          <w:tcPr>
            <w:tcW w:w="0" w:type="dxa"/>
            <w:vAlign w:val="bottom"/>
          </w:tcPr>
          <w:p>
            <w:pPr>
              <w:spacing w:after="0"/>
              <w:rPr>
                <w:sz w:val="1"/>
                <w:szCs w:val="1"/>
                <w:color w:val="auto"/>
              </w:rPr>
            </w:pPr>
          </w:p>
        </w:tc>
      </w:tr>
      <w:tr>
        <w:trPr>
          <w:trHeight w:val="324"/>
        </w:trPr>
        <w:tc>
          <w:tcPr>
            <w:tcW w:w="78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9"/>
              </w:rPr>
              <w:t>104</w:t>
            </w:r>
          </w:p>
        </w:tc>
        <w:tc>
          <w:tcPr>
            <w:tcW w:w="576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Cover Page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5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10-Q</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001-35890</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5/15/2019</w:t>
            </w:r>
          </w:p>
        </w:tc>
      </w:tr>
      <w:tr>
        <w:trPr>
          <w:trHeight w:val="459"/>
        </w:trPr>
        <w:tc>
          <w:tcPr>
            <w:tcW w:w="5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8-K</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001-35890</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6/28/2021</w:t>
            </w:r>
          </w:p>
        </w:tc>
      </w:tr>
      <w:tr>
        <w:trPr>
          <w:trHeight w:val="459"/>
        </w:trPr>
        <w:tc>
          <w:tcPr>
            <w:tcW w:w="5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8-K</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001-35890</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6/28/2021</w:t>
            </w:r>
          </w:p>
        </w:tc>
      </w:tr>
      <w:tr>
        <w:trPr>
          <w:trHeight w:val="459"/>
        </w:trPr>
        <w:tc>
          <w:tcPr>
            <w:tcW w:w="5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8-K</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001-35890</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10/11/2023</w:t>
            </w:r>
          </w:p>
        </w:tc>
      </w:tr>
      <w:tr>
        <w:trPr>
          <w:trHeight w:val="405"/>
        </w:trPr>
        <w:tc>
          <w:tcPr>
            <w:tcW w:w="5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8-K</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001-35890</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4/7/2025</w:t>
            </w:r>
          </w:p>
        </w:tc>
      </w:tr>
      <w:tr>
        <w:trPr>
          <w:trHeight w:val="297"/>
        </w:trPr>
        <w:tc>
          <w:tcPr>
            <w:tcW w:w="5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8-K</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001-35890</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9/24/2021</w:t>
            </w:r>
          </w:p>
        </w:tc>
      </w:tr>
      <w:tr>
        <w:trPr>
          <w:trHeight w:val="405"/>
        </w:trPr>
        <w:tc>
          <w:tcPr>
            <w:tcW w:w="5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8-K</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001-35890</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10.6</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8/11/2025</w:t>
            </w:r>
          </w:p>
        </w:tc>
      </w:tr>
      <w:tr>
        <w:trPr>
          <w:trHeight w:val="405"/>
        </w:trPr>
        <w:tc>
          <w:tcPr>
            <w:tcW w:w="5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10-Q</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001-35890</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10.7</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8/11/2025</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149" w:lineRule="exact"/>
        <w:rPr>
          <w:sz w:val="20"/>
          <w:szCs w:val="20"/>
          <w:color w:val="auto"/>
        </w:rPr>
      </w:pPr>
    </w:p>
    <w:p>
      <w:pPr>
        <w:sectPr>
          <w:pgSz w:w="11900" w:h="16838" w:orient="portrait"/>
          <w:cols w:equalWidth="0" w:num="3">
            <w:col w:w="6700" w:space="220"/>
            <w:col w:w="3180" w:space="520"/>
            <w:col w:w="620"/>
          </w:cols>
          <w:pgMar w:left="320" w:top="117" w:right="339" w:bottom="1440" w:gutter="0" w:footer="0" w:header="0"/>
          <w:type w:val="continuous"/>
        </w:sectPr>
      </w:pPr>
    </w:p>
    <w:p>
      <w:pPr>
        <w:jc w:val="both"/>
        <w:ind w:firstLine="8"/>
        <w:spacing w:after="0" w:line="266" w:lineRule="auto"/>
        <w:tabs>
          <w:tab w:leader="none" w:pos="1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TEMPEST THERAPEUTICS, INC.</w:t>
      </w:r>
    </w:p>
    <w:p>
      <w:pPr>
        <w:spacing w:after="0" w:line="225" w:lineRule="exact"/>
        <w:rPr>
          <w:sz w:val="20"/>
          <w:szCs w:val="20"/>
          <w:color w:val="auto"/>
        </w:rPr>
      </w:pPr>
    </w:p>
    <w:p>
      <w:pPr>
        <w:ind w:left="596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17145</wp:posOffset>
            </wp:positionV>
            <wp:extent cx="291465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2">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Stephen Brady</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 &amp; President (Principal Executive Officer)</w:t>
      </w:r>
    </w:p>
    <w:p>
      <w:pPr>
        <w:spacing w:after="0" w:line="200" w:lineRule="exact"/>
        <w:rPr>
          <w:sz w:val="20"/>
          <w:szCs w:val="20"/>
          <w:color w:val="auto"/>
        </w:rPr>
      </w:pPr>
    </w:p>
    <w:p>
      <w:pPr>
        <w:spacing w:after="0" w:line="223" w:lineRule="exact"/>
        <w:rPr>
          <w:sz w:val="20"/>
          <w:szCs w:val="20"/>
          <w:color w:val="auto"/>
        </w:rPr>
      </w:pPr>
    </w:p>
    <w:p>
      <w:pPr>
        <w:ind w:left="596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Nicholas Maestas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17145</wp:posOffset>
            </wp:positionV>
            <wp:extent cx="291465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3">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Nicholas Maestas</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  &amp;  Head  of  Corporate  Strategy  (Principal</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2025</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Brady, certify that:</w:t>
      </w:r>
    </w:p>
    <w:p>
      <w:pPr>
        <w:spacing w:after="0" w:line="225" w:lineRule="exact"/>
        <w:rPr>
          <w:sz w:val="20"/>
          <w:szCs w:val="20"/>
          <w:color w:val="auto"/>
        </w:rPr>
      </w:pPr>
    </w:p>
    <w:p>
      <w:pPr>
        <w:ind w:left="380" w:hanging="372"/>
        <w:spacing w:after="0"/>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Tempest Therapeutics, Inc.;</w:t>
      </w:r>
    </w:p>
    <w:p>
      <w:pPr>
        <w:spacing w:after="0" w:line="22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2025</w:t>
      </w:r>
    </w:p>
    <w:p>
      <w:pPr>
        <w:spacing w:after="0" w:line="225" w:lineRule="exact"/>
        <w:rPr>
          <w:sz w:val="20"/>
          <w:szCs w:val="20"/>
          <w:color w:val="auto"/>
        </w:rPr>
      </w:pPr>
    </w:p>
    <w:p>
      <w:pPr>
        <w:ind w:left="6980"/>
        <w:spacing w:after="0"/>
        <w:tabs>
          <w:tab w:leader="none" w:pos="7420" w:val="left"/>
        </w:tabs>
        <w:rPr>
          <w:sz w:val="20"/>
          <w:szCs w:val="20"/>
          <w:color w:val="auto"/>
        </w:rPr>
      </w:pPr>
      <w:r>
        <w:rPr>
          <w:rFonts w:ascii="Times New Roman" w:cs="Times New Roman" w:eastAsia="Times New Roman" w:hAnsi="Times New Roman"/>
          <w:sz w:val="18"/>
          <w:szCs w:val="18"/>
          <w:color w:val="auto"/>
        </w:rPr>
        <w:t>By:</w:t>
        <w:tab/>
        <w:t>/s/ 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41744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5">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Stephen Brady</w:t>
      </w:r>
    </w:p>
    <w:p>
      <w:pPr>
        <w:spacing w:after="0" w:line="2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Chief Executive Officer &amp; President (Principal</w:t>
      </w:r>
    </w:p>
    <w:p>
      <w:pPr>
        <w:spacing w:after="0" w:line="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Nicholas Maestas, certify that:</w:t>
      </w:r>
    </w:p>
    <w:p>
      <w:pPr>
        <w:spacing w:after="0" w:line="225" w:lineRule="exact"/>
        <w:rPr>
          <w:sz w:val="20"/>
          <w:szCs w:val="20"/>
          <w:color w:val="auto"/>
        </w:rPr>
      </w:pPr>
    </w:p>
    <w:p>
      <w:pPr>
        <w:ind w:left="380" w:hanging="372"/>
        <w:spacing w:after="0"/>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Tempest Therapeutics, Inc.;</w:t>
      </w:r>
    </w:p>
    <w:p>
      <w:pPr>
        <w:spacing w:after="0" w:line="22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2025</w:t>
      </w:r>
    </w:p>
    <w:p>
      <w:pPr>
        <w:spacing w:after="0" w:line="225" w:lineRule="exact"/>
        <w:rPr>
          <w:sz w:val="20"/>
          <w:szCs w:val="20"/>
          <w:color w:val="auto"/>
        </w:rPr>
      </w:pPr>
    </w:p>
    <w:p>
      <w:pPr>
        <w:ind w:left="6980"/>
        <w:spacing w:after="0"/>
        <w:tabs>
          <w:tab w:leader="none" w:pos="7420" w:val="left"/>
        </w:tabs>
        <w:rPr>
          <w:sz w:val="20"/>
          <w:szCs w:val="20"/>
          <w:color w:val="auto"/>
        </w:rPr>
      </w:pPr>
      <w:r>
        <w:rPr>
          <w:rFonts w:ascii="Times New Roman" w:cs="Times New Roman" w:eastAsia="Times New Roman" w:hAnsi="Times New Roman"/>
          <w:sz w:val="18"/>
          <w:szCs w:val="18"/>
          <w:color w:val="auto"/>
        </w:rPr>
        <w:t>By:</w:t>
        <w:tab/>
        <w:t>/s/ Nicholas Maestas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41744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7">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Nicholas Maestas</w:t>
      </w:r>
    </w:p>
    <w:p>
      <w:pPr>
        <w:spacing w:after="0" w:line="2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Chief  Financial  Officer  &amp;  Head  of  Corporate</w:t>
      </w:r>
    </w:p>
    <w:p>
      <w:pPr>
        <w:spacing w:after="0" w:line="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Strategy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Stephen Brady, Chief Executive Officer of Tempest Therapeutics, Inc. (the “Company”), and Nicholas Maestas, Chief Financial Officer &amp; Head of Corporate Strategy, of the Company, each hereby certifies that, to the best of his or her knowledge:</w:t>
      </w:r>
    </w:p>
    <w:p>
      <w:pPr>
        <w:spacing w:after="0" w:line="180" w:lineRule="exact"/>
        <w:rPr>
          <w:sz w:val="20"/>
          <w:szCs w:val="20"/>
          <w:color w:val="auto"/>
        </w:rPr>
      </w:pPr>
    </w:p>
    <w:p>
      <w:pPr>
        <w:ind w:left="380" w:right="20" w:hanging="372"/>
        <w:spacing w:after="0" w:line="282" w:lineRule="auto"/>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September 30, 2025, to which this Certification is attached as Exhibit 32.1 (the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color w:val="auto"/>
        </w:rPr>
      </w:pPr>
    </w:p>
    <w:p>
      <w:pPr>
        <w:ind w:right="400" w:firstLine="8"/>
        <w:spacing w:after="0" w:line="532" w:lineRule="auto"/>
        <w:tabs>
          <w:tab w:leader="none" w:pos="37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November 5, 2025</w:t>
      </w: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 Stephen Brady</w:t>
            </w:r>
          </w:p>
        </w:tc>
        <w:tc>
          <w:tcPr>
            <w:tcW w:w="324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 Nicholas Maestas</w:t>
            </w:r>
          </w:p>
        </w:tc>
      </w:tr>
      <w:tr>
        <w:trPr>
          <w:trHeight w:val="27"/>
        </w:trPr>
        <w:tc>
          <w:tcPr>
            <w:tcW w:w="4140" w:type="dxa"/>
            <w:vAlign w:val="bottom"/>
            <w:tcBorders>
              <w:bottom w:val="single" w:sz="8" w:color="auto"/>
            </w:tcBorders>
          </w:tcPr>
          <w:p>
            <w:pPr>
              <w:spacing w:after="0"/>
              <w:rPr>
                <w:sz w:val="2"/>
                <w:szCs w:val="2"/>
                <w:color w:val="auto"/>
              </w:rPr>
            </w:pPr>
          </w:p>
        </w:tc>
        <w:tc>
          <w:tcPr>
            <w:tcW w:w="3240" w:type="dxa"/>
            <w:vAlign w:val="bottom"/>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r>
      <w:tr>
        <w:trPr>
          <w:trHeight w:val="263"/>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Stephen Brady</w:t>
            </w:r>
          </w:p>
        </w:tc>
        <w:tc>
          <w:tcPr>
            <w:tcW w:w="3240" w:type="dxa"/>
            <w:vAlign w:val="bottom"/>
          </w:tcPr>
          <w:p>
            <w:pPr>
              <w:spacing w:after="0"/>
              <w:rPr>
                <w:sz w:val="22"/>
                <w:szCs w:val="22"/>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Nicholas Maestas</w:t>
            </w:r>
          </w:p>
        </w:tc>
      </w:tr>
      <w:tr>
        <w:trPr>
          <w:trHeight w:val="225"/>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&amp; President (Principal</w:t>
            </w:r>
          </w:p>
        </w:tc>
        <w:tc>
          <w:tcPr>
            <w:tcW w:w="324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&amp;  Head  of  Corporate</w:t>
            </w:r>
          </w:p>
        </w:tc>
      </w:t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Executive Officer)</w:t>
            </w:r>
          </w:p>
        </w:tc>
        <w:tc>
          <w:tcPr>
            <w:tcW w:w="324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Strategy (Principal Financial Officer)</w:t>
            </w:r>
          </w:p>
        </w:tc>
      </w:tr>
    </w:tbl>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Tempest Therapeutics,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7" w:name="page88"/>
    <w:bookmarkEnd w:id="8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1)"/>
      <w:numFmt w:val="decimal"/>
      <w:start w:val="1"/>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1)"/>
      <w:numFmt w:val="decimal"/>
      <w:start w:val="1"/>
    </w:lvl>
  </w:abstractNum>
  <w:abstractNum w:abstractNumId="7">
    <w:nsid w:val="189A769B"/>
    <w:multiLevelType w:val="hybridMultilevel"/>
    <w:lvl w:ilvl="0">
      <w:lvlJc w:val="left"/>
      <w:lvlText w:val="%1."/>
      <w:numFmt w:val="decimal"/>
      <w:start w:val="5"/>
    </w:lvl>
  </w:abstractNum>
  <w:abstractNum w:abstractNumId="8">
    <w:nsid w:val="54E49EB4"/>
    <w:multiLevelType w:val="hybridMultilevel"/>
    <w:lvl w:ilvl="0">
      <w:lvlJc w:val="left"/>
      <w:lvlText w:val="(%1)"/>
      <w:numFmt w:val="lowerRoman"/>
      <w:start w:val="1"/>
    </w:lvl>
  </w:abstractNum>
  <w:abstractNum w:abstractNumId="9">
    <w:nsid w:val="71F32454"/>
    <w:multiLevelType w:val="hybridMultilevel"/>
    <w:lvl w:ilvl="0">
      <w:lvlJc w:val="left"/>
      <w:lvlText w:val="%1."/>
      <w:numFmt w:val="decimal"/>
      <w:start w:val="7"/>
    </w:lvl>
  </w:abstractNum>
  <w:abstractNum w:abstractNumId="10">
    <w:nsid w:val="2CA88611"/>
    <w:multiLevelType w:val="hybridMultilevel"/>
    <w:lvl w:ilvl="0">
      <w:lvlJc w:val="left"/>
      <w:lvlText w:val="%1."/>
      <w:numFmt w:val="decimal"/>
      <w:start w:val="8"/>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1)"/>
      <w:numFmt w:val="lowerRoman"/>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301" Type="http://schemas.openxmlformats.org/officeDocument/2006/relationships/image" Target="media/image286.png"/><Relationship Id="rId302" Type="http://schemas.openxmlformats.org/officeDocument/2006/relationships/image" Target="media/image287.png"/><Relationship Id="rId303" Type="http://schemas.openxmlformats.org/officeDocument/2006/relationships/image" Target="media/image288.png"/><Relationship Id="rId304" Type="http://schemas.openxmlformats.org/officeDocument/2006/relationships/image" Target="media/image289.png"/><Relationship Id="rId305" Type="http://schemas.openxmlformats.org/officeDocument/2006/relationships/image" Target="media/image290.png"/><Relationship Id="rId306" Type="http://schemas.openxmlformats.org/officeDocument/2006/relationships/image" Target="media/image291.png"/><Relationship Id="rId307" Type="http://schemas.openxmlformats.org/officeDocument/2006/relationships/image" Target="media/image292.png"/><Relationship Id="rId308" Type="http://schemas.openxmlformats.org/officeDocument/2006/relationships/image" Target="media/image293.png"/><Relationship Id="rId309" Type="http://schemas.openxmlformats.org/officeDocument/2006/relationships/image" Target="media/image294.png"/><Relationship Id="rId293" Type="http://schemas.openxmlformats.org/officeDocument/2006/relationships/hyperlink" Target="https://www.sec.gov/Archives/edgar/data/1544227/000155837019005038/mlnd-20190331ex31b53fa83.htm" TargetMode="External"/><Relationship Id="rId294" Type="http://schemas.openxmlformats.org/officeDocument/2006/relationships/hyperlink" Target="https://www.sec.gov/Archives/edgar/data/1544227/000119312521201157/d196630dex31.htm" TargetMode="External"/><Relationship Id="rId295" Type="http://schemas.openxmlformats.org/officeDocument/2006/relationships/hyperlink" Target="https://www.sec.gov/Archives/edgar/data/1544227/000119312521201157/d196630dex32.htm" TargetMode="External"/><Relationship Id="rId296" Type="http://schemas.openxmlformats.org/officeDocument/2006/relationships/hyperlink" Target="https://www.sec.gov/Archives/edgar/data/1544227/000119312523253882/d547808dex31.htm" TargetMode="External"/><Relationship Id="rId297" Type="http://schemas.openxmlformats.org/officeDocument/2006/relationships/hyperlink" Target="https://www.sec.gov/Archives/edgar/data/1544227/000119312525073987/d905141dex31.htm" TargetMode="External"/><Relationship Id="rId298" Type="http://schemas.openxmlformats.org/officeDocument/2006/relationships/hyperlink" Target="https://www.sec.gov/Archives/edgar/data/1544227/000119312521281694/d222030dex31.htm" TargetMode="External"/><Relationship Id="rId299" Type="http://schemas.openxmlformats.org/officeDocument/2006/relationships/hyperlink" Target="https://www.sec.gov/Archives/edgar/data/1544227/000119312525139899/d908664dex101.htm" TargetMode="External"/><Relationship Id="rId300" Type="http://schemas.openxmlformats.org/officeDocument/2006/relationships/hyperlink" Target="https://www.sec.gov/Archives/edgar/data/1544227/000095017025106558/tpst-ex10_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2025-11-05T08:19:03Z</dcterms:created>
  <dcterms:modified xsi:type="dcterms:W3CDTF">2025-11-05T08:19:03Z</dcterms:modified>
</cp:coreProperties>
</file>