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Tempest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Max Eisenberg</w:t>
              <w:br/>
              <w:t>One Sansome Street, Suite 1650</w:t>
              <w:br/>
              <w:t>San Francisco, CA, 94104</w:t>
              <w:br/>
              <w:t>415-801-8100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Versant Venture Capital VI,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16,149.00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16,149.00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16,149.00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to Row 2: This Schedule 13D is filed by Versant Venture Capital IV, L.P. ("Versant IV"), Versant Side Fund IV, L.P. ("Side Fund IV"), Versant Ventures IV, LLC ("LLC IV"), Versant Venture Capital VI, L.P. ("Versant VI"), Versant Ventures VI GP, L.P. ("GP VI"), Versant Ventures VI GP-GP, LLC ("LLC VI"), Versant Vantage II, L.P. ("Vantage II LP"), Versant Vantage II GP, L.P. ("Vantage II GP"), Versant Vantage II GP-GP, LLC ("Vantage II LLC" and, with Versant IV, Side Fund IV, LLC IV, Versant VI, GP VI, LLC VI, Vantage II LP and Vantage II GP, collectively, the "Reporting Persons"). LLC IV is the general partner of Versant IV and Side Fund IV, and LLC IV has voting, investment and dispositive power over the shares held by each of Versant IV and Side Fund IV. LLC VI is the general partner of GP VI, which is the general partner of Versant VI. Each of LLC VI and GP VI share voting, investment and dispositive power over the shares held by Versant VI. Vantage II LLC is the general partner of Vantage II GP, which is the general partner of Vantage II LP. Each of Vantage II LLC and Vantage II GP share voting, investment and dispositive power over the shares held by Vantage II LP. The Reporting Persons expressly disclaim status as a "group" for purposes of this Schedule 13D. The shares reported on this cover page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 The percentage in Row 13 is based on 14,344,034 shares of Common Stock (as defined in Item 1 of the Original Schedule 13D (as defined in Item 1 below)) outstanding as of March 25, 2026, as set forth in the Issuer's yearly report on Form 10-K for the year ended December 31, 2025, filed with the United States Securities and Exchange Commission (the "Commission") on March 30, 2026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Versant Ventures VI GP,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16,149.00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16,149.00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16,149.00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to Row 2: This Schedule 13D is filed by the Reporting Persons. The Reporting Persons expressly disclaim status as a "group" for purposes of this Schedule 13D. The shares reported on this cover page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 The percentage in Row 13 is based on 14,344,034 shares of Common Stock outstanding as of March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Versant Ventures VI GP-GP,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16,149.00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16,149.00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16,149.00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to Row 2: This Schedule 13D is filed by the Reporting Persons. The Reporting Persons expressly disclaim status as a "group" for purposes of this Schedule 13D. The shares reported on this cover page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 The percentage in Row 13 is based on 14,344,034 shares of Common Stock outstanding as of March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Versant Vantage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162,972.00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162,972.00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162,972.00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to Row 2: This Schedule 13D is filed by the Reporting Persons. The Reporting Persons expressly disclaim status as a "group" for purposes of this Schedule 13D. The shares reported on this cover page are held by Vantage II LP. Vantage II LLC is the general partner of Vantage II GP, which is the general partner of Vantage II LP. Each of Vantage II LLC and Vantage II GP share voting, investment and dispositive power over the shares held by Vantage II LP and as a result may be deemed to have beneficial ownership over such securities. The percentage in Row 13 is based on 14,344,034 shares of Common Stock outstanding as of March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Versant Vantage II GP,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162,972.00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162,972.00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162,972.00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to Row 2: This Schedule 13D is filed by the Reporting Persons. The Reporting Persons expressly disclaim status as a "group" for purposes of this Schedule 13D. The shares reported on this cover page are held by Vantage II LP. Vantage II LLC is the general partner of Vantage II GP, which is the general partner of Vantage II LP. Each of Vantage II LLC and Vantage II GP share voting, investment and dispositive power over the shares held by Vantage II LP and as a result may be deemed to have beneficial ownership over such securities. The percentage in Row 13 is based on 14,344,034 shares of Common Stock outstanding as of March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Versant Vantage II GP-GP,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162,972.00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162,972.00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162,972.00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to Row 2: This Schedule 13D is filed by the Reporting Persons. The Reporting Persons expressly disclaim status as a "group" for purposes of this Schedule 13D. The shares reported on this cover page are held by Vantage II LP. Vantage II LLC is the general partner of Vantage II GP, which is the general partner of Vantage II LP. Each of Vantage II LLC and Vantage II GP share voting, investment and dispositive power over the shares held by Vantage II LP and as a result may be deemed to have beneficial ownership over such securities. The percentage in Row 13 is based on 14,344,034 shares of Common Stock outstanding as of March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Versant Venture Capital IV,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90,084.00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90,084.00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90,084.00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to Row 2: This Schedule 13D is filed by the Reporting Persons. The Reporting Persons expressly disclaim status as a "group" for purposes of this Schedule 13D. The shares reported on this cover page are held by Versant IV. LLC IV is the general partner of Versant IV and has voting, investment and dispositive power over the shares held by Versant IV and as a result may be deemed to have beneficial ownership over such securities. The percentage in Row 13 is based on 14,344,034 shares of Common Stock outstanding as of March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Versant Side Fund IV,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567.00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to Row 2: This Schedule 13D is filed by the Reporting Persons. The Reporting Persons expressly disclaim status as a "group" for purposes of this Schedule 13D. The shares reported on this cover page are held by Side Fund IV. LLC IV is the general partner of Side Fund IV and has voting, investment and dispositive power over the shares held by Side Fund IV and as a result may be deemed to have beneficial ownership over such securities. The percentage in Row 13 is based on 14,344,034 shares of Common Stock outstanding as of March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Versant Ventures IV,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90,651.00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90,651.00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90,651.00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to Row 2: This Schedule 13D is filed by the Reporting Persons. The Reporting Persons expressly disclaim status as a "group" for purposes of this Schedule 13D. The shares reported on this cover page includes (i) 90,084 shares held by Versant IV; and (ii) 567 shares held by Side Fund IV. LLC IV is the general partner of Versant IV and Side Fund IV, and LLC IV has voting, investment and dispositive power over the shares held by each of Versant IV and Side Fund IV and as a result may be deemed to have beneficial ownership over such securities. The percentage in Row 13 is based on 14,344,034 shares of Common Stock outstanding as of March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item1to7"/>
      <w:bookmarkStart w:id="43" w:name="item1to7"/>
      <w:bookmarkEnd w:id="43"/>
    </w:p>
    <w:tbl>
      <w:tblPr>
        <w:tblW w:w="10205" w:type="dxa"/>
        <w:jc w:val="left"/>
        <w:tblInd w:w="0" w:type="dxa"/>
        <w:tblLayout w:type="fixed"/>
        <w:tblCellMar>
          <w:top w:w="28" w:type="dxa"/>
          <w:left w:w="28" w:type="dxa"/>
          <w:bottom w:w="28" w:type="dxa"/>
          <w:right w:w="28" w:type="dxa"/>
        </w:tblCellMar>
      </w:tblPr>
      <w:tblGrid>
        <w:gridCol w:w="1156"/>
        <w:gridCol w:w="8806"/>
        <w:gridCol w:w="243"/>
      </w:tblGrid>
      <w:tr>
        <w:trPr/>
        <w:tc>
          <w:tcPr>
            <w:tcW w:w="1156" w:type="dxa"/>
            <w:tcBorders/>
            <w:vAlign w:val="center"/>
          </w:tcPr>
          <w:p>
            <w:pPr>
              <w:pStyle w:val="TableContents"/>
              <w:bidi w:val="0"/>
              <w:spacing w:before="0" w:after="283"/>
              <w:jc w:val="left"/>
              <w:rPr/>
            </w:pPr>
            <w:r>
              <w:rPr/>
              <w:t>Item 1.</w:t>
            </w:r>
          </w:p>
        </w:tc>
        <w:tc>
          <w:tcPr>
            <w:tcW w:w="8806" w:type="dxa"/>
            <w:tcBorders/>
            <w:vAlign w:val="center"/>
          </w:tcPr>
          <w:p>
            <w:pPr>
              <w:pStyle w:val="TableContents"/>
              <w:bidi w:val="0"/>
              <w:spacing w:before="0" w:after="283"/>
              <w:jc w:val="left"/>
              <w:rPr/>
            </w:pPr>
            <w:r>
              <w:rPr/>
              <w:t>Security and Issuer</w:t>
            </w:r>
          </w:p>
        </w:tc>
        <w:tc>
          <w:tcPr>
            <w:tcW w:w="243"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243"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06" w:type="dxa"/>
            <w:tcBorders/>
            <w:vAlign w:val="center"/>
          </w:tcPr>
          <w:p>
            <w:pPr>
              <w:pStyle w:val="TableContents"/>
              <w:bidi w:val="0"/>
              <w:jc w:val="left"/>
              <w:rPr/>
            </w:pPr>
            <w:r>
              <w:rPr/>
              <w:t xml:space="preserve">Name of Issuer: </w:t>
            </w:r>
          </w:p>
          <w:p>
            <w:pPr>
              <w:pStyle w:val="TableContents"/>
              <w:bidi w:val="0"/>
              <w:spacing w:before="0" w:after="0"/>
              <w:jc w:val="left"/>
              <w:rPr/>
            </w:pPr>
            <w:r>
              <w:rPr/>
              <w:t>Tempest Therapeutics, Inc.</w:t>
            </w:r>
          </w:p>
        </w:tc>
        <w:tc>
          <w:tcPr>
            <w:tcW w:w="243"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2000 Sierra Point Parkway, Suite 400, Brisbane, CALIFORNIA , 94005.</w:t>
            </w:r>
          </w:p>
        </w:tc>
        <w:tc>
          <w:tcPr>
            <w:tcW w:w="243"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7 (this "Amendment") amends and supplements the Schedule 13D originally filed by the Reporting Persons with the Commission on May 9, 2022, as amended by Amendment No. 1 filed with the Commission on November 9, 2023, Amendment No. 2 filed with the Commission on February 8, 2024, Amendment No. 3 filed with the Commission on May 13, 2024, Amendment No. 4 filed with the Commission on August 12, 2024, Amendment No. 5 filed with the Commission on February 11, 2025, and Amendment No. 6 filed with the Commission on August 13, 2025 ("Amendment No. 6") (collectively,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 This Amendment is being filed to update the aggregate percentage of Common Stock owned by the Reporting Persons due to dilution caused by the Issuer's sales of additional shares of its Common Stock from time to time since the date of the filing of Amendment No. 6. Such transactions resulted in a decrease of over one percent (1%) in the aggregate percentage ownership reported by the Reporting Persons in Amendment No. 6.</w:t>
            </w:r>
          </w:p>
        </w:tc>
      </w:tr>
      <w:tr>
        <w:trPr/>
        <w:tc>
          <w:tcPr>
            <w:tcW w:w="1156" w:type="dxa"/>
            <w:tcBorders/>
            <w:vAlign w:val="center"/>
          </w:tcPr>
          <w:p>
            <w:pPr>
              <w:pStyle w:val="TableContents"/>
              <w:bidi w:val="0"/>
              <w:spacing w:before="0" w:after="283"/>
              <w:jc w:val="left"/>
              <w:rPr/>
            </w:pPr>
            <w:r>
              <w:rPr/>
              <w:t>Item 5.</w:t>
            </w:r>
          </w:p>
        </w:tc>
        <w:tc>
          <w:tcPr>
            <w:tcW w:w="8806" w:type="dxa"/>
            <w:tcBorders/>
            <w:vAlign w:val="center"/>
          </w:tcPr>
          <w:p>
            <w:pPr>
              <w:pStyle w:val="TableContents"/>
              <w:bidi w:val="0"/>
              <w:spacing w:before="0" w:after="283"/>
              <w:jc w:val="left"/>
              <w:rPr/>
            </w:pPr>
            <w:r>
              <w:rPr/>
              <w:t>Interest in Securities of the Issuer</w:t>
            </w:r>
          </w:p>
        </w:tc>
        <w:tc>
          <w:tcPr>
            <w:tcW w:w="243"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06" w:type="dxa"/>
            <w:tcBorders/>
            <w:vAlign w:val="center"/>
          </w:tcPr>
          <w:p>
            <w:pPr>
              <w:pStyle w:val="TableContents"/>
              <w:bidi w:val="0"/>
              <w:spacing w:before="0" w:after="0"/>
              <w:jc w:val="left"/>
              <w:rPr/>
            </w:pPr>
            <w:r>
              <w:rPr/>
              <w:t>See Items 7-11 and 13 of the cover pages of this Amendment for each Reporting Person and the corresponding comments.</w:t>
            </w:r>
          </w:p>
        </w:tc>
        <w:tc>
          <w:tcPr>
            <w:tcW w:w="243"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06" w:type="dxa"/>
            <w:tcBorders/>
            <w:vAlign w:val="center"/>
          </w:tcPr>
          <w:p>
            <w:pPr>
              <w:pStyle w:val="TableContents"/>
              <w:bidi w:val="0"/>
              <w:spacing w:before="0" w:after="0"/>
              <w:jc w:val="left"/>
              <w:rPr/>
            </w:pPr>
            <w:r>
              <w:rPr/>
              <w:t>See Items 7-11 and 13 of the cover pages of this Amendment for each Reporting Person and the corresponding comments.</w:t>
            </w:r>
          </w:p>
        </w:tc>
        <w:tc>
          <w:tcPr>
            <w:tcW w:w="243"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06" w:type="dxa"/>
            <w:tcBorders/>
            <w:vAlign w:val="center"/>
          </w:tcPr>
          <w:p>
            <w:pPr>
              <w:pStyle w:val="TableContents"/>
              <w:bidi w:val="0"/>
              <w:spacing w:before="0" w:after="0"/>
              <w:jc w:val="left"/>
              <w:rPr/>
            </w:pPr>
            <w:r>
              <w:rPr/>
              <w:t>March 30, 2026.</w:t>
            </w:r>
          </w:p>
        </w:tc>
        <w:tc>
          <w:tcPr>
            <w:tcW w:w="24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signatureInfo"/>
      <w:bookmarkStart w:id="45" w:name="signatureInfo"/>
      <w:bookmarkEnd w:id="4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Versant Venture Capital VI,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8"/>
              <w:gridCol w:w="9017"/>
            </w:tblGrid>
            <w:tr>
              <w:trPr/>
              <w:tc>
                <w:tcPr>
                  <w:tcW w:w="1188" w:type="dxa"/>
                  <w:tcBorders/>
                  <w:vAlign w:val="center"/>
                </w:tcPr>
                <w:p>
                  <w:pPr>
                    <w:pStyle w:val="TableContents"/>
                    <w:bidi w:val="0"/>
                    <w:spacing w:before="0" w:after="283"/>
                    <w:jc w:val="left"/>
                    <w:rPr/>
                  </w:pPr>
                  <w:r>
                    <w:rPr/>
                    <w:t>Signature:</w:t>
                  </w:r>
                </w:p>
              </w:tc>
              <w:tc>
                <w:tcPr>
                  <w:tcW w:w="9017" w:type="dxa"/>
                  <w:tcBorders/>
                  <w:vAlign w:val="center"/>
                </w:tcPr>
                <w:p>
                  <w:pPr>
                    <w:pStyle w:val="TableContents"/>
                    <w:bidi w:val="0"/>
                    <w:spacing w:before="0" w:after="283"/>
                    <w:jc w:val="left"/>
                    <w:rPr/>
                  </w:pPr>
                  <w:r>
                    <w:rPr/>
                    <w:t>/s/Max Eisenberg</w:t>
                  </w:r>
                </w:p>
              </w:tc>
            </w:tr>
            <w:tr>
              <w:trPr/>
              <w:tc>
                <w:tcPr>
                  <w:tcW w:w="1188" w:type="dxa"/>
                  <w:tcBorders/>
                  <w:vAlign w:val="center"/>
                </w:tcPr>
                <w:p>
                  <w:pPr>
                    <w:pStyle w:val="TableContents"/>
                    <w:bidi w:val="0"/>
                    <w:spacing w:before="0" w:after="283"/>
                    <w:jc w:val="left"/>
                    <w:rPr/>
                  </w:pPr>
                  <w:r>
                    <w:rPr/>
                    <w:t>Name/Title:</w:t>
                  </w:r>
                </w:p>
              </w:tc>
              <w:tc>
                <w:tcPr>
                  <w:tcW w:w="9017" w:type="dxa"/>
                  <w:tcBorders/>
                  <w:vAlign w:val="center"/>
                </w:tcPr>
                <w:p>
                  <w:pPr>
                    <w:pStyle w:val="TableContents"/>
                    <w:bidi w:val="0"/>
                    <w:spacing w:before="0" w:after="283"/>
                    <w:jc w:val="left"/>
                    <w:rPr/>
                  </w:pPr>
                  <w:r>
                    <w:rPr/>
                    <w:t>Max Eisenberg/COO of Versant Ventures VI GP-GP, LLC, the general partner of Versant Ventures VI GP, L.P., the GP of Versant Venture Capital VI, L.P.</w:t>
                  </w:r>
                </w:p>
              </w:tc>
            </w:tr>
            <w:tr>
              <w:trPr/>
              <w:tc>
                <w:tcPr>
                  <w:tcW w:w="1188" w:type="dxa"/>
                  <w:tcBorders/>
                  <w:vAlign w:val="center"/>
                </w:tcPr>
                <w:p>
                  <w:pPr>
                    <w:pStyle w:val="TableContents"/>
                    <w:bidi w:val="0"/>
                    <w:spacing w:before="0" w:after="283"/>
                    <w:jc w:val="left"/>
                    <w:rPr/>
                  </w:pPr>
                  <w:r>
                    <w:rPr/>
                    <w:t>Date:</w:t>
                  </w:r>
                </w:p>
              </w:tc>
              <w:tc>
                <w:tcPr>
                  <w:tcW w:w="9017"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Versant Ventures VI GP,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/s/Max Eisenberg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Max Eisenberg/Chief Operating Officer of Versant Ventures VI GP-GP, LLC, the general partner of Versant Ventures VI GP,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Versant Ventures VI GP-GP,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/s/Max Eisenberg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Max Eisenberg/Chief Operating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Versant Vantage II, L.P.</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/s/Max Eisenberg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Max Eisenberg/COO of Versant Vantage II GP-GP, LLC, the general partner of Versant Vantage II GP, L.P., the GP of Versant Vantage II, L.P.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Versant Vantage II GP, L.P.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/s/Max Eisenberg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Max Eisenberg/Chief Operating Officer of Versant Vantage II GP-GP, LLC, the general partner of Versant Vantage II GP, L.P.</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Versant Vantage II GP-GP, LLC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/s/Max Eisenberg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Max Eisenberg/Chief Operating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Versant Venture Capital IV,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/s/Max Eisenberg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Max Eisenberg/Chief Operating Officer of Versant Ventures IV, LLC, the general partner of Versant Venture Capital IV, L.P.</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Versant Side Fund IV, L.P.</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/s/Max Eisenberg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Max Eisenberg/Chief Operating Officer of Versant Ventures IV, LLC, the general partner of Versant Side Fund IV,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Versant Ventures IV,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/s/Max Eisenberg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Max Eisenberg/Chief Operating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3349</Words>
  <Characters>16398</Characters>
  <CharactersWithSpaces>19529</CharactersWithSpaces>
  <Paragraphs>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