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4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7"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4"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Tempest Therapeutics, Inc.</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0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1"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214630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208280</wp:posOffset>
            </wp:positionV>
            <wp:extent cx="1448435" cy="127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843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7000 Shoreline Court, Suite 275</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June 17, 2022</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Dear Stockholder:</w:t>
      </w:r>
    </w:p>
    <w:p>
      <w:pPr>
        <w:spacing w:after="0" w:line="231"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6"/>
          <w:szCs w:val="16"/>
          <w:color w:val="auto"/>
        </w:rPr>
        <w:t>You are cordially invited to attend the Annual Meeting of Stockholders of Tempest Therapeutics,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xml:space="preserve">”). The meeting will be held on Friday, June 17, 2022 at 1:00 P.M. Pacific time. To protect the health and safety of our stockholders and employees and facilitate stockholder participation in the Annual Meeting, this year, the Annual Meeting will be held through a live webcast at </w:t>
      </w:r>
      <w:r>
        <w:rPr>
          <w:rFonts w:ascii="Times New Roman" w:cs="Times New Roman" w:eastAsia="Times New Roman" w:hAnsi="Times New Roman"/>
          <w:sz w:val="16"/>
          <w:szCs w:val="16"/>
          <w:i w:val="1"/>
          <w:iCs w:val="1"/>
          <w:color w:val="auto"/>
        </w:rPr>
        <w:t>www.virtualshareholdermeeting.com/TPST2022</w:t>
      </w:r>
      <w:r>
        <w:rPr>
          <w:rFonts w:ascii="Times New Roman" w:cs="Times New Roman" w:eastAsia="Times New Roman" w:hAnsi="Times New Roman"/>
          <w:sz w:val="16"/>
          <w:szCs w:val="16"/>
          <w:color w:val="auto"/>
        </w:rPr>
        <w:t>. You will not be able to attend the meeting in person. The meeting will be held for the following purposes:</w:t>
      </w:r>
    </w:p>
    <w:p>
      <w:pPr>
        <w:spacing w:after="0" w:line="86" w:lineRule="exact"/>
        <w:rPr>
          <w:sz w:val="20"/>
          <w:szCs w:val="20"/>
          <w:color w:val="auto"/>
        </w:rPr>
      </w:pPr>
    </w:p>
    <w:p>
      <w:pPr>
        <w:ind w:left="980" w:hanging="432"/>
        <w:spacing w:after="0"/>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the Board’s nominee, Geoff Nichol, to the Board of Directors to hold office until the 2025 Annual Meeting of Stockholders.</w:t>
      </w:r>
    </w:p>
    <w:p>
      <w:pPr>
        <w:spacing w:after="0" w:line="140" w:lineRule="exact"/>
        <w:rPr>
          <w:rFonts w:ascii="Times New Roman" w:cs="Times New Roman" w:eastAsia="Times New Roman" w:hAnsi="Times New Roman"/>
          <w:sz w:val="16"/>
          <w:szCs w:val="16"/>
          <w:color w:val="auto"/>
        </w:rPr>
      </w:pPr>
    </w:p>
    <w:p>
      <w:pPr>
        <w:ind w:left="980" w:hanging="432"/>
        <w:spacing w:after="0"/>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the Amended and Restated 2019 Equity Incentive Plan.</w:t>
      </w:r>
    </w:p>
    <w:p>
      <w:pPr>
        <w:spacing w:after="0" w:line="140" w:lineRule="exact"/>
        <w:rPr>
          <w:rFonts w:ascii="Times New Roman" w:cs="Times New Roman" w:eastAsia="Times New Roman" w:hAnsi="Times New Roman"/>
          <w:sz w:val="16"/>
          <w:szCs w:val="16"/>
          <w:color w:val="auto"/>
        </w:rPr>
      </w:pPr>
    </w:p>
    <w:p>
      <w:pPr>
        <w:ind w:left="980" w:hanging="432"/>
        <w:spacing w:after="0"/>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the Amended and Restated 2019 Employee Stock Purchase Plan.</w:t>
      </w:r>
    </w:p>
    <w:p>
      <w:pPr>
        <w:spacing w:after="0" w:line="140" w:lineRule="exact"/>
        <w:rPr>
          <w:rFonts w:ascii="Times New Roman" w:cs="Times New Roman" w:eastAsia="Times New Roman" w:hAnsi="Times New Roman"/>
          <w:sz w:val="16"/>
          <w:szCs w:val="16"/>
          <w:color w:val="auto"/>
        </w:rPr>
      </w:pPr>
    </w:p>
    <w:p>
      <w:pPr>
        <w:ind w:left="980" w:right="100" w:hanging="432"/>
        <w:spacing w:after="0" w:line="298"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selection of Ernst &amp; Young LLP as the independent registered public accounting firm of the Company for its fiscal year ending December 31, 2022.</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These items of business are more fully described in the Proxy Statement accompanying this Notice.</w:t>
      </w:r>
    </w:p>
    <w:p>
      <w:pPr>
        <w:spacing w:after="0" w:line="235" w:lineRule="exact"/>
        <w:rPr>
          <w:sz w:val="20"/>
          <w:szCs w:val="20"/>
          <w:color w:val="auto"/>
        </w:rPr>
      </w:pPr>
    </w:p>
    <w:p>
      <w:pPr>
        <w:ind w:left="120"/>
        <w:spacing w:after="0" w:line="275" w:lineRule="auto"/>
        <w:rPr>
          <w:sz w:val="20"/>
          <w:szCs w:val="20"/>
          <w:color w:val="auto"/>
        </w:rPr>
      </w:pPr>
      <w:r>
        <w:rPr>
          <w:rFonts w:ascii="Times New Roman" w:cs="Times New Roman" w:eastAsia="Times New Roman" w:hAnsi="Times New Roman"/>
          <w:sz w:val="16"/>
          <w:szCs w:val="16"/>
          <w:color w:val="auto"/>
        </w:rPr>
        <w:t>This year’s Annual Meeting will be held virtually through a live webcast. You will be able to attend the Annual Meeting, submit questions and vote during the live webcast by visiting www.virtualshareholdermeeting.com/</w:t>
      </w:r>
      <w:r>
        <w:rPr>
          <w:rFonts w:ascii="Times New Roman" w:cs="Times New Roman" w:eastAsia="Times New Roman" w:hAnsi="Times New Roman"/>
          <w:sz w:val="16"/>
          <w:szCs w:val="16"/>
          <w:i w:val="1"/>
          <w:iCs w:val="1"/>
          <w:color w:val="auto"/>
        </w:rPr>
        <w:t>TPST2022</w:t>
      </w:r>
      <w:r>
        <w:rPr>
          <w:rFonts w:ascii="Times New Roman" w:cs="Times New Roman" w:eastAsia="Times New Roman" w:hAnsi="Times New Roman"/>
          <w:sz w:val="16"/>
          <w:szCs w:val="16"/>
          <w:color w:val="auto"/>
        </w:rPr>
        <w:t xml:space="preserve"> and entering the 16-digit Control Number included in your proxy card, or in the instructions that you received via email. Please refer to the additional logistical details and recommendations in the accompanying proxy statement. You may log in beginning at 12:45 P.M. Pacific time on Friday, June 17, 2022.</w:t>
      </w:r>
    </w:p>
    <w:p>
      <w:pPr>
        <w:spacing w:after="0" w:line="183" w:lineRule="exact"/>
        <w:rPr>
          <w:sz w:val="20"/>
          <w:szCs w:val="20"/>
          <w:color w:val="auto"/>
        </w:rPr>
      </w:pPr>
    </w:p>
    <w:p>
      <w:pPr>
        <w:ind w:left="120" w:right="140"/>
        <w:spacing w:after="0" w:line="298" w:lineRule="auto"/>
        <w:rPr>
          <w:sz w:val="20"/>
          <w:szCs w:val="20"/>
          <w:color w:val="auto"/>
        </w:rPr>
      </w:pPr>
      <w:r>
        <w:rPr>
          <w:rFonts w:ascii="Times New Roman" w:cs="Times New Roman" w:eastAsia="Times New Roman" w:hAnsi="Times New Roman"/>
          <w:sz w:val="16"/>
          <w:szCs w:val="16"/>
          <w:color w:val="auto"/>
        </w:rPr>
        <w:t>The record date for the Annual Meeting is April 20, 2022. Only stockholders of record at the close of business on that date may vote at the meeting or any adjournment thereof.</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Thomas Dubensky</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Secretary</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South San Francisco, California</w:t>
      </w:r>
    </w:p>
    <w:p>
      <w:pPr>
        <w:spacing w:after="0" w:line="26" w:lineRule="exact"/>
        <w:rPr>
          <w:sz w:val="20"/>
          <w:szCs w:val="20"/>
          <w:color w:val="auto"/>
        </w:rPr>
      </w:pPr>
    </w:p>
    <w:p>
      <w:pPr>
        <w:ind w:left="660" w:hanging="544"/>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167640</wp:posOffset>
            </wp:positionV>
            <wp:extent cx="6998970" cy="595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95630"/>
                    </a:xfrm>
                    <a:prstGeom prst="rect">
                      <a:avLst/>
                    </a:prstGeom>
                    <a:noFill/>
                  </pic:spPr>
                </pic:pic>
              </a:graphicData>
            </a:graphic>
          </wp:anchor>
        </w:drawing>
      </w:r>
    </w:p>
    <w:p>
      <w:pPr>
        <w:spacing w:after="0" w:line="286" w:lineRule="exact"/>
        <w:rPr>
          <w:sz w:val="20"/>
          <w:szCs w:val="20"/>
          <w:color w:val="auto"/>
        </w:rPr>
      </w:pPr>
    </w:p>
    <w:p>
      <w:pPr>
        <w:ind w:left="240" w:right="40"/>
        <w:spacing w:after="0" w:line="276" w:lineRule="auto"/>
        <w:rPr>
          <w:sz w:val="20"/>
          <w:szCs w:val="20"/>
          <w:color w:val="auto"/>
        </w:rPr>
      </w:pPr>
      <w:r>
        <w:rPr>
          <w:rFonts w:ascii="Times New Roman" w:cs="Times New Roman" w:eastAsia="Times New Roman" w:hAnsi="Times New Roman"/>
          <w:sz w:val="16"/>
          <w:szCs w:val="16"/>
          <w:b w:val="1"/>
          <w:bCs w:val="1"/>
          <w:color w:val="auto"/>
        </w:rPr>
        <w:t>You are cordially invited to attend the meeting online. Whether or not you expect to attend the meeting, please complete, date, sign and return the proxy mailed to you, or vote over the telephone or the internet as instructed in these materials, as promptly as possible in order to ensure your representation at the meeting. Even if you have voted by proxy, you may still vote online if you attend the meeting. Please note, however, that if your shares are held of record by a broker, bank or other nominee and you wish to vote at the meeting, you must obtain a proxy issued in your name from that record holder.</w:t>
      </w:r>
    </w:p>
    <w:p>
      <w:pPr>
        <w:sectPr>
          <w:pgSz w:w="11900" w:h="16838" w:orient="portrait"/>
          <w:cols w:equalWidth="0" w:num="1">
            <w:col w:w="11100"/>
          </w:cols>
          <w:pgMar w:left="320" w:top="455"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6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4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40" w:type="dxa"/>
            <w:vAlign w:val="bottom"/>
            <w:gridSpan w:val="10"/>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3180" w:type="dxa"/>
            <w:vAlign w:val="bottom"/>
            <w:tcBorders>
              <w:top w:val="single" w:sz="8" w:color="0000EE"/>
            </w:tcBorders>
            <w:gridSpan w:val="4"/>
          </w:tcPr>
          <w:p>
            <w:pPr>
              <w:spacing w:after="0"/>
              <w:rPr>
                <w:sz w:val="17"/>
                <w:szCs w:val="17"/>
                <w:color w:val="auto"/>
              </w:rPr>
            </w:pPr>
          </w:p>
        </w:tc>
        <w:tc>
          <w:tcPr>
            <w:tcW w:w="3080" w:type="dxa"/>
            <w:vAlign w:val="bottom"/>
            <w:gridSpan w:val="8"/>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INFORMATION REGARDING DIRECTOR NOMINEES AND CONTINUING DIRECTORS</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INFORMATION REGARDING THE BOARD OF DIRECTORS AND CORPORATE GOVERNANCE</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PROPOSAL 2 APPROVAL OF THE AMENDED AND RESTATED 2019 EQUITY INCENTIVE PLAN</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PROPOSAL 3 APPROVAL OF THE AMENDED AND RESTATED 2019 EMPLOYEE STOCK PURCHASE PLAN</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1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7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4 RATIFICATION OF SELECTION OF INDEPENDENT REGISTERED PUBLIC ACCOUNTING FIRM</w:t>
            </w:r>
          </w:p>
        </w:tc>
        <w:tc>
          <w:tcPr>
            <w:tcW w:w="82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20" w:type="dxa"/>
            <w:vAlign w:val="bottom"/>
          </w:tcPr>
          <w:p>
            <w:pPr>
              <w:spacing w:after="0"/>
              <w:rPr>
                <w:sz w:val="17"/>
                <w:szCs w:val="17"/>
                <w:color w:val="auto"/>
              </w:rPr>
            </w:pP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w:t>
            </w:r>
          </w:p>
        </w:tc>
        <w:tc>
          <w:tcPr>
            <w:tcW w:w="4820" w:type="dxa"/>
            <w:vAlign w:val="bottom"/>
            <w:tcBorders>
              <w:top w:val="single" w:sz="8" w:color="0000EE"/>
            </w:tcBorders>
            <w:gridSpan w:val="6"/>
          </w:tcPr>
          <w:p>
            <w:pPr>
              <w:spacing w:after="0"/>
              <w:rPr>
                <w:sz w:val="17"/>
                <w:szCs w:val="17"/>
                <w:color w:val="auto"/>
              </w:rPr>
            </w:pPr>
          </w:p>
        </w:tc>
        <w:tc>
          <w:tcPr>
            <w:tcW w:w="2840" w:type="dxa"/>
            <w:vAlign w:val="bottom"/>
            <w:gridSpan w:val="7"/>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20" w:type="dxa"/>
            <w:vAlign w:val="bottom"/>
          </w:tcPr>
          <w:p>
            <w:pPr>
              <w:spacing w:after="0"/>
              <w:rPr>
                <w:sz w:val="17"/>
                <w:szCs w:val="17"/>
                <w:color w:val="auto"/>
              </w:rPr>
            </w:pPr>
          </w:p>
        </w:tc>
        <w:tc>
          <w:tcPr>
            <w:tcW w:w="38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AND DIRECTOR COMPENSATION</w:t>
            </w:r>
          </w:p>
        </w:tc>
        <w:tc>
          <w:tcPr>
            <w:tcW w:w="5740" w:type="dxa"/>
            <w:vAlign w:val="bottom"/>
            <w:gridSpan w:val="10"/>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20" w:type="dxa"/>
            <w:vAlign w:val="bottom"/>
          </w:tcPr>
          <w:p>
            <w:pPr>
              <w:spacing w:after="0"/>
              <w:rPr>
                <w:sz w:val="17"/>
                <w:szCs w:val="17"/>
                <w:color w:val="auto"/>
              </w:rPr>
            </w:pPr>
          </w:p>
        </w:tc>
        <w:tc>
          <w:tcPr>
            <w:tcW w:w="56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TRANSACTIONS WITH RELATED PERSONS AND INDEMNIFICATION</w:t>
            </w:r>
          </w:p>
        </w:tc>
        <w:tc>
          <w:tcPr>
            <w:tcW w:w="3920" w:type="dxa"/>
            <w:vAlign w:val="bottom"/>
            <w:gridSpan w:val="9"/>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20" w:type="dxa"/>
            <w:vAlign w:val="bottom"/>
          </w:tcPr>
          <w:p>
            <w:pPr>
              <w:spacing w:after="0"/>
              <w:rPr>
                <w:sz w:val="17"/>
                <w:szCs w:val="17"/>
                <w:color w:val="auto"/>
              </w:rPr>
            </w:pPr>
          </w:p>
        </w:tc>
        <w:tc>
          <w:tcPr>
            <w:tcW w:w="34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6160" w:type="dxa"/>
            <w:vAlign w:val="bottom"/>
            <w:gridSpan w:val="11"/>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20" w:type="dxa"/>
            <w:vAlign w:val="bottom"/>
          </w:tcPr>
          <w:p>
            <w:pPr>
              <w:spacing w:after="0"/>
              <w:rPr>
                <w:sz w:val="17"/>
                <w:szCs w:val="17"/>
                <w:color w:val="auto"/>
              </w:rPr>
            </w:pP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1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220" w:type="dxa"/>
            <w:vAlign w:val="bottom"/>
            <w:gridSpan w:val="1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APPENDIX A TEMPEST THERAPEUTICS, INC. AMENDED AND RESTATED 2019 EQUITY INCENTIVE PLAN</w:t>
            </w:r>
          </w:p>
        </w:tc>
        <w:tc>
          <w:tcPr>
            <w:tcW w:w="880" w:type="dxa"/>
            <w:vAlign w:val="bottom"/>
            <w:gridSpan w:val="2"/>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196"/>
        </w:trPr>
        <w:tc>
          <w:tcPr>
            <w:tcW w:w="120" w:type="dxa"/>
            <w:vAlign w:val="bottom"/>
          </w:tcPr>
          <w:p>
            <w:pPr>
              <w:spacing w:after="0"/>
              <w:rPr>
                <w:sz w:val="17"/>
                <w:szCs w:val="17"/>
                <w:color w:val="auto"/>
              </w:rPr>
            </w:pPr>
          </w:p>
        </w:tc>
        <w:tc>
          <w:tcPr>
            <w:tcW w:w="95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APPENDIX B TEMPEST THERAPEUTICS, INC. AMENDED AND RESTATED 2019 EMPLOYEE STOCK PURCHASE PLAN</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Website References</w:t>
      </w:r>
    </w:p>
    <w:p>
      <w:pPr>
        <w:spacing w:after="0" w:line="119" w:lineRule="exact"/>
        <w:rPr>
          <w:sz w:val="20"/>
          <w:szCs w:val="20"/>
          <w:color w:val="auto"/>
        </w:rPr>
      </w:pPr>
    </w:p>
    <w:p>
      <w:pPr>
        <w:ind w:left="120" w:right="200"/>
        <w:spacing w:after="0" w:line="315" w:lineRule="auto"/>
        <w:rPr>
          <w:sz w:val="20"/>
          <w:szCs w:val="20"/>
          <w:color w:val="auto"/>
        </w:rPr>
      </w:pPr>
      <w:r>
        <w:rPr>
          <w:rFonts w:ascii="Times New Roman" w:cs="Times New Roman" w:eastAsia="Times New Roman" w:hAnsi="Times New Roman"/>
          <w:sz w:val="17"/>
          <w:szCs w:val="17"/>
          <w:color w:val="auto"/>
        </w:rPr>
        <w:t xml:space="preserve">You may also access additional information about Tempest Therapeutics, Inc. at </w:t>
      </w:r>
      <w:r>
        <w:rPr>
          <w:rFonts w:ascii="Times New Roman" w:cs="Times New Roman" w:eastAsia="Times New Roman" w:hAnsi="Times New Roman"/>
          <w:sz w:val="17"/>
          <w:szCs w:val="17"/>
          <w:i w:val="1"/>
          <w:iCs w:val="1"/>
          <w:color w:val="auto"/>
        </w:rPr>
        <w:t>www.tempesttx.com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ir.tempesttx.com</w:t>
      </w:r>
      <w:r>
        <w:rPr>
          <w:rFonts w:ascii="Times New Roman" w:cs="Times New Roman" w:eastAsia="Times New Roman" w:hAnsi="Times New Roman"/>
          <w:sz w:val="17"/>
          <w:szCs w:val="17"/>
          <w:color w:val="auto"/>
        </w:rPr>
        <w:t>. References to our websites throughout this proxy statement are provided for convenience only and the content on our website does not constitute a part of this proxy statement.</w:t>
      </w:r>
    </w:p>
    <w:p>
      <w:pPr>
        <w:sectPr>
          <w:pgSz w:w="11900" w:h="16838" w:orient="portrait"/>
          <w:cols w:equalWidth="0" w:num="1">
            <w:col w:w="11080"/>
          </w:cols>
          <w:pgMar w:left="320" w:top="446"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JUNE 17, 2022</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Tempest Therapeutics, Inc.?</w:t>
      </w:r>
    </w:p>
    <w:p>
      <w:pPr>
        <w:spacing w:after="0" w:line="11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On June 25, 2021, TempestTx, Inc., formerly Tempest Therapeutics, Inc. (“</w:t>
      </w:r>
      <w:r>
        <w:rPr>
          <w:rFonts w:ascii="Times New Roman" w:cs="Times New Roman" w:eastAsia="Times New Roman" w:hAnsi="Times New Roman"/>
          <w:sz w:val="18"/>
          <w:szCs w:val="18"/>
          <w:b w:val="1"/>
          <w:bCs w:val="1"/>
          <w:i w:val="1"/>
          <w:iCs w:val="1"/>
          <w:color w:val="auto"/>
        </w:rPr>
        <w:t>Legacy Tempest</w:t>
      </w:r>
      <w:r>
        <w:rPr>
          <w:rFonts w:ascii="Times New Roman" w:cs="Times New Roman" w:eastAsia="Times New Roman" w:hAnsi="Times New Roman"/>
          <w:sz w:val="18"/>
          <w:szCs w:val="18"/>
          <w:color w:val="auto"/>
        </w:rPr>
        <w:t>”), completed the business combination with Millendo Therapeutics, Inc. (“</w:t>
      </w:r>
      <w:r>
        <w:rPr>
          <w:rFonts w:ascii="Times New Roman" w:cs="Times New Roman" w:eastAsia="Times New Roman" w:hAnsi="Times New Roman"/>
          <w:sz w:val="18"/>
          <w:szCs w:val="18"/>
          <w:b w:val="1"/>
          <w:bCs w:val="1"/>
          <w:i w:val="1"/>
          <w:iCs w:val="1"/>
          <w:color w:val="auto"/>
        </w:rPr>
        <w:t>Millendo</w:t>
      </w:r>
      <w:r>
        <w:rPr>
          <w:rFonts w:ascii="Times New Roman" w:cs="Times New Roman" w:eastAsia="Times New Roman" w:hAnsi="Times New Roman"/>
          <w:sz w:val="18"/>
          <w:szCs w:val="18"/>
          <w:color w:val="auto"/>
        </w:rPr>
        <w:t>”) in accordance with the terms of the Agreement and Plan of Merger, dated March 29, 2021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Millendo, Legacy Tempest and Mars Merger Corp., a Delaware corporation and a wholly owned subsidiary of Millendo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pursuant to which, among other matters, Merger Sub merged with and into Legacy Tempest, with Legacy Tempest continuing as a wholly owned subsidiary of Millendo and the surviving corporation of the merger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Commensurate with the closing of the business combination, Millendo changed its name to Tempest Therapeutics, Inc. Following the completion of the Merger, the business conducted by the Company became the business conducted by Legacy Tempest, which is a clinical-stage oncology company focused on leveraging its deep scientific understanding of cancer biology and medicinal chemistry to develop and advance novel orally available therapies for the treatment of solid tumors.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17" w:lineRule="exact"/>
        <w:rPr>
          <w:sz w:val="20"/>
          <w:szCs w:val="20"/>
          <w:color w:val="auto"/>
        </w:rPr>
      </w:pPr>
    </w:p>
    <w:p>
      <w:pPr>
        <w:ind w:left="120"/>
        <w:spacing w:after="0" w:line="278" w:lineRule="auto"/>
        <w:rPr>
          <w:sz w:val="20"/>
          <w:szCs w:val="20"/>
          <w:color w:val="auto"/>
        </w:rPr>
      </w:pPr>
      <w:r>
        <w:rPr>
          <w:rFonts w:ascii="Times New Roman" w:cs="Times New Roman" w:eastAsia="Times New Roman" w:hAnsi="Times New Roman"/>
          <w:sz w:val="17"/>
          <w:szCs w:val="17"/>
          <w:color w:val="auto"/>
        </w:rPr>
        <w:t>Pursuant to rules adopted by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we have elected to provide access to our proxy materials over the internet. Accordingly, we have sent you a Notice of Internet Availability of Proxy Materials (the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because 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is soliciting your proxy to vote at the 2022 Annual Meeting of Stockholders (the “</w:t>
      </w:r>
      <w:r>
        <w:rPr>
          <w:rFonts w:ascii="Times New Roman" w:cs="Times New Roman" w:eastAsia="Times New Roman" w:hAnsi="Times New Roman"/>
          <w:sz w:val="17"/>
          <w:szCs w:val="17"/>
          <w:b w:val="1"/>
          <w:bCs w:val="1"/>
          <w:i w:val="1"/>
          <w:iCs w:val="1"/>
          <w:color w:val="auto"/>
        </w:rPr>
        <w:t>Annual Meeting</w:t>
      </w:r>
      <w:r>
        <w:rPr>
          <w:rFonts w:ascii="Times New Roman" w:cs="Times New Roman" w:eastAsia="Times New Roman" w:hAnsi="Times New Roman"/>
          <w:sz w:val="17"/>
          <w:szCs w:val="17"/>
          <w:color w:val="auto"/>
        </w:rPr>
        <w:t>”),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68" w:lineRule="exact"/>
        <w:rPr>
          <w:sz w:val="20"/>
          <w:szCs w:val="20"/>
          <w:color w:val="auto"/>
        </w:rPr>
      </w:pPr>
    </w:p>
    <w:p>
      <w:pPr>
        <w:ind w:left="120"/>
        <w:spacing w:after="0"/>
        <w:tabs>
          <w:tab w:leader="none" w:pos="3900" w:val="left"/>
        </w:tabs>
        <w:rPr>
          <w:sz w:val="20"/>
          <w:szCs w:val="20"/>
          <w:color w:val="auto"/>
        </w:rPr>
      </w:pPr>
      <w:r>
        <w:rPr>
          <w:rFonts w:ascii="Times New Roman" w:cs="Times New Roman" w:eastAsia="Times New Roman" w:hAnsi="Times New Roman"/>
          <w:sz w:val="18"/>
          <w:szCs w:val="18"/>
          <w:color w:val="auto"/>
        </w:rPr>
        <w:t>We intend to mail the Notice on or about [</w:t>
      </w:r>
      <w:r>
        <w:rPr>
          <w:sz w:val="20"/>
          <w:szCs w:val="20"/>
          <w:color w:val="auto"/>
        </w:rPr>
        <w:tab/>
      </w:r>
      <w:r>
        <w:rPr>
          <w:rFonts w:ascii="Times New Roman" w:cs="Times New Roman" w:eastAsia="Times New Roman" w:hAnsi="Times New Roman"/>
          <w:sz w:val="18"/>
          <w:szCs w:val="18"/>
          <w:color w:val="auto"/>
        </w:rPr>
        <w:t>], 2022 to all stockholders of record entitled to vote at the annual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on or after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 xml:space="preserve">To protect the health and safety of our stockholders and employees and facilitate stockholder participation in the Annual Meeting, this year, the Annual Meeting will be held through a live webcast at </w:t>
      </w:r>
      <w:r>
        <w:rPr>
          <w:rFonts w:ascii="Times New Roman" w:cs="Times New Roman" w:eastAsia="Times New Roman" w:hAnsi="Times New Roman"/>
          <w:sz w:val="17"/>
          <w:szCs w:val="17"/>
          <w:i w:val="1"/>
          <w:iCs w:val="1"/>
          <w:color w:val="auto"/>
        </w:rPr>
        <w:t>www.virtualshareholdermeeting.com/TPST2022</w:t>
      </w:r>
      <w:r>
        <w:rPr>
          <w:rFonts w:ascii="Times New Roman" w:cs="Times New Roman" w:eastAsia="Times New Roman" w:hAnsi="Times New Roman"/>
          <w:sz w:val="17"/>
          <w:szCs w:val="17"/>
          <w:color w:val="auto"/>
        </w:rPr>
        <w:t xml:space="preserve">. You will not be able to attend the annual meeting in person. If you attend the annual meeting online, you will be able to vote and submit questions, at </w:t>
      </w:r>
      <w:r>
        <w:rPr>
          <w:rFonts w:ascii="Times New Roman" w:cs="Times New Roman" w:eastAsia="Times New Roman" w:hAnsi="Times New Roman"/>
          <w:sz w:val="17"/>
          <w:szCs w:val="17"/>
          <w:i w:val="1"/>
          <w:iCs w:val="1"/>
          <w:color w:val="auto"/>
        </w:rPr>
        <w:t>www.virtualshareholdermeeting.com/TPST2022</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ind w:left="120"/>
        <w:spacing w:after="0" w:line="263" w:lineRule="auto"/>
        <w:rPr>
          <w:sz w:val="20"/>
          <w:szCs w:val="20"/>
          <w:color w:val="auto"/>
        </w:rPr>
      </w:pPr>
      <w:r>
        <w:rPr>
          <w:rFonts w:ascii="Times New Roman" w:cs="Times New Roman" w:eastAsia="Times New Roman" w:hAnsi="Times New Roman"/>
          <w:sz w:val="18"/>
          <w:szCs w:val="18"/>
          <w:color w:val="auto"/>
        </w:rPr>
        <w:t>You are entitled to attend the annual meeting if you were a stockholder as of the close of business on April 20, 2022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xml:space="preserve">”), or hold a valid proxy for the meeting. To be admitted to the annual meeting, you will need to visit </w:t>
      </w:r>
      <w:r>
        <w:rPr>
          <w:rFonts w:ascii="Times New Roman" w:cs="Times New Roman" w:eastAsia="Times New Roman" w:hAnsi="Times New Roman"/>
          <w:sz w:val="18"/>
          <w:szCs w:val="18"/>
          <w:i w:val="1"/>
          <w:iCs w:val="1"/>
          <w:color w:val="auto"/>
        </w:rPr>
        <w:t>www.virtualshareholdermeeting.com/TPST2022</w:t>
      </w:r>
      <w:r>
        <w:rPr>
          <w:rFonts w:ascii="Times New Roman" w:cs="Times New Roman" w:eastAsia="Times New Roman" w:hAnsi="Times New Roman"/>
          <w:sz w:val="18"/>
          <w:szCs w:val="18"/>
          <w:color w:val="auto"/>
        </w:rPr>
        <w:t xml:space="preserve"> and enter the</w:t>
      </w:r>
    </w:p>
    <w:p>
      <w:pPr>
        <w:spacing w:after="0" w:line="1" w:lineRule="exact"/>
        <w:rPr>
          <w:sz w:val="20"/>
          <w:szCs w:val="20"/>
          <w:color w:val="auto"/>
        </w:rPr>
      </w:pPr>
    </w:p>
    <w:p>
      <w:pPr>
        <w:jc w:val="both"/>
        <w:ind w:left="120" w:right="180"/>
        <w:spacing w:after="0" w:line="255" w:lineRule="auto"/>
        <w:rPr>
          <w:sz w:val="20"/>
          <w:szCs w:val="20"/>
          <w:color w:val="auto"/>
        </w:rPr>
      </w:pPr>
      <w:r>
        <w:rPr>
          <w:rFonts w:ascii="Times New Roman" w:cs="Times New Roman" w:eastAsia="Times New Roman" w:hAnsi="Times New Roman"/>
          <w:sz w:val="18"/>
          <w:szCs w:val="18"/>
          <w:color w:val="auto"/>
        </w:rPr>
        <w:t>16-digit Control Number found next to the label “Control Number” on your Notice,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 or proxy to vote.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Whether or not you participate in the annual meeting, it is important that you vote your shares.</w:t>
      </w:r>
    </w:p>
    <w:p>
      <w:pPr>
        <w:spacing w:after="0" w:line="22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Annual Meeting will begin promptly at 1:00 P.M. Pacific time. We encourage you to access the Annual Meeting before it begins. Online check-in will start approximately 15 minutes before the meeting on Friday, June 17,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 xml:space="preserve">Please note that if you do not have your Control Number and you are a registered stockholder, please contact us at cc@tempesttx.com and we will be able to provide your Control Number to you. You will be able to login as a guest. To view the meeting webcast visit </w:t>
      </w:r>
      <w:r>
        <w:rPr>
          <w:rFonts w:ascii="Times New Roman" w:cs="Times New Roman" w:eastAsia="Times New Roman" w:hAnsi="Times New Roman"/>
          <w:sz w:val="18"/>
          <w:szCs w:val="18"/>
          <w:i w:val="1"/>
          <w:iCs w:val="1"/>
          <w:color w:val="auto"/>
        </w:rPr>
        <w:t xml:space="preserve">www.virtualshareholdermeeting.com/TPST2022 </w:t>
      </w:r>
      <w:r>
        <w:rPr>
          <w:rFonts w:ascii="Times New Roman" w:cs="Times New Roman" w:eastAsia="Times New Roman" w:hAnsi="Times New Roman"/>
          <w:sz w:val="18"/>
          <w:szCs w:val="18"/>
          <w:color w:val="auto"/>
        </w:rPr>
        <w:t>and register as a guest. If you login as a guest, you will not be able to vote your shares.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 xml:space="preserve">A list of our record stockholders as of the close of business on the Record Date will be made available to stockholders during the meeting at </w:t>
      </w:r>
      <w:r>
        <w:rPr>
          <w:rFonts w:ascii="Times New Roman" w:cs="Times New Roman" w:eastAsia="Times New Roman" w:hAnsi="Times New Roman"/>
          <w:sz w:val="18"/>
          <w:szCs w:val="18"/>
          <w:i w:val="1"/>
          <w:iCs w:val="1"/>
          <w:color w:val="auto"/>
        </w:rPr>
        <w:t>www.virtualshareholdermeeting.com/TPST2022</w:t>
      </w:r>
      <w:r>
        <w:rPr>
          <w:rFonts w:ascii="Times New Roman" w:cs="Times New Roman" w:eastAsia="Times New Roman" w:hAnsi="Times New Roman"/>
          <w:sz w:val="18"/>
          <w:szCs w:val="18"/>
          <w:color w:val="auto"/>
        </w:rPr>
        <w:t>. In addition, for the 10 days prior to the annual meeting, the list will be available for examination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stockholder of record for a legally valid purpose during regular business hours. To access the list of record stockholders beginning June 7, 2022 and until the meeting, stockholders should email cc@tempesttx.com.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at the Annual Meeting. On the Record Date, there were 7,173,094 shares of common stock outstanding and entitled to vote.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Computershare Trust Company, N.A., then you are a stockholder of record. As a stockholder of record, you may vote online at the meeting or vote by proxy. Whether or not you plan to attend the Annual Meeting, we urge you vote by proxy over the telephone, or vote by proxy through the internet, or vote by proxy using a proxy card that you may request or that we may elect to deliver at a later time to ensure your vote is counted.</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If on the Record Date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Beneficial holders who attend the Annual Meeting may also vote during the Annual Meeting by going to </w:t>
      </w:r>
      <w:r>
        <w:rPr>
          <w:rFonts w:ascii="Times New Roman" w:cs="Times New Roman" w:eastAsia="Times New Roman" w:hAnsi="Times New Roman"/>
          <w:sz w:val="18"/>
          <w:szCs w:val="18"/>
          <w:i w:val="1"/>
          <w:iCs w:val="1"/>
          <w:color w:val="auto"/>
        </w:rPr>
        <w:t>www.virtualshareholdermeeting.com/TPST2022</w:t>
      </w:r>
      <w:r>
        <w:rPr>
          <w:rFonts w:ascii="Times New Roman" w:cs="Times New Roman" w:eastAsia="Times New Roman" w:hAnsi="Times New Roman"/>
          <w:sz w:val="18"/>
          <w:szCs w:val="18"/>
          <w:color w:val="auto"/>
        </w:rPr>
        <w:t xml:space="preserve"> and following the instructions regarding voting.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131" w:lineRule="exact"/>
        <w:rPr>
          <w:sz w:val="20"/>
          <w:szCs w:val="20"/>
          <w:color w:val="auto"/>
        </w:rPr>
      </w:pPr>
    </w:p>
    <w:p>
      <w:pPr>
        <w:ind w:left="1080" w:right="3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Election of the Board’s nominee, Geoff Nichol, to the Board of Directors to hold office until the 2025 Annual Meeting of Stockholders </w:t>
      </w: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Approval of the Amended and Restated 2019 Equity Incentive Plan </w:t>
      </w: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Approval of the Amended and Restated 2019 Employee Stock Purchase Plan </w:t>
      </w: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Ratification of the selection of Ernst &amp; Young LLP as independent registered public accounting firm of the Company for its fiscal year ending December 31, 2022 </w:t>
      </w: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You may either vote “For” all the nominees to the Board or you may “Withhold” your vote for any nominee you specify. For each of the other matters to be voted on, you may vote “For” or “Against” or abstain from voting.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vote by proxy over the telephone, or vote by proxy through the internet, or vote by proxy using a proxy card that you may request or that we may elect to deliver at a later time. Whether or not you plan to attend the meeting, we urge you to vote by proxy to ensure your vote is counted. You may still attend the meeting and vote at the meeting even if you have already voted by proxy.</w:t>
      </w:r>
    </w:p>
    <w:p>
      <w:pPr>
        <w:spacing w:after="0" w:line="77" w:lineRule="exact"/>
        <w:rPr>
          <w:sz w:val="20"/>
          <w:szCs w:val="20"/>
          <w:color w:val="auto"/>
        </w:rPr>
      </w:pPr>
    </w:p>
    <w:p>
      <w:pPr>
        <w:jc w:val="both"/>
        <w:ind w:left="1080" w:hanging="424"/>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Internet. </w:t>
      </w:r>
      <w:r>
        <w:rPr>
          <w:rFonts w:ascii="Times New Roman" w:cs="Times New Roman" w:eastAsia="Times New Roman" w:hAnsi="Times New Roman"/>
          <w:sz w:val="18"/>
          <w:szCs w:val="18"/>
          <w:color w:val="auto"/>
        </w:rPr>
        <w:t>To vote through the internet prior to the meeting, go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follow the instructions to submit your vote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electronic proxy card. You will be asked to provide the company number and Control Number from the Notice. Your internet vote must be received by 8:59 p.m., Pacific time on June 16, 2022 to be counted.</w:t>
      </w:r>
    </w:p>
    <w:p>
      <w:pPr>
        <w:spacing w:after="0" w:line="76" w:lineRule="exact"/>
        <w:rPr>
          <w:rFonts w:ascii="Times New Roman" w:cs="Times New Roman" w:eastAsia="Times New Roman" w:hAnsi="Times New Roman"/>
          <w:sz w:val="18"/>
          <w:szCs w:val="18"/>
          <w:color w:val="auto"/>
        </w:rPr>
      </w:pPr>
    </w:p>
    <w:p>
      <w:pPr>
        <w:ind w:left="1080" w:right="40" w:hanging="424"/>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Telephone. </w:t>
      </w:r>
      <w:r>
        <w:rPr>
          <w:rFonts w:ascii="Times New Roman" w:cs="Times New Roman" w:eastAsia="Times New Roman" w:hAnsi="Times New Roman"/>
          <w:sz w:val="18"/>
          <w:szCs w:val="18"/>
          <w:color w:val="auto"/>
        </w:rPr>
        <w:t>To vote over the telephone, dial (800) 690-6903 toll-free from the United States, U.S. territories and Canada and follow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recorded instructions. You will be asked to provide the company number and Control Number from the Notice. Your telephone vote must be received by 8:59 p.m., Pacific time on June 16, 2022 to be counted.</w:t>
      </w:r>
    </w:p>
    <w:p>
      <w:pPr>
        <w:spacing w:after="0" w:line="76" w:lineRule="exact"/>
        <w:rPr>
          <w:rFonts w:ascii="Times New Roman" w:cs="Times New Roman" w:eastAsia="Times New Roman" w:hAnsi="Times New Roman"/>
          <w:sz w:val="18"/>
          <w:szCs w:val="18"/>
          <w:color w:val="auto"/>
        </w:rPr>
      </w:pPr>
    </w:p>
    <w:p>
      <w:pPr>
        <w:ind w:left="1080" w:right="80" w:hanging="424"/>
        <w:spacing w:after="0" w:line="317" w:lineRule="auto"/>
        <w:tabs>
          <w:tab w:leader="none" w:pos="10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By Proxy Card. </w:t>
      </w:r>
      <w:r>
        <w:rPr>
          <w:rFonts w:ascii="Times New Roman" w:cs="Times New Roman" w:eastAsia="Times New Roman" w:hAnsi="Times New Roman"/>
          <w:sz w:val="17"/>
          <w:szCs w:val="17"/>
          <w:color w:val="auto"/>
        </w:rPr>
        <w:t>To vote using the proxy card, simply complete, sign and date the proxy card that may be delivered and return it promptly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envelope provided. If you return your signed proxy card to us before the Annual Meeting, we will vote your shares as you direct.</w:t>
      </w:r>
    </w:p>
    <w:p>
      <w:pPr>
        <w:spacing w:after="0" w:line="37" w:lineRule="exact"/>
        <w:rPr>
          <w:rFonts w:ascii="Times New Roman" w:cs="Times New Roman" w:eastAsia="Times New Roman" w:hAnsi="Times New Roman"/>
          <w:sz w:val="17"/>
          <w:szCs w:val="17"/>
          <w:color w:val="auto"/>
        </w:rPr>
      </w:pPr>
    </w:p>
    <w:p>
      <w:pPr>
        <w:jc w:val="both"/>
        <w:ind w:left="1080" w:right="640" w:hanging="424"/>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Online During the Annual Meeting</w:t>
      </w:r>
      <w:r>
        <w:rPr>
          <w:rFonts w:ascii="Times New Roman" w:cs="Times New Roman" w:eastAsia="Times New Roman" w:hAnsi="Times New Roman"/>
          <w:sz w:val="18"/>
          <w:szCs w:val="18"/>
          <w:color w:val="auto"/>
        </w:rPr>
        <w:t>. Access the Annual Meeting by visiting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www.virtualshareholdermeeting.com/TPST2022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your 16-digit Control Number from your Notice, on your proxy card or on the instructions that accompanied your proxy materials, as applicable.</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Notice containing voting instructions from that organization. To vote prior to the Annual Meeting, simply follow the voting instructions in the Notice to ensure that your vote is counted. Alternatively, you may vote by telephone or over the internet as instructed by your broker or bank. You may access and vote at the Annual Meeting by logging in with your Control Number on your voting instruction form at </w:t>
      </w:r>
      <w:r>
        <w:rPr>
          <w:rFonts w:ascii="Times New Roman" w:cs="Times New Roman" w:eastAsia="Times New Roman" w:hAnsi="Times New Roman"/>
          <w:sz w:val="18"/>
          <w:szCs w:val="18"/>
          <w:i w:val="1"/>
          <w:iCs w:val="1"/>
          <w:color w:val="auto"/>
        </w:rPr>
        <w:t>www.virtualshareholdermeeting.com/TPST</w:t>
      </w:r>
      <w:r>
        <w:rPr>
          <w:rFonts w:ascii="Times New Roman" w:cs="Times New Roman" w:eastAsia="Times New Roman" w:hAnsi="Times New Roman"/>
          <w:sz w:val="18"/>
          <w:szCs w:val="18"/>
          <w:color w:val="auto"/>
        </w:rPr>
        <w:t>. However, since you are not the stockholder of record, you may not vote your shares at the Annual Meeting unless you request and obtain a valid proxy from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222885</wp:posOffset>
            </wp:positionV>
            <wp:extent cx="6998970" cy="492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366" w:lineRule="exact"/>
        <w:rPr>
          <w:sz w:val="20"/>
          <w:szCs w:val="20"/>
          <w:color w:val="auto"/>
        </w:rPr>
      </w:pPr>
    </w:p>
    <w:p>
      <w:pPr>
        <w:ind w:left="240" w:right="80"/>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the Record Date.</w:t>
      </w:r>
    </w:p>
    <w:p>
      <w:pPr>
        <w:spacing w:after="0" w:line="329"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at the Annual Meeting, your shares will not be voted.</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the nominee for director, “FOR” the approval of the Amended and Restated 2019 Equity Incentive Plan, “FOR” the approval of the Amended and Restated 2019 Employee Stock Purchase Plan and “FOR” the ratification of the selection of Ernst &amp; Young LLP as independent registered public accounting firm of the Company for its fiscal year ending December 31, 2022. If any other matter is properly presented at the meeting, your proxyholder (one of the individuals named on your proxy card) will vote your shares using his or her best judgment.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w:t>
      </w:r>
      <w:r>
        <w:rPr>
          <w:rFonts w:ascii="Times New Roman" w:cs="Times New Roman" w:eastAsia="Times New Roman" w:hAnsi="Times New Roman"/>
          <w:sz w:val="18"/>
          <w:szCs w:val="18"/>
          <w:b w:val="1"/>
          <w:bCs w:val="1"/>
          <w:i w:val="1"/>
          <w:iCs w:val="1"/>
          <w:color w:val="auto"/>
        </w:rPr>
        <w:t>NYSE</w:t>
      </w:r>
      <w:r>
        <w:rPr>
          <w:rFonts w:ascii="Times New Roman" w:cs="Times New Roman" w:eastAsia="Times New Roman" w:hAnsi="Times New Roman"/>
          <w:sz w:val="18"/>
          <w:szCs w:val="18"/>
          <w:color w:val="auto"/>
        </w:rPr>
        <w:t>”), brokers, banks and other securities intermediaries that are subject to NYSE rules may use their discretion to vote your “uninstructed” shares with respect to matters considered to be “routine” under NYSE rules, but not with respect to “non-routine” matters. In this regard, Proposals 1, 2 and 3 are considered to be “non-routine” under NYSE rules meaning that your broker may not vote your shares on those proposals in the absence of your voting instructions. However, Proposal 4 is considered to be a “routine” matter under NYSE rules meaning that if you do not return voting instructions to your broker by its deadline, your shares may be voted by your broker in its discretion on Proposal 4.</w:t>
      </w:r>
    </w:p>
    <w:p>
      <w:pPr>
        <w:spacing w:after="0" w:line="295"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If you are a beneficial owner of shares held in street name, and you do not plan to attend the Annual Meeting, in order to ensure your shares are voted in the way you would prefer, you </w:t>
      </w:r>
      <w:r>
        <w:rPr>
          <w:rFonts w:ascii="Times New Roman" w:cs="Times New Roman" w:eastAsia="Times New Roman" w:hAnsi="Times New Roman"/>
          <w:sz w:val="18"/>
          <w:szCs w:val="18"/>
          <w:i w:val="1"/>
          <w:iCs w:val="1"/>
          <w:u w:val="single" w:color="auto"/>
          <w:color w:val="auto"/>
        </w:rPr>
        <w:t>must</w:t>
      </w:r>
      <w:r>
        <w:rPr>
          <w:rFonts w:ascii="Times New Roman" w:cs="Times New Roman" w:eastAsia="Times New Roman" w:hAnsi="Times New Roman"/>
          <w:sz w:val="18"/>
          <w:szCs w:val="18"/>
          <w:i w:val="1"/>
          <w:iCs w:val="1"/>
          <w:color w:val="auto"/>
        </w:rPr>
        <w:t xml:space="preserve"> provide voting instructions to your broker, bank or other agent by the deadline provided in the materials you receive from your broker, bank or other agent.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Certain of our directors, officers and employees may participate in the solicitation of proxies, including electronically or by mail or telephone, without additional compensation.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the Notices to ensure that all of your shares are voted.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You can revoke your proxy at any time before the final vote at the Annual Meeting. If you are the record holder of your shares, you may revoke your proxy in any one of the following ways:</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properly completed proxy card with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subsequent proxy by telephone or through the internet.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online. Simply attending the meeting will not, by itself, revoke your proxy.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a timely written notice that you are revoking your proxy by email at cc@tempesttx.com.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to elect directors, votes “For,” “Withhold” and abstentions and, with respect to the other proposals, votes “For” and “Against” and abstentions.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 and how are votes counted?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Proposal</w:t>
            </w:r>
          </w:p>
        </w:tc>
        <w:tc>
          <w:tcPr>
            <w:tcW w:w="220" w:type="dxa"/>
            <w:vAlign w:val="bottom"/>
          </w:tcPr>
          <w:p>
            <w:pPr>
              <w:spacing w:after="0"/>
              <w:rPr>
                <w:sz w:val="13"/>
                <w:szCs w:val="13"/>
                <w:color w:val="auto"/>
              </w:rPr>
            </w:pPr>
          </w:p>
        </w:tc>
        <w:tc>
          <w:tcPr>
            <w:tcW w:w="19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220" w:type="dxa"/>
            <w:vAlign w:val="bottom"/>
          </w:tcPr>
          <w:p>
            <w:pPr>
              <w:spacing w:after="0"/>
              <w:rPr>
                <w:sz w:val="13"/>
                <w:szCs w:val="13"/>
                <w:color w:val="auto"/>
              </w:rPr>
            </w:pPr>
          </w:p>
        </w:tc>
        <w:tc>
          <w:tcPr>
            <w:tcW w:w="538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 Broker</w:t>
            </w:r>
          </w:p>
        </w:tc>
        <w:tc>
          <w:tcPr>
            <w:tcW w:w="0" w:type="dxa"/>
            <w:vAlign w:val="bottom"/>
          </w:tcPr>
          <w:p>
            <w:pPr>
              <w:spacing w:after="0"/>
              <w:rPr>
                <w:sz w:val="1"/>
                <w:szCs w:val="1"/>
                <w:color w:val="auto"/>
              </w:rPr>
            </w:pPr>
          </w:p>
        </w:tc>
      </w:tr>
      <w:tr>
        <w:trPr>
          <w:trHeight w:val="182"/>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380" w:type="dxa"/>
            <w:vAlign w:val="bottom"/>
            <w:gridSpan w:val="2"/>
            <w:vMerge w:val="continue"/>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85"/>
        </w:trPr>
        <w:tc>
          <w:tcPr>
            <w:tcW w:w="54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Election of Directors</w:t>
            </w:r>
          </w:p>
        </w:tc>
        <w:tc>
          <w:tcPr>
            <w:tcW w:w="220" w:type="dxa"/>
            <w:vAlign w:val="bottom"/>
            <w:tcBorders>
              <w:top w:val="single" w:sz="8" w:color="CCEEFF"/>
            </w:tcBorders>
            <w:shd w:val="clear" w:color="auto" w:fill="CCEEFF"/>
          </w:tcPr>
          <w:p>
            <w:pPr>
              <w:spacing w:after="0"/>
              <w:rPr>
                <w:sz w:val="16"/>
                <w:szCs w:val="16"/>
                <w:color w:val="auto"/>
              </w:rPr>
            </w:pPr>
          </w:p>
        </w:tc>
        <w:tc>
          <w:tcPr>
            <w:tcW w:w="516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Nominees receiving the most “For” votes; withheld votes will have no</w:t>
            </w: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Not applicable</w:t>
            </w:r>
          </w:p>
        </w:tc>
        <w:tc>
          <w:tcPr>
            <w:tcW w:w="2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34"/>
        </w:trPr>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5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w:t>
            </w: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w:t>
            </w:r>
          </w:p>
        </w:tc>
        <w:tc>
          <w:tcPr>
            <w:tcW w:w="220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Approval of the Amended</w:t>
            </w:r>
          </w:p>
        </w:tc>
        <w:tc>
          <w:tcPr>
            <w:tcW w:w="560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“For” votes from the holders of a majority of the voting power of the</w:t>
            </w:r>
          </w:p>
        </w:tc>
        <w:tc>
          <w:tcPr>
            <w:tcW w:w="1400" w:type="dxa"/>
            <w:vAlign w:val="bottom"/>
            <w:gridSpan w:val="2"/>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No effect</w:t>
            </w:r>
          </w:p>
        </w:tc>
        <w:tc>
          <w:tcPr>
            <w:tcW w:w="1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Not applicable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Restated 2019 Equity</w:t>
            </w:r>
          </w:p>
        </w:tc>
        <w:tc>
          <w:tcPr>
            <w:tcW w:w="5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votes cast by the holders of all the shares present or represented by</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Incentive Plan</w:t>
            </w:r>
          </w:p>
        </w:tc>
        <w:tc>
          <w:tcPr>
            <w:tcW w:w="5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proxy at the meeting and voting affirmatively on such matter</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w:t>
            </w:r>
          </w:p>
        </w:tc>
        <w:tc>
          <w:tcPr>
            <w:tcW w:w="220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Approval of the Amended</w:t>
            </w:r>
          </w:p>
        </w:tc>
        <w:tc>
          <w:tcPr>
            <w:tcW w:w="22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No effect</w:t>
            </w:r>
          </w:p>
        </w:tc>
        <w:tc>
          <w:tcPr>
            <w:tcW w:w="12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Not applicable</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Restated 2019</w:t>
            </w:r>
          </w:p>
        </w:tc>
        <w:tc>
          <w:tcPr>
            <w:tcW w:w="5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 votes from the holders of a majority of the voting power of the</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Stock Purchase</w:t>
            </w:r>
          </w:p>
        </w:tc>
        <w:tc>
          <w:tcPr>
            <w:tcW w:w="5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votes cast by the holders of all the shares present or represented by</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Plan</w:t>
            </w:r>
          </w:p>
        </w:tc>
        <w:tc>
          <w:tcPr>
            <w:tcW w:w="5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proxy at the meeting and voting affirmatively on such matter</w:t>
            </w: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w:t>
            </w:r>
          </w:p>
        </w:tc>
        <w:tc>
          <w:tcPr>
            <w:tcW w:w="220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Ratification of the</w:t>
            </w:r>
          </w:p>
        </w:tc>
        <w:tc>
          <w:tcPr>
            <w:tcW w:w="560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“For” votes from the holders of a majority of the voting power of the</w:t>
            </w:r>
          </w:p>
        </w:tc>
        <w:tc>
          <w:tcPr>
            <w:tcW w:w="1400" w:type="dxa"/>
            <w:vAlign w:val="bottom"/>
            <w:gridSpan w:val="2"/>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No effect</w:t>
            </w:r>
          </w:p>
        </w:tc>
        <w:tc>
          <w:tcPr>
            <w:tcW w:w="1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selection of Ernst &amp; Young</w:t>
            </w:r>
          </w:p>
        </w:tc>
        <w:tc>
          <w:tcPr>
            <w:tcW w:w="5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votes cast by the holders of all the shares present or represented by</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LLP as the Company’s</w:t>
            </w:r>
          </w:p>
        </w:tc>
        <w:tc>
          <w:tcPr>
            <w:tcW w:w="5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proxy at the meeting and voting affirmatively on such matter</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independent registered</w:t>
            </w:r>
          </w:p>
        </w:tc>
        <w:tc>
          <w:tcPr>
            <w:tcW w:w="2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public accounting firm</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248285</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40" w:right="120" w:hanging="424"/>
        <w:spacing w:after="0" w:line="266"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120" w:right="200"/>
        <w:spacing w:after="0" w:line="289" w:lineRule="auto"/>
        <w:rPr>
          <w:sz w:val="20"/>
          <w:szCs w:val="20"/>
          <w:color w:val="auto"/>
        </w:rPr>
      </w:pPr>
      <w:r>
        <w:rPr>
          <w:rFonts w:ascii="Times New Roman" w:cs="Times New Roman" w:eastAsia="Times New Roman" w:hAnsi="Times New Roman"/>
          <w:sz w:val="17"/>
          <w:szCs w:val="17"/>
          <w:color w:val="auto"/>
        </w:rPr>
        <w:t>A quorum of stockholders is necessary to hold a valid meeting. A quorum will be present if stockholders holding at least a majority of the outstanding shares entitled to vote are present at the meeting virtually or represented by proxy. On the Record Date, there were 7,173,094 shares outstanding and entitled to vote. Thus, the holders of 3,586,547 shares must be present virtually or represented by proxy at the meeting to have a quorum.</w:t>
      </w:r>
    </w:p>
    <w:p>
      <w:pPr>
        <w:spacing w:after="0" w:line="158"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online at the Annual Meeting. Abstentions will be counted towards the quorum requirement. If there is no quorum, the holders of a majority of shares present at the meeting or represented by proxy may adjourn the meeting to another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Requirements for stockholder proposals to be brought before an Annual Meeting</w:t>
      </w:r>
    </w:p>
    <w:p>
      <w:pPr>
        <w:spacing w:after="0" w:line="115"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Our third amended and restated bylaws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provide that, for stockholder director nominations or other proposals to be considered at an annual meeting, the stockholder must give timely notice thereof in writing to our Corporate Secretary at Tempest Therapeutics, Inc., 7000 Shoreline Court, Suite 275, South San Francisco, CA 94080. To be timely for the 2023 Annual Meeting of Stockholders, a stockholder’s notice must be delivered to or mailed and received by our Secretary at our principal executive offices between February 17, 2023 and March 19, 2023; provided that if the date of that annual meeting of stockholders is earlier than May 28, 2023, or later than August 16, 2023 you must give the required notice not earlier than the</w:t>
      </w:r>
    </w:p>
    <w:p>
      <w:pPr>
        <w:spacing w:after="0" w:line="1" w:lineRule="exact"/>
        <w:rPr>
          <w:sz w:val="20"/>
          <w:szCs w:val="20"/>
          <w:color w:val="auto"/>
        </w:rPr>
      </w:pPr>
    </w:p>
    <w:p>
      <w:pPr>
        <w:jc w:val="both"/>
        <w:ind w:left="120" w:right="180"/>
        <w:spacing w:after="0" w:line="256" w:lineRule="auto"/>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meeting date and not later than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meeting date or, if later than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such meeting date,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day on which public disclosure of that meeting date is first made. A stockholder’s notice to the Secretary must also set forth the information required by our Bylaws.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Requirements for stockholder proposals to be considered for inclusion in our proxy materials.</w:t>
      </w:r>
    </w:p>
    <w:p>
      <w:pPr>
        <w:spacing w:after="0" w:line="115"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color w:val="auto"/>
        </w:rPr>
        <w:t>Stockholder proposals submitted pursuant to Rule 14a-8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intended to be presented at the 2023 Annual Meeting of Stockholders must be received by us not later than January 2, 2023 in order to be considered for inclusion in our proxy materials for that meeting.</w:t>
      </w:r>
    </w:p>
    <w:p>
      <w:pPr>
        <w:spacing w:after="0" w:line="175"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(once effective), stockholders who intend to solicit proxies in support of director nominees other than our nominees must provide notice that sets forth the information required by Rule 14a-19 under the Exchange Act no later than April 18, 2023.</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Board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Board presently has seven members. There is one director in the class whose term of office expires in 2022. Upon the recommendation of the Nominating and Corporate Governance Committee, our Board has nominated the following individual for election as a director at the Annual Meeting. The nominee listed below is currently a director of the Company who was previously elected by the stockholders.</w:t>
      </w:r>
    </w:p>
    <w:p>
      <w:pPr>
        <w:spacing w:after="0" w:line="8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Geoff Nichol</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biographies below under “Information Regarding Director Nominees and Continuing Directors” include information, as of the date of this proxy statement, regarding the specific and particular experience, qualifications, attributes or skills of each director nominee that led the Nominating and Corporate Governance Committee to believe that the nominee should continue to serve on the Board. If you elect the nominee listed above, he will hold office until the 2025 Annual Meeting of Stockholders and until the director’s successor has been duly elected and qualified, or, if sooner, until the director’s death, resignation or removal. The nominee is currently serving on our Board and has consented to being named in this proxy statement and to serve if elected. There are no family relationships among any of our executive officers or directors. It is our policy to encourage directors and nominees for director to attend the Annual Meeting.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EQUIRED</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Directors are elected by a plurality of the votes cast at the Annual Meeting by the holders entitled to vote on the election of directors. Accordingly, the nominee receiving the most “FOR” votes will be elected as a director. Abstentions will have no effect on the outcome of Proposal 1. You may not vote your shares cumulatively for the election of directors. Shares represented by executed proxies will be voted, if authority to do so is not withheld, for the election of the three nominees named above. If any nominee becomes unavailable for election because of an unexpected occurrence, your shares will be voted for the election of a substitute nominee proposed by our Board. Your proxy cannot be voted for a greater number of persons than the number of director nominees named in this proxy statement.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ECOMMENDATION</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OMINEE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REGARDING DIRECTOR NOMINEES AND CONTINUING DIRECTORS</w:t>
      </w:r>
    </w:p>
    <w:p>
      <w:pPr>
        <w:spacing w:after="0" w:line="229" w:lineRule="exact"/>
        <w:rPr>
          <w:sz w:val="20"/>
          <w:szCs w:val="20"/>
          <w:color w:val="auto"/>
        </w:rPr>
      </w:pPr>
    </w:p>
    <w:p>
      <w:pPr>
        <w:jc w:val="both"/>
        <w:ind w:left="120"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Class I nominee and our other directors, their ages and position or office held with us as of the date of this proxy statement:</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Age</w:t>
            </w:r>
          </w:p>
        </w:tc>
        <w:tc>
          <w:tcPr>
            <w:tcW w:w="4960" w:type="dxa"/>
            <w:vAlign w:val="bottom"/>
            <w:vMerge w:val="restart"/>
          </w:tcPr>
          <w:p>
            <w:pPr>
              <w:ind w:left="29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4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73"/>
        </w:trPr>
        <w:tc>
          <w:tcPr>
            <w:tcW w:w="224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4960" w:type="dxa"/>
            <w:vAlign w:val="bottom"/>
            <w:vMerge w:val="continue"/>
          </w:tcPr>
          <w:p>
            <w:pPr>
              <w:spacing w:after="0"/>
              <w:rPr>
                <w:sz w:val="15"/>
                <w:szCs w:val="15"/>
                <w:color w:val="auto"/>
              </w:rPr>
            </w:pPr>
          </w:p>
        </w:tc>
        <w:tc>
          <w:tcPr>
            <w:tcW w:w="24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16"/>
        </w:trPr>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Nominee for Election at the 2022 Annual Meeting of Stockholders</w:t>
            </w: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Geoff Nichol</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67</w:t>
            </w:r>
          </w:p>
        </w:tc>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16"/>
        </w:trPr>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Continuing in Office Until the 2023 Annual Meeting of Stockholders</w:t>
            </w: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Thomas Dubensky</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64</w:t>
            </w:r>
          </w:p>
        </w:tc>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 and Director</w:t>
            </w:r>
          </w:p>
        </w:tc>
        <w:tc>
          <w:tcPr>
            <w:tcW w:w="24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Pellizzari</w:t>
            </w:r>
          </w:p>
        </w:tc>
        <w:tc>
          <w:tcPr>
            <w:tcW w:w="1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54</w:t>
            </w:r>
          </w:p>
        </w:tc>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Thomas Woiwode</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w:t>
            </w:r>
          </w:p>
        </w:tc>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Continuing in Office Until the 2024 Annual Meeting of Stockholders</w:t>
            </w: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Stephen Brady</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52</w:t>
            </w:r>
          </w:p>
        </w:tc>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4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1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57</w:t>
            </w:r>
          </w:p>
        </w:tc>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Chairman of the Board</w:t>
            </w:r>
          </w:p>
        </w:tc>
        <w:tc>
          <w:tcPr>
            <w:tcW w:w="24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Ronit Simantov</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w:t>
            </w:r>
          </w:p>
        </w:tc>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the director nominees and each person whose term of office as a director will continue after the Annual Meeting. This includes information regarding each director’s experience, qualifications, attributes or skills that led our Board to recommend them for board service.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OMINEE FOR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LECTION AT THE</w:t>
      </w:r>
      <w:r>
        <w:rPr>
          <w:rFonts w:ascii="Times New Roman" w:cs="Times New Roman" w:eastAsia="Times New Roman" w:hAnsi="Times New Roman"/>
          <w:sz w:val="18"/>
          <w:szCs w:val="18"/>
          <w:b w:val="1"/>
          <w:bCs w:val="1"/>
          <w:color w:val="auto"/>
        </w:rPr>
        <w:t xml:space="preserve"> 2022 A</w:t>
      </w:r>
      <w:r>
        <w:rPr>
          <w:rFonts w:ascii="Times New Roman" w:cs="Times New Roman" w:eastAsia="Times New Roman" w:hAnsi="Times New Roman"/>
          <w:sz w:val="14"/>
          <w:szCs w:val="14"/>
          <w:b w:val="1"/>
          <w:bCs w:val="1"/>
          <w:color w:val="auto"/>
        </w:rPr>
        <w:t>NNUAL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EETING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Geoff Nichol, M.B., Ch.B., M.B.A.</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Geoff Nichol has served as a member of our Board since December 2019. Dr. Nichol has nearly 30 years’ experience in drug development. From November 2016 to October 2021, Mr. Nichol served as Chief Medical Officer at BioMarin Pharmaceutical Inc., where he managed an active portfolio of clinical development programs. In October 2021, Dr. Nichol transitioned into a Senior Advisor role until his retirement in April 2022. From July 2011 to November 2016, he was Executive Vice President, Research and Development at Sangamo BioSciences, where he managed the preclinical development of several IND candidates. From September 2002 to January 2010, he was Senior Vice President of Development at Medarex, where he was responsible for a portfolio of clinical development programs. From February 1996 to September 2002, he was Vice President at Novartis, where he managed a clinical development therapeutic area, United States Medical Affairs, and Global Project and Portfolio Management. From December 1989 to February 1996, he held various positions up to Group Medical Director, Clinical Development at SmithKline Beecham, where he was responsible for anti-infective development and medical affairs. Dr. Nichol received a B.Med.Sc., M.B., Ch.B., or the equivalent of an M.D. in the United States, from Otago University Medical School in New Zealand and an M.B.A. from Warwick University in the United Kingdom. Mr. Nichol’s financial and business expertise, including his background as an executive officer of pharmaceutical and biotechnology companies, provides him with the qualifications and skills to serve as a member of our Board.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ONTINUING IN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NTIL THE</w:t>
      </w:r>
      <w:r>
        <w:rPr>
          <w:rFonts w:ascii="Times New Roman" w:cs="Times New Roman" w:eastAsia="Times New Roman" w:hAnsi="Times New Roman"/>
          <w:sz w:val="18"/>
          <w:szCs w:val="18"/>
          <w:b w:val="1"/>
          <w:bCs w:val="1"/>
          <w:color w:val="auto"/>
        </w:rPr>
        <w:t xml:space="preserve"> 2023 A</w:t>
      </w:r>
      <w:r>
        <w:rPr>
          <w:rFonts w:ascii="Times New Roman" w:cs="Times New Roman" w:eastAsia="Times New Roman" w:hAnsi="Times New Roman"/>
          <w:sz w:val="14"/>
          <w:szCs w:val="14"/>
          <w:b w:val="1"/>
          <w:bCs w:val="1"/>
          <w:color w:val="auto"/>
        </w:rPr>
        <w:t>NNUAL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EETING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Thomas Dubensky, Ph.D.</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Thomas Dubensky, Ph.D. has served as our President and as a member of our Board since the closing of the Merger. Prior to the Merger, Dr. Dubensky had served as the Chief Executive Officer of Legacy Tempest since 2017 and as a member of the board of directors of Legacy Tempest since September 2017. Prior to Tempest, Dr. Dubensky was the Chief Scientific Officer of Aduro Biotech, where he led the development of first-in-class STING agonists. Additionally, Dr. Dubensky has served in executive and principal roles in leading discovery biology, development and clinical translation of multiple first-in-class agents in cancer immunotherapy and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infectious disease indications at several biotech companies, including Viagene Biotech Inc., Chiron Corporation, Onyx Pharmaceuticals, Inc., Cerus Corporation and Immune Design, Inc. Dr. Dubensky has served on the scientific advisory boards of Turnstone Biologics, Oncorus, Inc., Remedy Plan, Inc., Vaccitech PLC-ADR and Tyligand Bioscience. Dr. Dubensky has an extensive publication and patent record. Dr. Dubensky received his B.A. in Bacteriology and Immunology from the University of California, Berkeley, his Ph.D. from the University of Colorado Health Sciences Center, conducted his post-doctoral studies at Harvard Medical School in the Department of Pathology, and received executive training at the University of California, San Diego, in the Executive Program for Scientists and Engineers. Dr. Dubensky’s role as our President, his scientific expertise and his prior leadership roles in biotechnology companies provides him with the qualifications and skills to serve as a member of our Board.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Christine Pellizzari</w:t>
      </w:r>
    </w:p>
    <w:p>
      <w:pPr>
        <w:spacing w:after="0" w:line="121" w:lineRule="exact"/>
        <w:rPr>
          <w:sz w:val="20"/>
          <w:szCs w:val="20"/>
          <w:color w:val="auto"/>
        </w:rPr>
      </w:pPr>
    </w:p>
    <w:p>
      <w:pPr>
        <w:ind w:left="120" w:right="340"/>
        <w:spacing w:after="0" w:line="254" w:lineRule="auto"/>
        <w:rPr>
          <w:sz w:val="20"/>
          <w:szCs w:val="20"/>
          <w:color w:val="auto"/>
        </w:rPr>
      </w:pPr>
      <w:r>
        <w:rPr>
          <w:rFonts w:ascii="Times New Roman" w:cs="Times New Roman" w:eastAsia="Times New Roman" w:hAnsi="Times New Roman"/>
          <w:sz w:val="18"/>
          <w:szCs w:val="18"/>
          <w:color w:val="auto"/>
        </w:rPr>
        <w:t>Christine Pellizzari has served as a member of our Board since July 2021. Ms. Pellizzari currently serves as the Chief Legal Officer of Science 37 Holdings, Inc. (Science 37) since 2021. Ms. Pellizzari has served as a member of the board of directors of Celsion Corporation and Neurosense Therapeutics Ltd. since 2021. Ms. Pellizzari served as the General Counsel and Corporate Secretary of Insmed, Inc. from 2013 to 2018 and as Chief Legal Officer from 2018 to 2021. Prior to joining Insmed, from 2007 through 2012, Ms. Pellizzari held various legal positions of increasing responsibility at Aegerion Pharmaceuticals, Inc., most recently as Executive Vice President, General Counsel and Secretary. Prior to Aegerion,</w:t>
      </w:r>
    </w:p>
    <w:p>
      <w:pPr>
        <w:spacing w:after="0" w:line="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Ms. Pellizzari served as Senior Vice President, General Counsel and Secretary of Dendrite International, Inc. Ms. Pellizzari joined Dendrite from the law firm of Wilentz, Goldman &amp; Spitzer where she specialized in health care transactions and related regulatory matters. She previously served as law clerk to the Honorable Reginald Stanton, Assignment Judge for the Superior Court of New Jersey. Ms. Pellizzari received her B.A. from the University of Massachusetts, Amherst and her J.D. from the University of Colorado, Boulder. Ms. Pellizzari’s legal, financial and business expertise in the biotechnology industry, including her experience in the capital markets and financial and legal compliance, qualifies her to serve as a member of our Board.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Thomas Woiwode, Ph.D.</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Tom Woiwode, Ph.D. has served as a member of our Board since the closing of the Merger. Prior to the Merger, Dr. Woiwode served as a member of the board of directors of Legacy Tempest since March 2018. Dr. Woiwode has been working with Versant Ventures since 2002, and has served in both operational and investment roles during that time. He was the start-up Chief Business Officer for Amira (sale), Synosia (sale) and Flexion (2014 IPO), and was the Chief Operating Officer of Okairos where he led the process that culminated in the acquisition by GSK. Since being promoted to Managing Director in 2014, Dr. Woiwode has assumed the lead role in multiple investments, including Crispr (2016 IPO), Audentes (2016 IPO), Annapurna (merged to form Adverum), Gritstone (2018 IPO), Crinetics (2018 IPO), Jecure (sale) Anokion, Therachon, Vividion, Tempest, Aligos, CODA and Passage. Prior to joining Versant, he was a medicinal chemist at XenoPort, a start-up biotech company that completed an IPO in 2005. Dr. Woiwode earned his Ph.D. in chemistry from Stanford University. Dr. Woiwode’s scientific, financial and business expertise, including his diversified background as an executive officer and investor in public pharmaceutical companies, provides him with the qualifications and skills to serve as a member of our Board.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ONTINUING IN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NTIL THE</w:t>
      </w:r>
      <w:r>
        <w:rPr>
          <w:rFonts w:ascii="Times New Roman" w:cs="Times New Roman" w:eastAsia="Times New Roman" w:hAnsi="Times New Roman"/>
          <w:sz w:val="18"/>
          <w:szCs w:val="18"/>
          <w:b w:val="1"/>
          <w:bCs w:val="1"/>
          <w:color w:val="auto"/>
        </w:rPr>
        <w:t xml:space="preserve"> 2024 A</w:t>
      </w:r>
      <w:r>
        <w:rPr>
          <w:rFonts w:ascii="Times New Roman" w:cs="Times New Roman" w:eastAsia="Times New Roman" w:hAnsi="Times New Roman"/>
          <w:sz w:val="14"/>
          <w:szCs w:val="14"/>
          <w:b w:val="1"/>
          <w:bCs w:val="1"/>
          <w:color w:val="auto"/>
        </w:rPr>
        <w:t>NNUAL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EETING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Stephen Brady</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Stephen Brady has served as our Chief Executive Officer and as a member of our Board since the closing of the Merger. Mr. Brady has served as a member of the board of directors of Atreca, Inc. since 2021. Prior to the Merger, Mr. Brady served as President and Chief Operating Officer of Legacy Tempest since September 2019. Before Tempest, from September 2013 until April 2019, Mr. Brady served in various leadership positions, most recently as Executive Vice President, Strategy and Finance, at Immune Design, Inc., a biopharmaceutical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company that was acquired by Merck in 2019. At Immune Design, Mr. Brady led the general and administrative functions at the company, including strategy, corporate development, finance and investor and public relations, and was instrumental in the company’s successful IPO, financings and eventual sale to Merck. Prior to Immune Design, he held roles of increasing responsibility in multiple biopharmaceutical companies, including as Vice President of Corporate Development at Proteolix, where he had primary responsibility for the company’s business development activities and sale to Onyx Pharmaceuticals. Mr. Brady received a B.A. in English from the University of Oregon, a J.D. from the University of the Pacific and an LL.M. from New York University School of Law. Mr. Brady’s role as our Chief Executive Officer, his business expertise and his prior leadership roles in biotechnology companies provides him with the qualifications and skills to serve as a member of our Board.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Michael Raab</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Michael Raab has served as a member and as Chairman of our Board since the closing of the Merger. Prior to the Merger, Mr. Raab served as a member and Chairman of the board of directors of Legacy Tempest since December 2018. Mr. Raab has served as Ardelyx Inc.’s President and Chief Executive Officer and as a member of the board of directors since March 2009. Before Ardelyx, he was a partner at New Enterprise Associates (NEA), one of the world’s largest and most successful venture capital firms, where he specialized in healthcare investments focusing on the biotechnology and pharmaceutical sectors. Mr. Raab has served as a member of the board of directors of Amicus Therapeutics, Inc. since 2004. Prior to joining NEA in 2002, Mr. Raab spent 15 years in commercial and operating leadership roles in the biotech and pharmaceutical industries. He was Senior Vice President, Therapeutics and General Manager of the renal division at Genzyme Corporation, a Sanofi company. In this position, he launched and oversaw the sales growth of sevelamer, the leading phosphate binder for the treatment of hyperphosphatemia, with over $1.0 billion in worldwide sales in 2013. Mr. Raab was also instrumental in the worldwide launch of Genzyme’s therapies for Gaucher disease, Ceredase and Cerezyme. Mr. Raab also spent two years with Genzyme’s diagnostic products and services division. Previous to Genzyme, he held business development and sales and marketing positions at Repligen and Bristol-Myers. Mr. Raab received his B.A. from DePauw University. Mr. Raab’s industry and investment experience qualifies him to serve as a member of our Board.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Ronit Simantov, M.D.</w:t>
      </w:r>
    </w:p>
    <w:p>
      <w:pPr>
        <w:spacing w:after="0" w:line="121" w:lineRule="exact"/>
        <w:rPr>
          <w:sz w:val="20"/>
          <w:szCs w:val="20"/>
          <w:color w:val="auto"/>
        </w:rPr>
      </w:pPr>
    </w:p>
    <w:p>
      <w:pPr>
        <w:ind w:left="120" w:right="120"/>
        <w:spacing w:after="0" w:line="269" w:lineRule="auto"/>
        <w:rPr>
          <w:sz w:val="20"/>
          <w:szCs w:val="20"/>
          <w:color w:val="auto"/>
        </w:rPr>
      </w:pPr>
      <w:r>
        <w:rPr>
          <w:rFonts w:ascii="Times New Roman" w:cs="Times New Roman" w:eastAsia="Times New Roman" w:hAnsi="Times New Roman"/>
          <w:sz w:val="17"/>
          <w:szCs w:val="17"/>
          <w:color w:val="auto"/>
        </w:rPr>
        <w:t>Ronit Simantov, M.D. has served as member of our Board since August 2021. Dr. Simantov has served as Chief Medical Officer of Gamida Cell Ltd. since July 2017 and has served as a member of the board of directors of Clovis Oncology, Inc. since 2021. Prior to joining Gamida Cell, Dr. Simantov served as Vice President, Oncology Global Medical Affairs at Pfizer Inc., where she was responsible for multiple oncology programs in various roles from 2011 through July 2017. Prior to Pfizer, Dr. Simantov served as Vice President of Clinical Research at OSI Pharmaceuticals, as Chief Medical Officer at CuraGen Corporation (acquired by Celldex) where she led development of small molecules and antibody-drug conjugates, and at Bayer HealthCare Pharmaceuticals, where she led the phase 3 study of Nexavar</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(sorafenib) resulting in the first approval of a tyrosine kinase inhibitor in renal cell carcinoma. Prior to joining industry, Dr. Simantov spent seven years on the academic faculty at Weill Medical College of Cornell University, where she directed the fellowship program and conducted angiogenesis and vascular biology research. She has authored over 40 peer-reviewed manuscripts. Dr. Simantov holds an M.D. from New York University School of Medicine and a B.A. from Johns Hopkins University. She completed a residency in internal medicine at New York Hospital Cornell Medical Center, and a fellowship in hematology and oncology at Weill Cornell Medicine. Dr. Simantov’s extensive clinical and scientific experience provides her with the qualifications and skills to serve as a member of our Board.</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IVERSITY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Diversity Matrix, below, provides the diversity statistics for our Board as of February 17, 2022:</w:t>
      </w:r>
    </w:p>
    <w:p>
      <w:pPr>
        <w:spacing w:after="0" w:line="39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8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w:t>
            </w:r>
          </w:p>
        </w:tc>
        <w:tc>
          <w:tcPr>
            <w:tcW w:w="56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48"/>
        </w:trPr>
        <w:tc>
          <w:tcPr>
            <w:tcW w:w="8140" w:type="dxa"/>
            <w:vAlign w:val="bottom"/>
          </w:tcPr>
          <w:p>
            <w:pPr>
              <w:spacing w:after="0"/>
              <w:rPr>
                <w:sz w:val="12"/>
                <w:szCs w:val="12"/>
                <w:color w:val="auto"/>
              </w:rPr>
            </w:pP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Male</w:t>
            </w:r>
          </w:p>
        </w:tc>
        <w:tc>
          <w:tcPr>
            <w:tcW w:w="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73"/>
        </w:trPr>
        <w:tc>
          <w:tcPr>
            <w:tcW w:w="8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196"/>
        </w:trPr>
        <w:tc>
          <w:tcPr>
            <w:tcW w:w="8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 Gender Identity</w:t>
            </w: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Directors</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Asian</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Hispanic or Latinx</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White</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LGBTQ+</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NDEPENDENCE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17"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color w:val="auto"/>
        </w:rPr>
        <w:t>As required under the Nasdaq Capital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listing standards, “independent” directors must comprise a majority of a listed company’s board of directors. In addition, applicable Nasdaq rules require that, subject to specified exceptions, each member of a listed company’s audit committee, compensation committee and nominating and corporate governance committee be independent within the meaning of applicable Nasdaq rules. Audit Committee members must also satisfy the independence criteria set forth in Rule 10A-3 under the Exchange Act.</w:t>
      </w:r>
    </w:p>
    <w:p>
      <w:pPr>
        <w:spacing w:after="0" w:line="180"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Our Board undertook a review of the independence of each director and considered whether any director has a material relationship with us that could compromise his or her ability to exercise independent judgment in carrying out his or her responsibilities. As a result of this review, our Board determined that all of our directors, other than Mr. Brady, our Chief Executive Officer, and Dr. Dubensky, our President, qualify as “independent” directors within the meaning of the Nasdaq rules. Accordingly, a majority of our directors are independent, as required under applicable Nasdaq rules. Our non-employee directors have been meeting, and we anticipate that they will continue to meet, in regularly scheduled executive sessions at which only non-employee directors are present.</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Prior to the completion of the Merger, the board of directors of Millendo determined that all of its directors qualified as “independent” directors within the meaning of the Nasdaq rule, other than Louis J. Arcudi III, Millendo’s Chief Executive Officer, and Julia C. Owens, Millendo’s Executive Chairman and former Chief Executive Officer.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TRUCTURE</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Our Corporate Governance Guidelines specify that our Board will select our Chief Executive Officer and Chairperson of the Board in the manner that it determines to be in the best interests of our stockholders and in accordance with any stockholder agreements. The Board will conduct an annual assessment of its leadership structure to determine that the leadership structure is the most appropriate for the Company at the time. The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Board anticipates that our Chief Executive Officer will serve on the Board. The Chairperson of the Board and Chief Executive Officer positions may be held by the same individual or separated as determined by the Board. The Board also anticipates that other members of our management, who can assist the Board in fulfilling its responsibilities based on their experience and role at Tempest, may serve on the Board as appropriate.</w:t>
      </w:r>
    </w:p>
    <w:p>
      <w:pPr>
        <w:spacing w:after="0" w:line="176" w:lineRule="exact"/>
        <w:rPr>
          <w:sz w:val="20"/>
          <w:szCs w:val="20"/>
          <w:color w:val="auto"/>
        </w:rPr>
      </w:pPr>
    </w:p>
    <w:p>
      <w:pPr>
        <w:jc w:val="both"/>
        <w:ind w:left="120" w:right="20"/>
        <w:spacing w:after="0" w:line="289" w:lineRule="auto"/>
        <w:rPr>
          <w:sz w:val="20"/>
          <w:szCs w:val="20"/>
          <w:color w:val="auto"/>
        </w:rPr>
      </w:pPr>
      <w:r>
        <w:rPr>
          <w:rFonts w:ascii="Times New Roman" w:cs="Times New Roman" w:eastAsia="Times New Roman" w:hAnsi="Times New Roman"/>
          <w:sz w:val="17"/>
          <w:szCs w:val="17"/>
          <w:color w:val="auto"/>
        </w:rPr>
        <w:t>Pursuant to its charter, the Nominating and Corporate Governance Committee periodically reviews this matter and make recommendations to the Board. The Nominating and Corporate Governance Committee has recommended, and the Board has determined, that the roles of Chief Executive Officer and chairperson of the Board should be separate. The role of chairperson is currently held by Michael Raab, an independent, non-employee director.</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OLE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VERSIGHT</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One of the Board’s key functions is informed oversight of our risk management process. In particular, our Board is responsible for monitoring and assessing strategic risk exposure, including a determination of the nature and level of risk appropriate for the Company. The Board does not have a standing risk management committee, but rather administers this oversight function directly through the Board as a whole, as well as through various Board standing committees that address risks inherent in their respective areas of oversight. Our Board and its committees consider specific risk topics, including risks associated with our strategic plan, business operations, capital structure, information technology, data privacy and cyber security. It is the responsibility of the committee chairs to report findings regarding material risk exposures to the Board as quickly as possible.</w:t>
      </w:r>
    </w:p>
    <w:p>
      <w:pPr>
        <w:spacing w:after="0" w:line="18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Our Audit Committee has the responsibility to consider and discuss with management and the auditors, as appropriate, our guidelines and policies with respect to financial risk management and financial risk assessment, including the Company’s major financial risk exposures and the steps taken by management to monitor and control these exposures. In addition, the Audit Committee reviews and discusses with management and the auditors, as appropriate, the Company’s guidelines and policies with respect to financial risk management and financial risk assessment, including the Company’s major litigation and risk exposures (including with respect to financial cybersecurity, data privacy and other information technology risks) and the steps taken by management to monitor and control these exposures. Our Compensation Committee assesses and monitors whether any of our compensation policies and programs has the potential to encourage excessive risk-taking, including risks related to our practices and policies of employee compensation as they relate to risk management and risk-taking incentives, to determine whether such compensation policies and practices are reasonably likely to have a material adverse effect on us, including whether our incentive compensation plans encourage excessive or inappropriate risk taking. Our Nominating and Corporate Governance Committee monitors the effectiveness of our corporate governance guidelines, including proxy advisory firm policies and recommendations. The Nominating and Corporate Governance Committee also oversees and reviews with management our major legal compliance risk exposures and the steps management has taken to monitor or mitigate such exposures, including our procedures and any related policies with respect to risk assessment and risk management.</w:t>
      </w:r>
    </w:p>
    <w:p>
      <w:pPr>
        <w:spacing w:after="0" w:line="187" w:lineRule="exact"/>
        <w:rPr>
          <w:sz w:val="20"/>
          <w:szCs w:val="20"/>
          <w:color w:val="auto"/>
        </w:rPr>
      </w:pPr>
    </w:p>
    <w:p>
      <w:pPr>
        <w:jc w:val="both"/>
        <w:ind w:left="120" w:right="120"/>
        <w:spacing w:after="0" w:line="258" w:lineRule="auto"/>
        <w:rPr>
          <w:sz w:val="20"/>
          <w:szCs w:val="20"/>
          <w:color w:val="auto"/>
        </w:rPr>
      </w:pPr>
      <w:r>
        <w:rPr>
          <w:rFonts w:ascii="Times New Roman" w:cs="Times New Roman" w:eastAsia="Times New Roman" w:hAnsi="Times New Roman"/>
          <w:sz w:val="18"/>
          <w:szCs w:val="18"/>
          <w:color w:val="auto"/>
        </w:rPr>
        <w:t>In connection with our reviews of the operations and corporate functions of our company, our Board addresses the primary risks associated with those operations and corporate functions. In addition, our Board reviews the risks associated with our company’s business strategies periodically throughout the year as part of its consideration of undertaking any such business strategies. While the Board and its committees oversee risk management strategy, management is responsible for implementing and supervising day-to-day risk management processes and reporting to the Board and its committees on such matters.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EETINGS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Board met seven times during the last fiscal year, inclusive of meetings held by our predecessor, Millendo. Each Board member attended 75% or more of the aggregate number of meetings of the Board and of the committees on which she or he served, held during the portion of the last fiscal year for which she or he was a director or committee member.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Our Board has established a standing Audit Committee, a Compensation Committee and a Nominating and Corporate Governance Committee. Our Board may establish other committees to facilitate the management of our business. Our Board has adopted a written charter for each of our committees, which are available to stockholders on our investor relations website at </w:t>
      </w:r>
      <w:r>
        <w:rPr>
          <w:rFonts w:ascii="Times New Roman" w:cs="Times New Roman" w:eastAsia="Times New Roman" w:hAnsi="Times New Roman"/>
          <w:sz w:val="18"/>
          <w:szCs w:val="18"/>
          <w:i w:val="1"/>
          <w:iCs w:val="1"/>
          <w:color w:val="auto"/>
        </w:rPr>
        <w:t>ir.tempesttx.com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following table provides membership and meeting information for the fiscal year ended December 31, 2021 for each of the standing committees of our Board:</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5480" w:type="dxa"/>
            <w:vAlign w:val="bottom"/>
            <w:vMerge w:val="restart"/>
          </w:tcPr>
          <w:p>
            <w:pPr>
              <w:jc w:val="center"/>
              <w:ind w:left="3768"/>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8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148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65"/>
        </w:trPr>
        <w:tc>
          <w:tcPr>
            <w:tcW w:w="380" w:type="dxa"/>
            <w:vAlign w:val="bottom"/>
            <w:tcBorders>
              <w:bottom w:val="single" w:sz="8" w:color="auto"/>
            </w:tcBorders>
            <w:vMerge w:val="continue"/>
          </w:tcPr>
          <w:p>
            <w:pPr>
              <w:spacing w:after="0"/>
              <w:rPr>
                <w:sz w:val="13"/>
                <w:szCs w:val="13"/>
                <w:color w:val="auto"/>
              </w:rPr>
            </w:pPr>
          </w:p>
        </w:tc>
        <w:tc>
          <w:tcPr>
            <w:tcW w:w="5480" w:type="dxa"/>
            <w:vAlign w:val="bottom"/>
          </w:tcPr>
          <w:p>
            <w:pPr>
              <w:jc w:val="center"/>
              <w:ind w:left="3768"/>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Committee</w:t>
            </w:r>
          </w:p>
        </w:tc>
        <w:tc>
          <w:tcPr>
            <w:tcW w:w="1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480" w:type="dxa"/>
            <w:vAlign w:val="bottom"/>
          </w:tcPr>
          <w:p>
            <w:pPr>
              <w:jc w:val="center"/>
              <w:ind w:left="408"/>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587184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Geoff Nichol</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Christine Pellizzari </w:t>
      </w:r>
      <w:r>
        <w:rPr>
          <w:sz w:val="1"/>
          <w:szCs w:val="1"/>
          <w:color w:val="auto"/>
        </w:rPr>
        <w:drawing>
          <wp:inline distT="0" distB="0" distL="0" distR="0">
            <wp:extent cx="85725" cy="1028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-104775</wp:posOffset>
            </wp:positionV>
            <wp:extent cx="5871845" cy="257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71845" cy="25717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Michael Raab†</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Ronit Simantov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Thomas Woiwode</w:t>
      </w:r>
    </w:p>
    <w:p>
      <w:pPr>
        <w:spacing w:after="0" w:line="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Stella Xu</w:t>
      </w: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-113030</wp:posOffset>
            </wp:positionV>
            <wp:extent cx="85725"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Carol G. Gallagher</w:t>
      </w: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-130175</wp:posOffset>
            </wp:positionV>
            <wp:extent cx="587184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John P. Howe, III</w:t>
      </w: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-113030</wp:posOffset>
            </wp:positionV>
            <wp:extent cx="85725"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-113030</wp:posOffset>
            </wp:positionV>
            <wp:extent cx="85725"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 xml:space="preserve">James M. Hindman </w:t>
      </w:r>
      <w:r>
        <w:rPr>
          <w:sz w:val="1"/>
          <w:szCs w:val="1"/>
          <w:color w:val="auto"/>
        </w:rPr>
        <w:drawing>
          <wp:inline distT="0" distB="0" distL="0" distR="0">
            <wp:extent cx="85725" cy="1028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Times New Roman" w:cs="Times New Roman" w:eastAsia="Times New Roman" w:hAnsi="Times New Roman"/>
          <w:sz w:val="15"/>
          <w:szCs w:val="15"/>
          <w:color w:val="auto"/>
        </w:rPr>
        <w:t xml:space="preserv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-130175</wp:posOffset>
            </wp:positionV>
            <wp:extent cx="587184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tbl>
      <w:tblPr>
        <w:tblLayout w:type="fixed"/>
        <w:tblInd w:w="1000" w:type="dxa"/>
        <w:tblCellMar>
          <w:top w:w="0" w:type="dxa"/>
          <w:left w:w="0" w:type="dxa"/>
          <w:bottom w:w="0" w:type="dxa"/>
          <w:right w:w="0" w:type="dxa"/>
        </w:tblCellMar>
      </w:tblPr>
      <w:tr>
        <w:trPr>
          <w:trHeight w:val="25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meetings in 2021</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85725"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17145</wp:posOffset>
            </wp:positionV>
            <wp:extent cx="85725"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85725"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Committee Member</w:t>
      </w:r>
    </w:p>
    <w:p>
      <w:pPr>
        <w:spacing w:after="0" w:line="9"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Board</w:t>
      </w:r>
    </w:p>
    <w:p>
      <w:pPr>
        <w:spacing w:after="0" w:line="9"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Xu’s service on the Audit Committee and Compensation Committee ended on January 5, 2022.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Resigned on June 25, 2021 upon closing of the Merger.</w:t>
      </w:r>
    </w:p>
    <w:p>
      <w:pPr>
        <w:spacing w:after="0" w:line="20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Each of the committees has authority to engage legal counsel or other experts or consultants, as it deems appropriate to carry out its responsibilities. Our Board and the former board of directors of Millendo have determined that each member of each standing committee meets the applicable Nasdaq and SEC rules and regulations regarding “independence” and each member is free of any relationship that would impair his or her individual exercise of independent judgment with regard to the company.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is a description of each committee of the Board.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Audit Committee is currently composed of three directors: Geoff Nichol, Christine Pellizzari, and Michael Raab, each of whom our Board has determined satisfies the independence requirements under Nasdaq listing standards and Rule 10A-3(b)(1) of the Exchange Act. The chair of the Audit Committee was Mr. Raab until Ms. Pellizzari’s appointment as Chair in April 2022. Our Board has determined that Ms. Pellizzari is an “audit committee financial expert” within the meaning of SEC regulations. Each member of the Audit Committee can read and understand fundamental financial statements in accordance with applicable requirements. In arriving at these determinations, our Board has examined each Audit Committee member’s scope of experience and the nature of their employment.</w:t>
      </w:r>
    </w:p>
    <w:p>
      <w:pPr>
        <w:spacing w:after="0" w:line="187"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the Board with respect to the corporate accounting and financial reporting processes, systems of internal control and financial statement audits,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to oversee the independent registered public accounting firm. Specific responsibilities of the Audit Committee include:</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corporate accounting and financial reporting processes;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the financial statements;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the interim and year-end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risk assessment and risk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internal quality control procedures, any material issues with such procedures and any steps taken to deal with such issues when required by applicable law;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19"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7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2021 with management of the Company. The Audit Committee has discussed with the independent registered public accounting firm the matters required to be discussed by the applicable requirements of the Public Company Accounting Oversight Board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consolidated financial statements be included in the Company’s Annual Report on Form 10-K for the fiscal year ended December 31, 2021.</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Michael Raab (Chair)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Geoff Nichol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Christine Pellizzari</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Compensation Committee is currently composed of two directors: Michael Raab and Thomas Woiwode, with Dr. Woiwode acting as the Chair of the Committee. The Board has determined that each member of the Compensation Committee is independent under the Nasdaq listing standards and a “non-employee director” as defined in Rule 16b-3 promulgated under the Exchange Act.</w:t>
      </w:r>
    </w:p>
    <w:p>
      <w:pPr>
        <w:spacing w:after="0" w:line="176"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primary purpose of the Compensation Committee is to discharge the responsibilities of the Board in overseeing the compensation policies, plans and programs and to review and determine the compensation to be paid to executive officers, directors and other senior management, as appropriate. Specific responsibilities of the Compensation Committee include:</w:t>
      </w:r>
    </w:p>
    <w:p>
      <w:pPr>
        <w:spacing w:after="0" w:line="81" w:lineRule="exact"/>
        <w:rPr>
          <w:sz w:val="20"/>
          <w:szCs w:val="20"/>
          <w:color w:val="auto"/>
        </w:rPr>
      </w:pPr>
    </w:p>
    <w:p>
      <w:pPr>
        <w:jc w:val="center"/>
        <w:ind w:left="5480" w:right="1180" w:hanging="4824"/>
        <w:spacing w:after="0" w:line="454" w:lineRule="auto"/>
        <w:tabs>
          <w:tab w:leader="none" w:pos="10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chief executive officer, other executive officers and senior management; -14-</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its approval the compensation to be paid to non-employee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our equity compensation plans and other benefit plans;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the executive officers and other senior management; and</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the employees, including the overall compensation philosophy.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Processes and Procedures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Compensation Committee generally meets at least two times annually and with greater frequency if necessary. The Compensation Committee also acts periodically by unanimous written consent in lieu of a formal meeting. The agenda for each meeting is usually developed by the Chair of the Compensation Committee, in consultation with management.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 or individual performance objectives.</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there is no requirement that any adviser be independent.</w:t>
      </w:r>
    </w:p>
    <w:p>
      <w:pPr>
        <w:spacing w:after="0" w:line="194"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six factors prescribed by the SEC and Nasdaq described above, the Compensation Committee engaged Pearl Meyer as compensation consultants. In addition, prior to the completion of the Merger, the compensation committee of Millendo engaged Aon Radford as Millendo’s compensation consultants. The compensation consultants were engaged to</w:t>
      </w:r>
      <w:r>
        <w:rPr>
          <w:rFonts w:ascii="Times New Roman" w:cs="Times New Roman" w:eastAsia="Times New Roman" w:hAnsi="Times New Roman"/>
          <w:sz w:val="18"/>
          <w:szCs w:val="18"/>
          <w:b w:val="1"/>
          <w:bCs w:val="1"/>
          <w:color w:val="auto"/>
        </w:rPr>
        <w:t>:</w:t>
      </w:r>
    </w:p>
    <w:p>
      <w:pPr>
        <w:spacing w:after="0" w:line="8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our existing compensation strategy and practices in supporting and reinforcing our long-term strategic goals; and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our compensation strategy and in developing and implementing an executive compensation program to execute that strategy.</w:t>
      </w:r>
    </w:p>
    <w:p>
      <w:pPr>
        <w:spacing w:after="0" w:line="162"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As part of its engagement, the compensation consultants were asked to develop a comparative group of companies and to perform analyses of competitive performance and compensation levels for that group. Pearl Meyer ultimately developed recommendations that were presented to the Compensation Committee for its consideration.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is currently composed of two directors: Geoff Nichol and Michael Raab. The Board has determined that each member of the Nominating and Corporate Governance Committee is independent under the Nasdaq listing standards.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 responsibilities of the nominating and corporate governance committee include:</w:t>
      </w:r>
    </w:p>
    <w:p>
      <w:pPr>
        <w:spacing w:after="0" w:line="131" w:lineRule="exact"/>
        <w:rPr>
          <w:sz w:val="20"/>
          <w:szCs w:val="20"/>
          <w:color w:val="auto"/>
        </w:rPr>
      </w:pPr>
    </w:p>
    <w:p>
      <w:pPr>
        <w:ind w:left="1080" w:right="9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evaluating candidates, including the nomination of incumbent directors for reelection and nominees recommended by stockholders, to serve on the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the composition and chairmanship of the committees of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corporate governance guidelines and matters;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performance of the board of directors, including its individual directors and committees.</w:t>
      </w:r>
    </w:p>
    <w:p>
      <w:pPr>
        <w:spacing w:after="0" w:line="225"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possessing relevant expertise upon which to be able to offer advice and guidance to management, having sufficient time to devote to the affairs of the Company, demonstrated excellence in his or her field, having the ability to exercise sound business judgment, be able to read and understand basic financial statements, having the highest personal integrity and ethics and having the commitment to rigorously represent the long-term interests of our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age, skills and other factors as it deems appropriate, given the current needs of the Board and the Company, to maintain a balance of knowledge, experience and capability.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that’s would enhance the composition of the Board. In the case of incumbent directors whose terms of office are set to expire, the Board reviews such directors’ overall service during their term, including the number of meetings attended, level of participation, quality of performance, and any other relationships and transactions that might impair such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In fiscal 2021, the Nominating and Corporate Governance Committee paid a fee to Heidrick &amp; Struggles to assist in the process of identifying or evaluating director candidates.</w:t>
      </w:r>
    </w:p>
    <w:p>
      <w:pPr>
        <w:spacing w:after="0" w:line="19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7000 Shoreline Court, Suite 275, South San Francisco, CA 94080 not less than 90 days nor more than 120 days prior to the anniversary of the preceding year’s annual meeting, subject to certain exceptions as set forth in our Bylaws. Submissions must include the specific information required in Article 1 of our Bylaws. For additional information about our director nomination requirements, please see our Bylaws.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OMMUNICATIONS WITH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Stockholders who wish to communicate with the Board may do so by sending written communications addressed to our Secretary at 7000 Shoreline Court, Suite 275, South San Francisco, CA 94080. These communications will be reviewed by the Secretary, who will determine whether the communication should be presented to the Board or director. The purpose of this screening is to allow the Board to avoid having to consider irrelevant or inappropriate communications (such as advertisements, solicitations and hostile communications). All communications directed to the Audit Committee in accordance with our Whistleblower Policy for Accounting and Auditing Matters that relate to questionable accounting or auditing matters involving the Company will be promptly and directly forwarded to the Audit Committee.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THICS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that applies to all officers, directors and employees. The Code of Business Conduct is available on our website at </w:t>
      </w:r>
      <w:r>
        <w:rPr>
          <w:rFonts w:ascii="Times New Roman" w:cs="Times New Roman" w:eastAsia="Times New Roman" w:hAnsi="Times New Roman"/>
          <w:sz w:val="18"/>
          <w:szCs w:val="18"/>
          <w:i w:val="1"/>
          <w:iCs w:val="1"/>
          <w:color w:val="auto"/>
        </w:rPr>
        <w:t>https://ir.tempesttx.com</w:t>
      </w:r>
      <w:r>
        <w:rPr>
          <w:rFonts w:ascii="Times New Roman" w:cs="Times New Roman" w:eastAsia="Times New Roman" w:hAnsi="Times New Roman"/>
          <w:sz w:val="18"/>
          <w:szCs w:val="18"/>
          <w:color w:val="auto"/>
        </w:rPr>
        <w:t>. The Board is responsible for overseeing the Code of Business Conduct and must approve any waivers of the Code of Business Conduct for employees, executive officers and directors. If we make any substantive amendments to the Code of Business Conduct or grant any waiver from a provision of the Code to any executive officer or director, we will promptly disclose the nature of the amendment or waiver on our website.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OVERNANCE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UIDELINES</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We have adopted Corporate Governance Guidelines to assure that the Board will have the necessary authority and practices in place to review and evaluate our business operations as needed and to make decisions that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may be viewed on our website at </w:t>
      </w:r>
      <w:r>
        <w:rPr>
          <w:rFonts w:ascii="Times New Roman" w:cs="Times New Roman" w:eastAsia="Times New Roman" w:hAnsi="Times New Roman"/>
          <w:sz w:val="18"/>
          <w:szCs w:val="18"/>
          <w:i w:val="1"/>
          <w:iCs w:val="1"/>
          <w:color w:val="auto"/>
        </w:rPr>
        <w:t>https://ir.tempesttx.com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EDGING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Pursuant to our Insider Trading Policy, our employees, directors and designated consultants are prohibited from engaging in short sales, transactions in publicly traded options, such as puts or calls, hedging transactions, margin accounts, pledges or other inherently speculative transactions with respect to our common stock at any time.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APPROVAL OF THE AMENDED AND RESTATED 2019 EQUITY INCENTIVE PLAN</w:t>
      </w:r>
    </w:p>
    <w:p>
      <w:pPr>
        <w:spacing w:after="0" w:line="20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Our Board is asking our stockholders to approve the Tempest Therapeutics Inc. Amended and Restated 2019 Equity Incentive Plan (as amended and restated, the “</w:t>
      </w:r>
      <w:r>
        <w:rPr>
          <w:rFonts w:ascii="Times New Roman" w:cs="Times New Roman" w:eastAsia="Times New Roman" w:hAnsi="Times New Roman"/>
          <w:sz w:val="18"/>
          <w:szCs w:val="18"/>
          <w:b w:val="1"/>
          <w:bCs w:val="1"/>
          <w:i w:val="1"/>
          <w:iCs w:val="1"/>
          <w:color w:val="auto"/>
        </w:rPr>
        <w:t>Amended 2019 EIP</w:t>
      </w:r>
      <w:r>
        <w:rPr>
          <w:rFonts w:ascii="Times New Roman" w:cs="Times New Roman" w:eastAsia="Times New Roman" w:hAnsi="Times New Roman"/>
          <w:sz w:val="18"/>
          <w:szCs w:val="18"/>
          <w:color w:val="auto"/>
        </w:rPr>
        <w:t>”) at the Annual Meeting, which amends and restates the Millendo Therapeutics, Inc. 2019 Equity Incentive Plan (the “</w:t>
      </w:r>
      <w:r>
        <w:rPr>
          <w:rFonts w:ascii="Times New Roman" w:cs="Times New Roman" w:eastAsia="Times New Roman" w:hAnsi="Times New Roman"/>
          <w:sz w:val="18"/>
          <w:szCs w:val="18"/>
          <w:b w:val="1"/>
          <w:bCs w:val="1"/>
          <w:i w:val="1"/>
          <w:iCs w:val="1"/>
          <w:color w:val="auto"/>
        </w:rPr>
        <w:t>2019 EIP</w:t>
      </w:r>
      <w:r>
        <w:rPr>
          <w:rFonts w:ascii="Times New Roman" w:cs="Times New Roman" w:eastAsia="Times New Roman" w:hAnsi="Times New Roman"/>
          <w:sz w:val="18"/>
          <w:szCs w:val="18"/>
          <w:color w:val="auto"/>
        </w:rPr>
        <w:t>”) and will be a successor to, and replacement of, the 2019 EIP. The 2019 EIP was approved by the Board on April 29, 2019 and by our stockholders on June 11, 2019.</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share numbers described below reflect capitalization adjustments pursuant to the terms of the Merger, and all such share numbers under the Amended 2019 EIP will also be subject to capitalization adjustments. The Amended 2019 EIP was approved by our Board on April 22, 2022, subject to approval by our stockholders, and contains the following material changes from the 2019 EIP:</w:t>
      </w:r>
    </w:p>
    <w:p>
      <w:pPr>
        <w:spacing w:after="0" w:line="8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shares available for issuance under the Amended 2019 EIP by 1,132,252 shares.</w:t>
      </w:r>
    </w:p>
    <w:p>
      <w:pPr>
        <w:spacing w:after="0" w:line="126" w:lineRule="exact"/>
        <w:rPr>
          <w:rFonts w:ascii="Times New Roman" w:cs="Times New Roman" w:eastAsia="Times New Roman" w:hAnsi="Times New Roman"/>
          <w:sz w:val="18"/>
          <w:szCs w:val="18"/>
          <w:color w:val="auto"/>
        </w:rPr>
      </w:pPr>
    </w:p>
    <w:p>
      <w:pPr>
        <w:ind w:left="1080" w:right="100" w:hanging="424"/>
        <w:spacing w:after="0" w:line="28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maximum number of awards that may be granted as incentive stock options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under the Amended 2019 EIP to a total of 5,000,000 shares.</w:t>
      </w:r>
    </w:p>
    <w:p>
      <w:pPr>
        <w:spacing w:after="0" w:line="64"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annual limitation on annual non-employee director compensation from $500,000 ($1,000,000 in the first year of service) to $750,000 ($1,000,000 in the first year of service), commencing in calendar year 2023.</w:t>
      </w:r>
    </w:p>
    <w:p>
      <w:pPr>
        <w:spacing w:after="0" w:line="67" w:lineRule="exact"/>
        <w:rPr>
          <w:rFonts w:ascii="Times New Roman" w:cs="Times New Roman" w:eastAsia="Times New Roman" w:hAnsi="Times New Roman"/>
          <w:sz w:val="18"/>
          <w:szCs w:val="18"/>
          <w:color w:val="auto"/>
        </w:rPr>
      </w:pPr>
    </w:p>
    <w:p>
      <w:pPr>
        <w:jc w:val="both"/>
        <w:ind w:left="1080" w:right="2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provision relating to treatment of awards in the event of a corporate transaction or change in control to reflect that if awards held by continuing employees are not assumed by a buyer, vesting shall accelerate (at target in the case of performance-based awards).</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Assuming the Amended 2019 EIP is approved by our stockholders, we will cease granting new awards under the Tempest, Inc. 2017 Equity Incentive Plan (the “</w:t>
      </w:r>
      <w:r>
        <w:rPr>
          <w:rFonts w:ascii="Times New Roman" w:cs="Times New Roman" w:eastAsia="Times New Roman" w:hAnsi="Times New Roman"/>
          <w:sz w:val="18"/>
          <w:szCs w:val="18"/>
          <w:b w:val="1"/>
          <w:bCs w:val="1"/>
          <w:i w:val="1"/>
          <w:iCs w:val="1"/>
          <w:color w:val="auto"/>
        </w:rPr>
        <w:t>2017 Plan</w:t>
      </w:r>
      <w:r>
        <w:rPr>
          <w:rFonts w:ascii="Times New Roman" w:cs="Times New Roman" w:eastAsia="Times New Roman" w:hAnsi="Times New Roman"/>
          <w:sz w:val="18"/>
          <w:szCs w:val="18"/>
          <w:color w:val="auto"/>
        </w:rPr>
        <w:t>”) with respect to which 224,752 shares remained available for issuance as of April 20, 2022. Awards previously granted under the 2017 Plan will remain outstanding in accordance with their terms.</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Approval of the Amended 2019 EIP will allow us to secure and retain the services of our employees and directors in a very competitive labor market, and provide long-term incentives that align the interests of our employees and directors with the interests of our stockholders.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April 20, 2022, a total of 168,846 shares of our common stock remained available for grant under the 2019 EIP.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HY</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SKING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 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PPROVE 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MENDED</w:t>
      </w:r>
      <w:r>
        <w:rPr>
          <w:rFonts w:ascii="Times New Roman" w:cs="Times New Roman" w:eastAsia="Times New Roman" w:hAnsi="Times New Roman"/>
          <w:sz w:val="18"/>
          <w:szCs w:val="18"/>
          <w:b w:val="1"/>
          <w:bCs w:val="1"/>
          <w:color w:val="auto"/>
        </w:rPr>
        <w:t xml:space="preserve"> 2019 EIP</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are seeking stockholder approval of the Amended 2019 EIP to increase the number of shares available for the grant of stock options, restricted stock unit awards and other awards, and to implement the other changes noted above, as these changes will enable us to maintain a competitive equity incentive program to retain existing employees and compete for key talent in a very competitive labor market. If the Amended 2019 EIP is approved by our stockholders, future awards will be granted under the Amended 2019 EIP rather than the 2019 EIP.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EQUESTED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this Proposal 2 is approved by our stockholders, then subject to adjustment for certain changes in our capitalization, the aggregate number of shares of our common stock that may be issued under the Amended 2019 EIP will be increased by 1,132,252 shares. In addition, we are also seeking an increase in the number of shares that may be granted subject to ISOs up to a maximum of 5,000,000 shares.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 APPROVAL</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If this Proposal 2 is approved by our stockholders, the Amended 2019 EIP will become effective as of the date of the Annual Meeting. In the event that our stockholders do not approve this Proposal 2, the Amended 2019 EIP will not become effective, and the 2019 EIP will continue to be effective in accordance with its terms.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HY</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OU</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HOULD</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OTE FOR 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MENDED</w:t>
      </w:r>
      <w:r>
        <w:rPr>
          <w:rFonts w:ascii="Times New Roman" w:cs="Times New Roman" w:eastAsia="Times New Roman" w:hAnsi="Times New Roman"/>
          <w:sz w:val="18"/>
          <w:szCs w:val="18"/>
          <w:b w:val="1"/>
          <w:bCs w:val="1"/>
          <w:color w:val="auto"/>
        </w:rPr>
        <w:t xml:space="preserve"> 2019 EIP</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Amended 2019 EIP Combines Compensation and Governance Best Practices</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Amended 2019 EIP includes provisions that are designed to protect our stockholders’ interests and to reflect corporate governance best practices including:</w:t>
      </w:r>
    </w:p>
    <w:p>
      <w:pPr>
        <w:spacing w:after="0" w:line="65" w:lineRule="exact"/>
        <w:rPr>
          <w:sz w:val="20"/>
          <w:szCs w:val="20"/>
          <w:color w:val="auto"/>
        </w:rPr>
      </w:pPr>
    </w:p>
    <w:p>
      <w:pPr>
        <w:ind w:left="1080" w:right="500" w:hanging="424"/>
        <w:spacing w:after="0" w:line="284"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Repricing is not allowed. </w:t>
      </w:r>
      <w:r>
        <w:rPr>
          <w:rFonts w:ascii="Times New Roman" w:cs="Times New Roman" w:eastAsia="Times New Roman" w:hAnsi="Times New Roman"/>
          <w:sz w:val="18"/>
          <w:szCs w:val="18"/>
          <w:color w:val="auto"/>
        </w:rPr>
        <w:t>The Amended 2019 EIP prohibits the repricing of stock options and stock appreciation rights without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approval.</w:t>
      </w:r>
    </w:p>
    <w:p>
      <w:pPr>
        <w:spacing w:after="0" w:line="63" w:lineRule="exact"/>
        <w:rPr>
          <w:rFonts w:ascii="Times New Roman" w:cs="Times New Roman" w:eastAsia="Times New Roman" w:hAnsi="Times New Roman"/>
          <w:sz w:val="18"/>
          <w:szCs w:val="18"/>
          <w:color w:val="auto"/>
        </w:rPr>
      </w:pPr>
    </w:p>
    <w:p>
      <w:pPr>
        <w:ind w:left="1080" w:right="80" w:hanging="424"/>
        <w:spacing w:after="0" w:line="267"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discounted stock options or stock appreciation rights. </w:t>
      </w:r>
      <w:r>
        <w:rPr>
          <w:rFonts w:ascii="Times New Roman" w:cs="Times New Roman" w:eastAsia="Times New Roman" w:hAnsi="Times New Roman"/>
          <w:sz w:val="18"/>
          <w:szCs w:val="18"/>
          <w:color w:val="auto"/>
        </w:rPr>
        <w:t>All stock options and stock appreciation rights granted under the Amended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EIP must have an exercise price equal to or greater than the fair market value of our common stock on the date the stock option or stock appreciation right is granted.</w:t>
      </w:r>
    </w:p>
    <w:p>
      <w:pPr>
        <w:spacing w:after="0" w:line="78"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 on non-employee director compensation. </w:t>
      </w:r>
      <w:r>
        <w:rPr>
          <w:rFonts w:ascii="Times New Roman" w:cs="Times New Roman" w:eastAsia="Times New Roman" w:hAnsi="Times New Roman"/>
          <w:sz w:val="18"/>
          <w:szCs w:val="18"/>
          <w:color w:val="auto"/>
        </w:rPr>
        <w:t>The maximum number of shares subject to stock awards granted during any calendar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with calendar year 2023) to any of our non-employee directors, taken together with any cash fees paid by us to such non-employee director during such calendar year, may not exceed $750,000 in total value, or $1,000,000 in total value with respect to the calendar year in which the individual is first appointed or elected to the Board (calculating the value of any such stock awards based on the grant date fair value of the stock awards for financial reporting purposes).</w:t>
      </w:r>
    </w:p>
    <w:p>
      <w:pPr>
        <w:spacing w:after="0" w:line="88"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Awards subject to forfeiture/clawback. </w:t>
      </w:r>
      <w:r>
        <w:rPr>
          <w:rFonts w:ascii="Times New Roman" w:cs="Times New Roman" w:eastAsia="Times New Roman" w:hAnsi="Times New Roman"/>
          <w:sz w:val="18"/>
          <w:szCs w:val="18"/>
          <w:color w:val="auto"/>
        </w:rPr>
        <w:t>Awards granted under the Amended 2019 EIP are subject to recoupment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any clawback policy that our Board may adopt in the future, and in addition, 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In addition, the Board may impose other clawback, recovery or recoupment provisions in an award agreement, including a reacquisition right in respect of previously acquired shares or other cash or property upon the occurrence of cause.</w:t>
      </w:r>
    </w:p>
    <w:p>
      <w:pPr>
        <w:spacing w:after="0" w:line="87"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liberal change in control definition. </w:t>
      </w:r>
      <w:r>
        <w:rPr>
          <w:rFonts w:ascii="Times New Roman" w:cs="Times New Roman" w:eastAsia="Times New Roman" w:hAnsi="Times New Roman"/>
          <w:sz w:val="18"/>
          <w:szCs w:val="18"/>
          <w:color w:val="auto"/>
        </w:rPr>
        <w:t>The change in control definition in the Amended 2019 EIP is not a “liberal” definition. A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transaction must actually occur in order for the change in control provisions in the Amended 2019 EIP to be triggered.</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VERHANG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certain additional information regarding our equity incentive program:</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6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April 20, 2022</w:t>
            </w: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shares of common stock subject to outstanding stock options</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1,076,560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exercise price of outstanding stock options</w:t>
            </w: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25.75</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term of outstanding stock options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shares of common stock subject to outstanding full value awards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shares of common stock available for grant under the 2019 EIP</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168,846</w:t>
            </w:r>
          </w:p>
        </w:tc>
      </w:tr>
      <w:tr>
        <w:trPr>
          <w:trHeight w:val="198"/>
        </w:trPr>
        <w:tc>
          <w:tcPr>
            <w:tcW w:w="6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number of shares of common stock available for grant under other equity incentive</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plans</w:t>
            </w:r>
            <w:r>
              <w:rPr>
                <w:rFonts w:ascii="Times New Roman" w:cs="Times New Roman" w:eastAsia="Times New Roman" w:hAnsi="Times New Roman"/>
                <w:sz w:val="15"/>
                <w:szCs w:val="15"/>
                <w:color w:val="auto"/>
              </w:rPr>
              <w:t>(1)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224,752</w:t>
            </w:r>
          </w:p>
        </w:tc>
      </w:tr>
      <w:tr>
        <w:trPr>
          <w:trHeight w:val="340"/>
        </w:trPr>
        <w:tc>
          <w:tcPr>
            <w:tcW w:w="6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6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April 20, 2022</w:t>
            </w: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shares of common stock outstanding</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7,173,094</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Per-share closing price of common stock as reported on the Nasdaq Capital Market</w:t>
            </w: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236855</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9" w:lineRule="exact"/>
        <w:rPr>
          <w:sz w:val="20"/>
          <w:szCs w:val="20"/>
          <w:color w:val="auto"/>
        </w:rPr>
      </w:pPr>
    </w:p>
    <w:p>
      <w:pPr>
        <w:ind w:left="540" w:hanging="424"/>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increase for which stockholder approval is being solicited includes 224,752 shares currently available for issuance under the 2017 Plan. If this proposal is approved, we will no longer grant new awards under the 2017 Plan. Existing awards under the 2017 Plan will remain outstanding in accordance with their terms.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ESCRIPTION OF 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MENDED</w:t>
      </w:r>
      <w:r>
        <w:rPr>
          <w:rFonts w:ascii="Times New Roman" w:cs="Times New Roman" w:eastAsia="Times New Roman" w:hAnsi="Times New Roman"/>
          <w:sz w:val="18"/>
          <w:szCs w:val="18"/>
          <w:b w:val="1"/>
          <w:bCs w:val="1"/>
          <w:color w:val="auto"/>
        </w:rPr>
        <w:t xml:space="preserve"> 2019 EIP</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 xml:space="preserve">A summary of the principal features of the Amended 2019 EIP follows below. The summary is qualified by the full text of the Amended 2019 EIP that is attached as </w:t>
      </w:r>
      <w:r>
        <w:rPr>
          <w:rFonts w:ascii="Times New Roman" w:cs="Times New Roman" w:eastAsia="Times New Roman" w:hAnsi="Times New Roman"/>
          <w:sz w:val="18"/>
          <w:szCs w:val="18"/>
          <w:b w:val="1"/>
          <w:bCs w:val="1"/>
          <w:i w:val="1"/>
          <w:iCs w:val="1"/>
          <w:color w:val="auto"/>
        </w:rPr>
        <w:t>Appendix A</w:t>
      </w:r>
      <w:r>
        <w:rPr>
          <w:rFonts w:ascii="Times New Roman" w:cs="Times New Roman" w:eastAsia="Times New Roman" w:hAnsi="Times New Roman"/>
          <w:sz w:val="18"/>
          <w:szCs w:val="18"/>
          <w:color w:val="auto"/>
        </w:rPr>
        <w:t xml:space="preserve"> to this proxy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Amended 2019 EIP is designed to secure and retain the services of our employees and directors, provide incentives for our employees and directors to exert maximum efforts for the success of our Company and its affiliates, and provide a means by which our employees and directors may be given an opportunity to benefit from increases in the value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Successor to Prior Plans</w:t>
      </w:r>
    </w:p>
    <w:p>
      <w:pPr>
        <w:spacing w:after="0" w:line="121"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The Amended 2019 EIP is intended to be the successor to the 2019 EIP. Assuming the Amended 2019 EIP is approved by our stockholders, we will cease granting new awards under the 2017 Plan with respect to which 224,752 shares remained available for issuance as of April 20, 2022. Awards previously granted under the 2017 Plan will remain outstanding in accordance with their terms.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Types of Awards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Amended 2019 EIP provides for the grant of ISOs, nonstatutory stock options, stock appreciation rights, restricted stock awards, restricted stock unit awards, performance stock awards, and other stock awards.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Shares Available for Awards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adjustment for certain changes in our capitalization, the aggregate number of shares of our common stock reserved for issuance under the Amended 2019 EIP will be 1,326,910 (not including shares added pursuant to the following sentence). In addition, the number of shares of our common stock reserved for issuance under the Amended 2019 EIP will automatically increase on January 1 of each year, for a period of 10 years, beginning on January 1, 2020, and continuing through January 1, 2029, by 4% of the total number of shares of our common stock outstanding on December 31 of the preceding calendar year, or a lesser number of shares as may be determined by our Board.</w:t>
      </w:r>
    </w:p>
    <w:p>
      <w:pPr>
        <w:spacing w:after="0" w:line="179"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The following shares of our common stock (collectively, the “</w:t>
      </w:r>
      <w:r>
        <w:rPr>
          <w:rFonts w:ascii="Times New Roman" w:cs="Times New Roman" w:eastAsia="Times New Roman" w:hAnsi="Times New Roman"/>
          <w:sz w:val="18"/>
          <w:szCs w:val="18"/>
          <w:b w:val="1"/>
          <w:bCs w:val="1"/>
          <w:i w:val="1"/>
          <w:iCs w:val="1"/>
          <w:color w:val="auto"/>
        </w:rPr>
        <w:t>Amended 2019 EIP Returning Shares</w:t>
      </w:r>
      <w:r>
        <w:rPr>
          <w:rFonts w:ascii="Times New Roman" w:cs="Times New Roman" w:eastAsia="Times New Roman" w:hAnsi="Times New Roman"/>
          <w:sz w:val="18"/>
          <w:szCs w:val="18"/>
          <w:color w:val="auto"/>
        </w:rPr>
        <w:t>”) will also become available again for issuance under the Amended 2019 EIP: (i) any shares subject to a stock award that are not issued because such stock award expires or otherwise terminates without all of the shares covered by such stock award having been issued; (ii) any shares subject to a stock award that are not issued because such stock award is settled in cash; (iii) any shares issued pursuant to a stock award that are forfeited back to or repurchased by us because of the failure to meet a contingency or condition required for the vesting of such shares; and (iv) any shares reacquired by us in satisfaction of tax withholding obligations on a stock award or as consideration for the exercise or purchase price of a stock award.</w:t>
      </w:r>
    </w:p>
    <w:p>
      <w:pPr>
        <w:spacing w:after="0" w:line="18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As of April 20, 2022, and assuming stockholders approve the proposed increase, the number of shares that will then be initially available for issuance (including shares added as a result of the automatic increase through and including January 1, 2022) will be 1,301,098.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21" w:lineRule="exact"/>
        <w:rPr>
          <w:sz w:val="20"/>
          <w:szCs w:val="20"/>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All of our (including our affiliates’) employees, consultants and non-employee directors are eligible to participate in the Amended 2019 EIP and may receive all types of awards other than ISOs. ISOs may be granted under the Amended 2019 EIP only to our (including our affiliates’) employees.</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April 20, 2022, we (including our affiliates) had 18 employees, 5 non-employee directors, and approximately 20 consultants.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Limit</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Under the Amended 2019 EIP, the maximum number of shares of our common stock subject to stock awards granted during any one calendar year, beginning with calendar year 2023, to any of our non-employee directors, taken together with any cash fees paid by us to such non-employee director during such calendar year will not exceed $750,000 in total value, or $1,000,000 with respect to the calendar year in which the individual is first appointed or elected to the Board (calculating the value of any such stock awards based on the grant date fair value of such stock awards for financial reporting purposes).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Amended 2019 EIP will be administered by our Board, which may in turn delegate authority to administer the Amended 2019 EIP to a committee. Our Board has delegated concurrent authority to administer the Amended 2019 EIP to our Compensation Committee, but may, at any time, revest in itself some or all of the power delegated to our Compensation Committee. Our Board and Compensation Committee are each considered to be a Plan Administrator for purposes of this Proposal 2.</w:t>
      </w:r>
    </w:p>
    <w:p>
      <w:pPr>
        <w:spacing w:after="0" w:line="180"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Subject to the terms of the Amended 2019 EIP, the Plan Administrator may determine the recipients, the types of awards to be granted, the number of shares of our common subject to or the cash value of awards, and the terms and conditions of awards granted under the Amended 2019 EIP, including the period of their exercisability and vesting. The Plan Administrator also has the authority to provide for accelerated exercisability and vesting of awards. Subject to the limitations set forth below, the Plan Administrator also determines the fair market value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applicable to a stock award and the exercise or strike price of stock options and stock appreciation rights granted under the Amended 2019 EIP.</w:t>
      </w:r>
    </w:p>
    <w:p>
      <w:pPr>
        <w:spacing w:after="0" w:line="225"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Plan Administrator may also delegate to one or more officers the authority to designate employees who are not officers to be recipients of certain stock awards and the number of shares of our common stock subject to such stock awards. Under any such delegation, the Plan Administrator will specify the total number of shares of our common stock that may be subject to the stock awards granted by such officer. The officer may not grant a stock award to himself or herself.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Repricing; Cancellation and Re-Grant of Stock Awards</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color w:val="auto"/>
        </w:rPr>
        <w:t xml:space="preserve">Under the Amended 2019 EIP, the Plan Administrator does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have the authority to reprice any outstanding stock option or stock appreciation right by reducing the exercise or strike price of the stock option or stock appreciation right or to cancel any outstanding stock option or stock appreciation right that has an exercise or strike price greater than the then-current fair market value of our common stock in exchange for cash or other stock awards without obtaining the approval of our stockholders. Such approval must be obtained within 12 months prior to such an event.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Stock options may be granted under the Amended 2019 EIP pursuant to stock option agreements. The Amended 2019 EIP permits the grant of stock options that are intended to qualify as ISOs and nonstatutory stock options (“</w:t>
      </w:r>
      <w:r>
        <w:rPr>
          <w:rFonts w:ascii="Times New Roman" w:cs="Times New Roman" w:eastAsia="Times New Roman" w:hAnsi="Times New Roman"/>
          <w:sz w:val="18"/>
          <w:szCs w:val="18"/>
          <w:b w:val="1"/>
          <w:bCs w:val="1"/>
          <w:i w:val="1"/>
          <w:iCs w:val="1"/>
          <w:color w:val="auto"/>
        </w:rPr>
        <w:t>NSOs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exercise price of a stock option granted under the Amended 2019 EIP may not be less than 100% of the fair market value of our common stock on the date of grant and, in some cases (see “</w:t>
      </w:r>
      <w:r>
        <w:rPr>
          <w:rFonts w:ascii="Times New Roman" w:cs="Times New Roman" w:eastAsia="Times New Roman" w:hAnsi="Times New Roman"/>
          <w:sz w:val="18"/>
          <w:szCs w:val="18"/>
          <w:i w:val="1"/>
          <w:iCs w:val="1"/>
          <w:color w:val="auto"/>
        </w:rPr>
        <w:t>Limitations on Incentive Stock Options</w:t>
      </w:r>
      <w:r>
        <w:rPr>
          <w:rFonts w:ascii="Times New Roman" w:cs="Times New Roman" w:eastAsia="Times New Roman" w:hAnsi="Times New Roman"/>
          <w:sz w:val="18"/>
          <w:szCs w:val="18"/>
          <w:color w:val="auto"/>
        </w:rPr>
        <w:t>” below), may not be less than 110% of such fair market value.</w:t>
      </w:r>
    </w:p>
    <w:p>
      <w:pPr>
        <w:spacing w:after="0" w:line="160" w:lineRule="exact"/>
        <w:rPr>
          <w:sz w:val="20"/>
          <w:szCs w:val="20"/>
          <w:color w:val="auto"/>
        </w:rPr>
      </w:pPr>
    </w:p>
    <w:p>
      <w:pPr>
        <w:ind w:left="120" w:right="480"/>
        <w:spacing w:after="0" w:line="284" w:lineRule="auto"/>
        <w:rPr>
          <w:sz w:val="20"/>
          <w:szCs w:val="20"/>
          <w:color w:val="auto"/>
        </w:rPr>
      </w:pPr>
      <w:r>
        <w:rPr>
          <w:rFonts w:ascii="Times New Roman" w:cs="Times New Roman" w:eastAsia="Times New Roman" w:hAnsi="Times New Roman"/>
          <w:sz w:val="18"/>
          <w:szCs w:val="18"/>
          <w:color w:val="auto"/>
        </w:rPr>
        <w:t>The term of stock options granted under the Amended 2019 EIP may not exceed ten years and, in some cases (see “</w:t>
      </w:r>
      <w:r>
        <w:rPr>
          <w:rFonts w:ascii="Times New Roman" w:cs="Times New Roman" w:eastAsia="Times New Roman" w:hAnsi="Times New Roman"/>
          <w:sz w:val="18"/>
          <w:szCs w:val="18"/>
          <w:i w:val="1"/>
          <w:iCs w:val="1"/>
          <w:color w:val="auto"/>
        </w:rPr>
        <w:t>Limitations on Incentive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below), may not exceed five years.</w:t>
      </w:r>
    </w:p>
    <w:p>
      <w:pPr>
        <w:spacing w:after="0" w:line="16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a participant’s stock option agreement or other written agreement with us or one of our affiliates, if a participant’s service relationship with us or any of our affiliates (referred to in this Proposal 2 as “continuous service”) terminates (other than for cause and other than upon the participant’s death or disability), the participant may exercise any vested stock options for up to three months following the participant’s termination of continuous service.</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a participant’s stock option agreement or other written agreement with us or one of our affiliates, if a participant’s continuous service terminates due to the participant’s disability or death (or the participant dies within a specified period, if any, following termination of continuous service), the participant, or his or her beneficiary, as applicable, may exercise any vested stock options for up to 12 months following the participant’s termination due to the participant’s disability or for up to 18 months following the participant’s death.</w:t>
      </w:r>
    </w:p>
    <w:p>
      <w:pPr>
        <w:spacing w:after="0" w:line="18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Except as explicitly provided otherwise in a participant’s stock option agreement or other written agreement with us or one of our affiliates, if a participant’s continuous service is terminated for cause (as defined in the Amended 2019 EIP), all stock options held by the participant will terminate upon the participant’s termination of continuous service and the participant will be prohibited from exercising any stock option from and after such termination date.</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 participant’s stock option agreement or other written agreement with us or one of our affiliates, the term of a stock option may be extended if the exercise of the stock option following the participant’s termination of continuous service (other than for cause and other than upon the participant’s death or disability) would be prohibited by applicable securities laws or if the sale of any common stock received upon exercise of the stock option following the participant’s termination of continuous service (other than for cause) would violate our insider trading policy. In no event, however, may a stock option be exercised after its original expiration date.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Acceptable forms of consideration for the purchase of our common stock pursuant to the exercise of a stock option under the Amended 2019 EIP will be determined by the Plan Administrator and may include payment: (i) by cash, check, bank draft or money order payable to us; (ii) pursuant to a program developed under Regulation T promulgated by the Federal Reserve Board; (iii) by delivery to us of shares of our common stock (either by actual delivery or attestation); (iv) by a net exercise arrangement (for NSOs only); or (v) in other legal consideration approved by the Plan Administrator.</w:t>
      </w:r>
    </w:p>
    <w:p>
      <w:pPr>
        <w:spacing w:after="0" w:line="16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Stock options granted under the Amended 2019 EIP may vest and become exercisable in cumulative increments, as determined by the Plan Administrator at the rate specified in the stock option agreement. Shares covered by different stock options granted under the Amended 2019 EIP may be subject to different vesting schedules as the Plan Administrator may determine.</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Plan Administrator may impose limitations on the transferability of stock options granted under the Amended 2019 EIP in its discretion. Generally, a participant may not transfer a stock option granted under the Amended 2019 EIP other than by will or the laws of descent and distribution or, subject to approval by the Plan Administrator, pursuant to a domestic relations order or an official marital settlement agreement. However, the Plan Administrator may permit transfer of a stock option in a manner that is not prohibited by applicable tax and securities laws. In addition, subject to approval by the Plan Administrator, a participant may designate a beneficiary who may exercise the stock option following the participant’s death. Notwithstanding the foregoing, no option may be transferred to any financial institution without prior stockholder approval.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Incentive Stock Options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aggregate fair market value, determined at the time of grant, of shares of our common stock with respect to ISOs that are exercisable for the first time by a participant during any calendar year under all of our stock plans may not exceed $100,000. The stock options or portions of stock options that exceed this limit or otherwise fail to qualify as ISOs are treated as NSOs. No ISO may be granted to any person who, at the time of grant, owns or is deemed to own stock possessing more than 10% of our total combined voting power or that of any affiliate unless the exercise price of the ISO is at least 110% of the fair market value of our common stock on the date of grant, and the term of the ISO does exceed five years from the date of grant. Subject to adjustment for certain changes in our capitalization, the aggregate maximum number of shares of our common stock that may be issued pursuant to the exercise of ISOs under the Amended 2019 EIP is 5,000,000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Stock appreciation rights may be granted under the Amended 2019 EIP pursuant to stock appreciation right agreements. Each stock appreciation right is denominated in common stock share equivalents. The strike price of each stock appreciation right will be determined by the Plan Administrator, but will in no event be less than 100% of the fair market value of our common stock on the date of grant. The Plan Administrator may also impose restrictions or conditions upon the vesting of stock appreciation rights that it deems appropriate. The appreciation distribution payable upon exercise of a stock appreciation right may be paid in shares of our common stock, in cash, in a combination of cash and stock, or in any other form of consideration determined by the Plan Administrator and set forth in the stock appreciation right agreement. Stock appreciation rights will be subject to the same conditions upon termination of continuous service and restrictions on transfer as stock options under the Amended 2019 EIP.</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21"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Restricted stock awards may be granted under the Amended 2019 EIP pursuant to restricted stock award agreements. A restricted stock award may be granted in consideration for cash, check, bank draft or money order payable to us, the participant’s services performed for us or any of our affiliates, or any other form of legal consideration acceptable to the Plan Administrator. Shares of our common stock acquired under a restricted stock award may be subject to forfeiture to or repurchase by us in accordance with a vesting schedule to be determined by the Plan Administrator. Rights to acquire shares of our common stock under a restricted stock award may be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 xml:space="preserve">transferred only upon such terms and conditions as are set forth in the restricted stock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restricted stock award may be transferred to any financial institution without prior stockholder approval. Upon a participant’s termination of continuous service for any reason, any shares subject to restricted stock awards held by the participant that have not vested as of such termination date may be forfeited to or repurchased by 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Restricted stock unit awards may be granted under the Amended 2019 EIP pursuant to restricted stock unit award agreements. Payment of any purchase price may be made in any form of legal consideration acceptable to the Plan Administrator. A restricted stock unit award may be settled by the delivery of shares of our common stock, in cash, in a combination of cash and stock, or in any other form of consideration determined by the Plan Administrator and set forth in the restricted stock unit award agreement. Restricted stock unit awards may be subject to vesting in accordance with a vesting schedule to be determined by the Plan Administrator. Except as otherwise provided in a participant’s restricted stock unit award agreement or other written agreement with us or one of our affiliates, restricted stock units that have not vested will be forfeited upon the participant’s termination of continuous service for any reason.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Performance Stock Awards</w:t>
      </w:r>
    </w:p>
    <w:p>
      <w:pPr>
        <w:spacing w:after="0" w:line="121" w:lineRule="exact"/>
        <w:rPr>
          <w:sz w:val="20"/>
          <w:szCs w:val="20"/>
          <w:color w:val="auto"/>
        </w:rPr>
      </w:pPr>
    </w:p>
    <w:p>
      <w:pPr>
        <w:ind w:left="120" w:right="280"/>
        <w:spacing w:after="0" w:line="256" w:lineRule="auto"/>
        <w:rPr>
          <w:sz w:val="20"/>
          <w:szCs w:val="20"/>
          <w:color w:val="auto"/>
        </w:rPr>
      </w:pPr>
      <w:r>
        <w:rPr>
          <w:rFonts w:ascii="Times New Roman" w:cs="Times New Roman" w:eastAsia="Times New Roman" w:hAnsi="Times New Roman"/>
          <w:sz w:val="18"/>
          <w:szCs w:val="18"/>
          <w:color w:val="auto"/>
        </w:rPr>
        <w:t>A performance stock award is a stock award that is payable (including that may be granted, may vest, or may be exercised) contingent upon the attainment of pre-determined performance goals during a performance period. A performance stock award may require the completion of a specified period of continuous service. The length of any performance period, the performance goals to be achieved during the performance period, and the measure of whether and to what degree such performance goals have been attained will be determined by the Plan Administrator. In addition, to the extent permitted by applicable law and the performance stock award agreement, the Plan Administrator may determine that cash may be used in payment of performance stock awards.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Stock Awards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Other forms of stock awards valued in whole or in part by reference to, or otherwise based on, our common stock may be granted either alone or in addition to other stock awards under the Amended 2019 EIP. Subject to the terms of the Amended 2019 EIP, the Plan Administrator will have sole and complete authority to determine the persons to whom and the time or times at which such other stock awards will be granted, the number of shares of our common stock to be granted and all other terms and conditions of such other stock awards.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Awards granted under the Amended 2019 EIP will be subject to recoupment in accordance with any clawback policy that our Board may adopt in the future, and with any other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In addition, the Plan Administrator may impose other clawback, recovery or recoupment provisions in an award agreement, including a reacquisition right in respect of previously acquired shares or other cash or property upon the occurrence of cause.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to Capital Structure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the event of certain capitalization adjustments, the Plan Administrator will appropriately adjust: (i) the class(es) and maximum number of securities subject to the Amended 2019 EIP; (ii) the class(es) and maximum number of securities that may be issued pursuant to the exercise of ISOs; (iii) the class(es) and number of securities and price per share of stock subject to outstanding stock awards; and (iv) the class(es) of securities by which the share reserve is to increase automatically each year.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Transaction and Change in Control</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the event of a corporate transaction (as defined in the Amended 2019 EIP and described below) or a change in control (as defined in the Amended 2019 EIP and described below), the Plan Administrator may take one or more of the following actions with respect to stock awards, contingent upon the closing or consummation of the corporate transaction, unless otherwise provided in the instrument evidencing the stock award, in any other written agreement between us or one of our affiliates and the participant or in our director compensation policy, or unless otherwise provided by the Plan Administrator at the time of grant of the stock award. For purposes of this Proposal 2, the term “transaction” will mean such corporate transaction or change in control:</w:t>
      </w:r>
    </w:p>
    <w:p>
      <w:pPr>
        <w:spacing w:after="0" w:line="93" w:lineRule="exact"/>
        <w:rPr>
          <w:sz w:val="20"/>
          <w:szCs w:val="20"/>
          <w:color w:val="auto"/>
        </w:rPr>
      </w:pPr>
    </w:p>
    <w:p>
      <w:pPr>
        <w:ind w:left="1080" w:right="14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surviving or acquiring corporation (or its parent company) to assume or continue the stock award or to substitute a similar stock award for the stock award (including an award to acquire the same consideration paid to our stockholders pursuant to the transaction);</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assignment of any reacquisition or repurchase rights held by us in respect of our common stock issued pursuant to the stock award to the surviving or acquiring corporation (or its parent company);</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(and, if applicable, the exercisability) of the stock award to a date prior to the effective time of the transaction as determined by the Plan Administrator (or, if the Plan Administrator does not determine such a date, to the date that is five days prior to the effective date of the transaction), with the stock award terminating if not exercised (if applicable) at or prior to the effective time of the transaction;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lapse of any reacquisition or repurchase rights held by us with respect to the stock award;</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arrange for the cancellation of the stock award, to the extent not vested or not exercised prior to the effective time of the transaction, in exchange for such cash consideration, if any, as the Plan Administrator may consider appropriate;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arrange for the cancellation of the stock award, to the extent not vested or not exercised prior to the effective time of the corporate transaction, in exchange for a payment, in such form as may be determined by the Plan Administrator equal to the excess, if any, of (i) the value of the property the participant would have received upon the exercise of the stock award immediately prior to the effective time of the transaction, over (ii) any exercise price payable in connection with such exercise, provided that payments may be delayed to the same extent that payment of consideration to the holders of our common stock is delayed as a result of escrows, earn outs, holdbacks or any other contingencies.</w:t>
      </w:r>
    </w:p>
    <w:p>
      <w:pPr>
        <w:spacing w:after="0" w:line="18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the event of a corporate transaction in which the surviving corporation or acquiring corporation (or its parent company) does not assume or continue outstanding Stock Awards or substitute similar awards for the outstanding awards, then with respect to awards that have not been assumed, continued or substituted and that are held by participants whose continuous service has not terminated prior to the effective time of the corporate transaction the vesting and (if applicable) exercisability of such awards will be accelerated in full to a date prior to the effective time of the corporate transaction (contingent upon the effectiveness of the corporate transaction) as the board of directors determines and the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Performance-based awards will accelerate at 100% of the target level upon the occurrence of the corporate transaction.</w:t>
      </w:r>
    </w:p>
    <w:p>
      <w:pPr>
        <w:spacing w:after="0" w:line="192"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The Plan Administrator is not required to take the same action with respect to all stock awards or portions of stock awards or with respect to all participants. The Plan Administrator may take different actions with respect to the vested and unvested portions of a stock award.</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Outstanding awards under the Amended 2019 EIP and any Prior Plan may be subject to additional acceleration of vesting and exercisability upon or after a change in control as may be provided in the participant’s award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agreement, in any other written agreement with us or one of our affiliates, or in our director compensation policy, but in the absence of such provision, no such acceleration will occur.</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For purposes of the Amended 2019 EIP, a corporate transaction generally will be deemed to occur in the event of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the transaction are converted or exchanged into other property by virtue of the transaction.</w:t>
      </w:r>
    </w:p>
    <w:p>
      <w:pPr>
        <w:spacing w:after="0" w:line="183"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For purposes of the Amended 2019 EIP, a change in control generally will be deemed to occur in the event: (i) a person, entity or group acquires, directly or indirectly, our securities representing more than 50% of the combined voting power of our then outstanding securities, other than by virtue of a merger, consolidation, or similar transaction; (ii) there is consummated a merger, consolidation, or similar transaction and, immediately after the consummation of such transaction, our stockholders immediately prior thereto do not own, directly or indirectly, more than 50% of the combined outstanding voting power of the surviving entity or the parent of the surviving entity in substantially the same proportions as their ownership of our outstanding voting securities immediately prior to such transaction; (iii) there is consummated a sale or other disposition of all or substantially all of our consolidated assets, other than a sale or other disposition to an entity in which more than 50% of the entity’s combined voting power is owned by our stockholders in substantially the same proportions as their ownership of our outstanding voting securities immediately prior to such sale or other disposition; (iv) our stockholders or our Board approve a plan of complete dissolution or liquidation, or a complete dissolution or liquidation will otherwise occur, except for a liquidation into a parent corporation; or (v) over a period of 12 months or less, a majority of our Board becomes comprised of individuals whose nomination, appointment, or election was not approved by a majority of the Board members or their approved successors.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 Amendments and Termination</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Board (or a committee of one or more directors delegated by the Board) will have the authority to amend or terminate the Amended 2019 EIP at any time. However, except as otherwise provided in the Amended 2019 EIP or an award agreement, no amendment or termination of the Amended 2019 EIP may materially impair a participant’s rights under his or her outstanding awards without the participant’s consent.</w:t>
      </w:r>
    </w:p>
    <w:p>
      <w:pPr>
        <w:spacing w:after="0" w:line="176"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We will obtain stockholder approval of any amendment to the Amended 2019 EIP as required by applicable law and listing requirements. No incentive stock options may be granted under the Amended 2019 EIP after the tenth anniversary of the date the Amended 2019 EIP was adopted by the Board.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w:t>
      </w:r>
      <w:r>
        <w:rPr>
          <w:rFonts w:ascii="Times New Roman" w:cs="Times New Roman" w:eastAsia="Times New Roman" w:hAnsi="Times New Roman"/>
          <w:sz w:val="14"/>
          <w:szCs w:val="14"/>
          <w:b w:val="1"/>
          <w:bCs w:val="1"/>
          <w:color w:val="auto"/>
        </w:rPr>
        <w:t>EDERAL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NCOME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ONSEQUENCES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principal United States federal income tax consequences to participants and us with respect to participation in the Amended 2019 EIP.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Amended 2019 EIP. The Amended 2019 EIP is not qualified under the provisions of Section 401(a)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is not subject to any of the provisions of the Employee Retirement Income Security Act of 1974. Our ability to realize the benefit of any tax deductions described below depends on our generation of taxable income as well as the requirement of reasonableness, the provisions of Section 162(m) of the Code and the satisfaction of our tax reporting obligations.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Nonstatutory Stock Options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Generally, there is no taxation upon the grant of an NSO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their fair market value on the date of exercise of the stock option, and the participant’s capital gain holding period for those shares will begin on that date.</w:t>
      </w:r>
    </w:p>
    <w:p>
      <w:pPr>
        <w:spacing w:after="0" w:line="183"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our tax reporting obligation, we will generally be entitled to a tax deduction equal to the taxable ordinary income realized by the participant.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Incentive Stock Options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Amended 2019 EIP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w:t>
      </w:r>
    </w:p>
    <w:p>
      <w:pPr>
        <w:spacing w:after="0" w:line="18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w:t>
      </w:r>
    </w:p>
    <w:p>
      <w:pPr>
        <w:spacing w:after="0" w:line="18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w:t>
      </w:r>
    </w:p>
    <w:p>
      <w:pPr>
        <w:spacing w:after="0" w:line="18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subject to the requirement of reasonableness and the provisions of Section 162(m) of the Code, and provided that either the employee includes that amount in income or we timely satisfy our reporting requirements with respect to that amount.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Generally, the recipient of a restricted stock award will recognize ordinary income at the time the stock is received equal to the excess, if any, of the fair market value of the stock received over any amount paid by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stock award, to recognize ordinary income, as of the date the recipient receives the award, equal to the excess, if any, of the fair market value of the stock on the date the award is granted over any amount paid by the recipient for the stock.</w:t>
      </w:r>
    </w:p>
    <w:p>
      <w:pPr>
        <w:spacing w:after="0" w:line="187"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generally be entitled to a tax deduction equal to the taxable ordinary income realized by the recipient of the restricted stock award.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Generally, the recipient of a restricted stock unit award structured to comply with the requirements of Section 409A of the Code or an exemption to Section 409A of the Code will recognize ordinary income at the time the stock is delivered equal to the excess, if any, of the fair market value of the stock received over any amount paid by the recipient in exchange for the stock. To comply with the requirements of Section 409A of the Code, the stock subject to a restricted stock unit award may generally only be delivered upon one of the following events: a fixed calendar date (or dates), separation from service, death, disability or a change in control. If delivery occurs on another date, unless the restricted stock unit award otherwise complies with or qualifies for an exemption to the requirements of Section 409A of the Code, in addition to the tax treatment described above, the recipient will owe an additional 20% federal tax and interest on any taxes owed.</w:t>
      </w:r>
    </w:p>
    <w:p>
      <w:pPr>
        <w:spacing w:after="0" w:line="18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from a restricted stock unit award will be the amount paid for such shares plus any ordinary income recognized when the stock is delivered.</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our tax reporting obligation, we will generally be entitled to a tax deduction equal to the taxable ordinary income realized by the recipient of the restricted stock unit award.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Generally, if a stock appreciation right is granted with an exercise price equal to the fair market value of the underlying stock on the grant date, the recipient will recognize ordinary income equal to the fair market value of the stock or cash received upon such exercise. Subject to the requirement of reasonableness, the provisions of Section 162(m) of the Code, and the satisfaction of our tax reporting obligation, we will generally be entitled to a tax deduction equal to the taxable ordinary income realized by the recipient of the stock appreciation right.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Section 162(m) Limitations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Section 162(m) of the Code disallows a deduction to any publicly held corporation and its affiliates for certain compensation paid to “covered employees” in a taxable year to the extent that compensation paid to a covered employee exceeds $1 million. As a result, compensation (including compensation pursuant to awards granted under the Amended 2019 EIP) paid to any of our “covered employees” under Section 162(m) of the Code in excess of $1 million per taxable year generally will not be deductible.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Approval of French Sub-Plans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Amended 2019 EIP provides that the Board has the authority, in its sole discretion, to adopt any local country plans as sub-plans to the Amended 2019 EIP as may be deemed necessary or advisable to comply with local laws or regulations, and to design any award to satisfy specific requirements of obtaining a tax benefit. The French Sub-Plans do not increase the number of shares otherwise available for issuance under the Amended 2019 EIP or modify the group of eligible participants under the Amended 2019 EIP.</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For France, there is a specific income tax and social tax regime of French tax-qualified restricted stock units and French tax-qualified options. Foreign companies, including U.S. companies, have the possibility to grant French-qualified restricted stock units and French-qualified options, which may provide for more favorable income tax and social tax treatment for both French employers and their employees than the current non-qualified restricted stock unit awards granted under the Prior Plans.</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 xml:space="preserve">In this context, the French Sub-Plans, attached to the Amended 2019 EIP as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Appendix II</w:t>
      </w:r>
      <w:r>
        <w:rPr>
          <w:rFonts w:ascii="Times New Roman" w:cs="Times New Roman" w:eastAsia="Times New Roman" w:hAnsi="Times New Roman"/>
          <w:sz w:val="18"/>
          <w:szCs w:val="18"/>
          <w:color w:val="auto"/>
        </w:rPr>
        <w:t>, are designed to permit the grant of French-qualified restricted stock units and French-qualified options. In addition to the approval of the Board or the Compensation Committee, French law requires that the French Sub-Plans must be authorized by stockholders at a meeting in order to realize potential tax benefits to employers and employees in France. Stockholder approval of the Amended 2019 EIP, including the French Sub-Plans, is being requested, in part, in order to enable the Board or the Compensation Committee to grant French-qualified restricted stock units and French-qualified options under French law. The Board or Compensation Committee will not, however, be obligated to grant French-qualified restricted stock units or French-qualified options and may choose, at its discretion, to grant restricted stock units or options that are not considered French-qualified.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ENEFITS UNDER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MENDED</w:t>
      </w:r>
      <w:r>
        <w:rPr>
          <w:rFonts w:ascii="Times New Roman" w:cs="Times New Roman" w:eastAsia="Times New Roman" w:hAnsi="Times New Roman"/>
          <w:sz w:val="18"/>
          <w:szCs w:val="18"/>
          <w:b w:val="1"/>
          <w:bCs w:val="1"/>
          <w:color w:val="auto"/>
        </w:rPr>
        <w:t xml:space="preserve"> 2019 EIP</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each of the individuals and various groups indicated, the total number of options to acquire our common stock that have granted under the 2019 EIP as of April 20, 2022.</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100" w:type="dxa"/>
            <w:vAlign w:val="bottom"/>
            <w:gridSpan w:val="3"/>
          </w:tcPr>
          <w:p>
            <w:pPr>
              <w:ind w:left="5120"/>
              <w:spacing w:after="0"/>
              <w:rPr>
                <w:sz w:val="20"/>
                <w:szCs w:val="20"/>
                <w:color w:val="auto"/>
              </w:rPr>
            </w:pPr>
            <w:r>
              <w:rPr>
                <w:rFonts w:ascii="Times New Roman" w:cs="Times New Roman" w:eastAsia="Times New Roman" w:hAnsi="Times New Roman"/>
                <w:sz w:val="14"/>
                <w:szCs w:val="14"/>
                <w:b w:val="1"/>
                <w:bCs w:val="1"/>
                <w:color w:val="auto"/>
              </w:rPr>
              <w:t>2019 EIP</w:t>
            </w:r>
            <w:r>
              <w:rPr>
                <w:rFonts w:ascii="Times New Roman" w:cs="Times New Roman" w:eastAsia="Times New Roman" w:hAnsi="Times New Roman"/>
                <w:sz w:val="12"/>
                <w:szCs w:val="12"/>
                <w:b w:val="1"/>
                <w:bCs w:val="1"/>
                <w:color w:val="auto"/>
              </w:rPr>
              <w:t>(1)</w:t>
            </w: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9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260" w:type="dxa"/>
            <w:vAlign w:val="bottom"/>
            <w:gridSpan w:val="2"/>
            <w:vMerge w:val="continue"/>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9100" w:type="dxa"/>
            <w:vAlign w:val="bottom"/>
            <w:gridSpan w:val="3"/>
            <w:vMerge w:val="continue"/>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91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Stephen Brady, </w:t>
            </w:r>
            <w:r>
              <w:rPr>
                <w:rFonts w:ascii="Times New Roman" w:cs="Times New Roman" w:eastAsia="Times New Roman" w:hAnsi="Times New Roman"/>
                <w:sz w:val="18"/>
                <w:szCs w:val="18"/>
                <w:i w:val="1"/>
                <w:iCs w:val="1"/>
                <w:color w:val="auto"/>
              </w:rPr>
              <w:t>Chief Executive Officer</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Thomas Dubensky, </w:t>
            </w:r>
            <w:r>
              <w:rPr>
                <w:rFonts w:ascii="Times New Roman" w:cs="Times New Roman" w:eastAsia="Times New Roman" w:hAnsi="Times New Roman"/>
                <w:sz w:val="18"/>
                <w:szCs w:val="18"/>
                <w:i w:val="1"/>
                <w:iCs w:val="1"/>
                <w:color w:val="auto"/>
              </w:rPr>
              <w:t>President</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53,100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9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Samuel Whiting, </w:t>
            </w:r>
            <w:r>
              <w:rPr>
                <w:rFonts w:ascii="Times New Roman" w:cs="Times New Roman" w:eastAsia="Times New Roman" w:hAnsi="Times New Roman"/>
                <w:sz w:val="18"/>
                <w:szCs w:val="18"/>
                <w:i w:val="1"/>
                <w:iCs w:val="1"/>
                <w:color w:val="auto"/>
              </w:rPr>
              <w:t>Chief Medical Officer</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Julia C. Owens, </w:t>
            </w:r>
            <w:r>
              <w:rPr>
                <w:rFonts w:ascii="Times New Roman" w:cs="Times New Roman" w:eastAsia="Times New Roman" w:hAnsi="Times New Roman"/>
                <w:sz w:val="18"/>
                <w:szCs w:val="18"/>
                <w:i w:val="1"/>
                <w:iCs w:val="1"/>
                <w:color w:val="auto"/>
              </w:rPr>
              <w:t>Former Chief Executive Officer</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20,400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16"/>
        </w:trPr>
        <w:tc>
          <w:tcPr>
            <w:tcW w:w="9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Louis Arcudi III, </w:t>
            </w:r>
            <w:r>
              <w:rPr>
                <w:rFonts w:ascii="Times New Roman" w:cs="Times New Roman" w:eastAsia="Times New Roman" w:hAnsi="Times New Roman"/>
                <w:sz w:val="18"/>
                <w:szCs w:val="18"/>
                <w:i w:val="1"/>
                <w:iCs w:val="1"/>
                <w:color w:val="auto"/>
              </w:rPr>
              <w:t>Former Chief Executive Officer</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31,998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30.75</w:t>
            </w:r>
          </w:p>
        </w:tc>
        <w:tc>
          <w:tcPr>
            <w:tcW w:w="0" w:type="dxa"/>
            <w:vAlign w:val="bottom"/>
          </w:tcPr>
          <w:p>
            <w:pPr>
              <w:spacing w:after="0"/>
              <w:rPr>
                <w:sz w:val="1"/>
                <w:szCs w:val="1"/>
                <w:color w:val="auto"/>
              </w:rPr>
            </w:pPr>
          </w:p>
        </w:tc>
      </w:tr>
      <w:tr>
        <w:trPr>
          <w:trHeight w:val="216"/>
        </w:trPr>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176,600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9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employees, including all current officers who are not executive officers, as a group</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162,943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109.12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236855</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9"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This table does not include awards granted under our 2017 Plan.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EW</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ENEFITS UNDER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MENDED</w:t>
      </w:r>
      <w:r>
        <w:rPr>
          <w:rFonts w:ascii="Times New Roman" w:cs="Times New Roman" w:eastAsia="Times New Roman" w:hAnsi="Times New Roman"/>
          <w:sz w:val="18"/>
          <w:szCs w:val="18"/>
          <w:b w:val="1"/>
          <w:bCs w:val="1"/>
          <w:color w:val="auto"/>
        </w:rPr>
        <w:t xml:space="preserve"> 2019 EIP</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320" w:type="dxa"/>
            <w:vAlign w:val="bottom"/>
            <w:gridSpan w:val="3"/>
          </w:tcPr>
          <w:p>
            <w:pPr>
              <w:ind w:left="5100"/>
              <w:spacing w:after="0"/>
              <w:rPr>
                <w:sz w:val="20"/>
                <w:szCs w:val="20"/>
                <w:color w:val="auto"/>
              </w:rPr>
            </w:pPr>
            <w:r>
              <w:rPr>
                <w:rFonts w:ascii="Times New Roman" w:cs="Times New Roman" w:eastAsia="Times New Roman" w:hAnsi="Times New Roman"/>
                <w:sz w:val="14"/>
                <w:szCs w:val="14"/>
                <w:b w:val="1"/>
                <w:bCs w:val="1"/>
                <w:color w:val="auto"/>
              </w:rPr>
              <w:t>2019 EIP</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640" w:type="dxa"/>
            <w:vAlign w:val="bottom"/>
          </w:tcPr>
          <w:p>
            <w:pPr>
              <w:spacing w:after="0"/>
              <w:rPr>
                <w:sz w:val="10"/>
                <w:szCs w:val="10"/>
                <w:color w:val="auto"/>
              </w:rPr>
            </w:pP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5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4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320" w:type="dxa"/>
            <w:vAlign w:val="bottom"/>
            <w:tcBorders>
              <w:bottom w:val="single" w:sz="8" w:color="CCEEFF"/>
            </w:tcBorders>
            <w:gridSpan w:val="3"/>
            <w:vMerge w:val="continue"/>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Stephen Brady, </w:t>
            </w:r>
            <w:r>
              <w:rPr>
                <w:rFonts w:ascii="Times New Roman" w:cs="Times New Roman" w:eastAsia="Times New Roman" w:hAnsi="Times New Roman"/>
                <w:sz w:val="18"/>
                <w:szCs w:val="18"/>
                <w:i w:val="1"/>
                <w:iCs w:val="1"/>
                <w:color w:val="auto"/>
              </w:rPr>
              <w:t>Chief Executive Officer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91"/>
              </w:rPr>
              <w:t>(1)</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(1)</w:t>
            </w:r>
          </w:p>
        </w:tc>
        <w:tc>
          <w:tcPr>
            <w:tcW w:w="0" w:type="dxa"/>
            <w:vAlign w:val="bottom"/>
          </w:tcPr>
          <w:p>
            <w:pPr>
              <w:spacing w:after="0"/>
              <w:rPr>
                <w:sz w:val="1"/>
                <w:szCs w:val="1"/>
                <w:color w:val="auto"/>
              </w:rPr>
            </w:pPr>
          </w:p>
        </w:tc>
      </w:tr>
      <w:tr>
        <w:trPr>
          <w:trHeight w:val="216"/>
        </w:trPr>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Thomas Dubensky, </w:t>
            </w:r>
            <w:r>
              <w:rPr>
                <w:rFonts w:ascii="Times New Roman" w:cs="Times New Roman" w:eastAsia="Times New Roman" w:hAnsi="Times New Roman"/>
                <w:sz w:val="18"/>
                <w:szCs w:val="18"/>
                <w:i w:val="1"/>
                <w:iCs w:val="1"/>
                <w:color w:val="auto"/>
              </w:rPr>
              <w:t>President</w:t>
            </w:r>
          </w:p>
        </w:tc>
        <w:tc>
          <w:tcPr>
            <w:tcW w:w="940" w:type="dxa"/>
            <w:vAlign w:val="bottom"/>
            <w:gridSpan w:val="2"/>
          </w:tcPr>
          <w:p>
            <w:pPr>
              <w:jc w:val="right"/>
              <w:ind w:right="28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Samuel Whiting, </w:t>
            </w:r>
            <w:r>
              <w:rPr>
                <w:rFonts w:ascii="Times New Roman" w:cs="Times New Roman" w:eastAsia="Times New Roman" w:hAnsi="Times New Roman"/>
                <w:sz w:val="18"/>
                <w:szCs w:val="18"/>
                <w:i w:val="1"/>
                <w:iCs w:val="1"/>
                <w:color w:val="auto"/>
              </w:rPr>
              <w:t>Chief Medical Officer</w:t>
            </w:r>
          </w:p>
        </w:tc>
        <w:tc>
          <w:tcPr>
            <w:tcW w:w="940" w:type="dxa"/>
            <w:vAlign w:val="bottom"/>
            <w:gridSpan w:val="2"/>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Julia C. Owens, </w:t>
            </w:r>
            <w:r>
              <w:rPr>
                <w:rFonts w:ascii="Times New Roman" w:cs="Times New Roman" w:eastAsia="Times New Roman" w:hAnsi="Times New Roman"/>
                <w:sz w:val="18"/>
                <w:szCs w:val="18"/>
                <w:i w:val="1"/>
                <w:iCs w:val="1"/>
                <w:color w:val="auto"/>
              </w:rPr>
              <w:t>Former Chief Executive Officer</w:t>
            </w:r>
          </w:p>
        </w:tc>
        <w:tc>
          <w:tcPr>
            <w:tcW w:w="940" w:type="dxa"/>
            <w:vAlign w:val="bottom"/>
            <w:gridSpan w:val="2"/>
          </w:tcPr>
          <w:p>
            <w:pPr>
              <w:jc w:val="right"/>
              <w:ind w:right="28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Louis Arcudi III, </w:t>
            </w:r>
            <w:r>
              <w:rPr>
                <w:rFonts w:ascii="Times New Roman" w:cs="Times New Roman" w:eastAsia="Times New Roman" w:hAnsi="Times New Roman"/>
                <w:sz w:val="18"/>
                <w:szCs w:val="18"/>
                <w:i w:val="1"/>
                <w:iCs w:val="1"/>
                <w:color w:val="auto"/>
              </w:rPr>
              <w:t>Former Chief Executive Officer</w:t>
            </w:r>
          </w:p>
        </w:tc>
        <w:tc>
          <w:tcPr>
            <w:tcW w:w="940" w:type="dxa"/>
            <w:vAlign w:val="bottom"/>
            <w:gridSpan w:val="2"/>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91"/>
              </w:rPr>
              <w:t>(1)</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w:t>
            </w:r>
          </w:p>
        </w:tc>
        <w:tc>
          <w:tcPr>
            <w:tcW w:w="0" w:type="dxa"/>
            <w:vAlign w:val="bottom"/>
          </w:tcPr>
          <w:p>
            <w:pPr>
              <w:spacing w:after="0"/>
              <w:rPr>
                <w:sz w:val="1"/>
                <w:szCs w:val="1"/>
                <w:color w:val="auto"/>
              </w:rPr>
            </w:pPr>
          </w:p>
        </w:tc>
      </w:tr>
      <w:tr>
        <w:trPr>
          <w:trHeight w:val="216"/>
        </w:trPr>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91"/>
              </w:rPr>
              <w:t>(2)</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(2)</w:t>
            </w:r>
          </w:p>
        </w:tc>
        <w:tc>
          <w:tcPr>
            <w:tcW w:w="0" w:type="dxa"/>
            <w:vAlign w:val="bottom"/>
          </w:tcPr>
          <w:p>
            <w:pPr>
              <w:spacing w:after="0"/>
              <w:rPr>
                <w:sz w:val="1"/>
                <w:szCs w:val="1"/>
                <w:color w:val="auto"/>
              </w:rPr>
            </w:pPr>
          </w:p>
        </w:tc>
      </w:tr>
      <w:tr>
        <w:trPr>
          <w:trHeight w:val="234"/>
        </w:trPr>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employees, including all current officers who are not executive officers, as a group</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91"/>
              </w:rPr>
              <w:t>(1)</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236855</wp:posOffset>
            </wp:positionV>
            <wp:extent cx="771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9" w:lineRule="exact"/>
        <w:rPr>
          <w:sz w:val="20"/>
          <w:szCs w:val="20"/>
          <w:color w:val="auto"/>
        </w:rPr>
      </w:pPr>
    </w:p>
    <w:p>
      <w:pPr>
        <w:ind w:left="540" w:right="60" w:hanging="424"/>
        <w:spacing w:after="0" w:line="253"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granted under the Amended 2019 EIP to our executive officers and other employees are discretionary and are not subject to set benefits or amounts under the terms of the Amended 2019 EIP, and our Board and our Compensation Committee have not granted any awards under the Amended 2019 EIP subject to stockholder approval of this Proposal 2. Accordingly, the benefits or amounts that will be received by or allocated to our executive officers and other employees under the Amended 2019 EIP, as well as the benefits or amounts which would have been received by or allocated to our executive officers and other employees for fiscal year 2022 if the Amended 2019 EIP had been in effect, are not determinable.</w:t>
      </w:r>
    </w:p>
    <w:p>
      <w:pPr>
        <w:spacing w:after="0" w:line="5" w:lineRule="exact"/>
        <w:rPr>
          <w:rFonts w:ascii="Times New Roman" w:cs="Times New Roman" w:eastAsia="Times New Roman" w:hAnsi="Times New Roman"/>
          <w:sz w:val="18"/>
          <w:szCs w:val="18"/>
          <w:color w:val="auto"/>
        </w:rPr>
      </w:pPr>
    </w:p>
    <w:p>
      <w:pPr>
        <w:ind w:left="540" w:right="40" w:hanging="424"/>
        <w:spacing w:after="0" w:line="251"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non-employee director who is first elected to the Board will be granted an option to purchase 6,635 shares of our common stock on the date of his or her initial election to the Board. Beginning with any director appointed following this Annual Meeting, this amount shall be rounded up to the nearest 500 shares. In addition, on the date of each annual meeting, each person who continues to serve as a non-employee member of the Board following such annual meeting will be granted an option to purchase 3,500 shares of our common stock. All option grants will have an exercise price per share equal to the fair market value of our common stock on the date of grant. Each initial grant for a non-employee director will vest over a one-year period, and each annual grant for a non-employee director will vest over a one year period, in each case subject to the director’s continuing service on our Board. After the date of the Annual Meeting, any such awards will be granted under the Amended 2019 EIP if this Proposal 2 is approved by our stockholders. For additional information regarding our compensation policy for non-employee directors, see the “</w:t>
      </w:r>
      <w:r>
        <w:rPr>
          <w:rFonts w:ascii="Times New Roman" w:cs="Times New Roman" w:eastAsia="Times New Roman" w:hAnsi="Times New Roman"/>
          <w:sz w:val="18"/>
          <w:szCs w:val="18"/>
          <w:i w:val="1"/>
          <w:iCs w:val="1"/>
          <w:color w:val="auto"/>
        </w:rPr>
        <w:t>Executive and Director Compensation—Director Compensation</w:t>
      </w:r>
      <w:r>
        <w:rPr>
          <w:rFonts w:ascii="Times New Roman" w:cs="Times New Roman" w:eastAsia="Times New Roman" w:hAnsi="Times New Roman"/>
          <w:sz w:val="18"/>
          <w:szCs w:val="18"/>
          <w:color w:val="auto"/>
        </w:rPr>
        <w:t>” section below.</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2021. Information is included for equity compensation plans approved by our stockholders. We do not have any equity compensation plans not approved by our stockholders: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8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60" w:type="dxa"/>
            <w:vAlign w:val="bottom"/>
            <w:gridSpan w:val="2"/>
            <w:vMerge w:val="restart"/>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780" w:type="dxa"/>
            <w:vAlign w:val="bottom"/>
          </w:tcPr>
          <w:p>
            <w:pPr>
              <w:spacing w:after="0"/>
              <w:rPr>
                <w:sz w:val="12"/>
                <w:szCs w:val="12"/>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7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 issuance under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76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040" w:type="dxa"/>
            <w:vAlign w:val="bottom"/>
            <w:gridSpan w:val="3"/>
          </w:tcPr>
          <w:p>
            <w:pPr>
              <w:jc w:val="center"/>
              <w:ind w:left="679"/>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7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8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78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7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21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right="39"/>
              <w:spacing w:after="0" w:line="160"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760" w:type="dxa"/>
            <w:vAlign w:val="bottom"/>
          </w:tcPr>
          <w:p>
            <w:pPr>
              <w:spacing w:after="0"/>
              <w:rPr>
                <w:sz w:val="15"/>
                <w:szCs w:val="15"/>
                <w:color w:val="auto"/>
              </w:rPr>
            </w:pPr>
          </w:p>
        </w:tc>
        <w:tc>
          <w:tcPr>
            <w:tcW w:w="15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71"/>
        </w:trPr>
        <w:tc>
          <w:tcPr>
            <w:tcW w:w="308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4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by security holders Prior Plans </w:t>
            </w:r>
            <w:r>
              <w:rPr>
                <w:rFonts w:ascii="Times New Roman" w:cs="Times New Roman" w:eastAsia="Times New Roman" w:hAnsi="Times New Roman"/>
                <w:sz w:val="15"/>
                <w:szCs w:val="15"/>
                <w:color w:val="auto"/>
              </w:rPr>
              <w:t>(1)</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790,637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2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403,109</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2019 ESPP</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35,621</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98"/>
        </w:trPr>
        <w:tc>
          <w:tcPr>
            <w:tcW w:w="3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790,637</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438,730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40" w:right="160" w:hanging="424"/>
        <w:spacing w:after="0" w:line="261"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2017 Plan and our 2019 EIP, but does not include future rights to purchase common stock under our 2019 ESPP, which depend on a number of factors described in our 2019 ESPP and will not be determined until the end of the applicable purchase period.</w:t>
      </w:r>
    </w:p>
    <w:p>
      <w:pPr>
        <w:ind w:left="54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2019 EIP provides that the total number of shares of our common stock reserved for issuance thereunder will automatically increase on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each fiscal year for a period of up to 10 years commencing on January 1, 2020, and ending on (and including) January 1, 2029, in an amount equal to (i) 4% of the total number of shares of common stock outstanding on December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the preceding fiscal year, or (ii) a lesser number of shares determined by our board of directors prior to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a given fiscal year. Accordingly, on January 1, 2022, the number of shares of common stock available for issuance under our 2019 EIP increased by 276,412 shares. This increase is not reflected in the table above.</w:t>
      </w:r>
    </w:p>
    <w:p>
      <w:pPr>
        <w:spacing w:after="0" w:line="1" w:lineRule="exact"/>
        <w:rPr>
          <w:rFonts w:ascii="Times New Roman" w:cs="Times New Roman" w:eastAsia="Times New Roman" w:hAnsi="Times New Roman"/>
          <w:sz w:val="18"/>
          <w:szCs w:val="18"/>
          <w:color w:val="auto"/>
        </w:rPr>
      </w:pPr>
    </w:p>
    <w:p>
      <w:pPr>
        <w:ind w:left="540" w:right="60" w:hanging="424"/>
        <w:spacing w:after="0" w:line="25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2019 ESPP provides that the total number of shares reserved for issuance thereunder will automatically increase on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each year, by the lesser of (a) 1% of the total number of shares of common stock outstanding on December 31st of the preceding fiscal year, (b) 8,905 shares of our common stock, or (c) a lesser number determined by our board of directors prior to the applicable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Accordingly, on January 1, 2022, the number of shares of common stock available for issuance under our 2019 ESPP increased by 8,905 shares. This increase is not reflected in the table above. If Proposal 3 (below) is approved by our stockholders, then the automatic increase on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each year will be by the lesser of (a) 1.5% of the total number of shares of common stock outstanding on December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the preceding fiscal year, (b) 500,000 shares of our common stock, or (c) a lesser number determined by our board of directors prior to the applicable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EQUIRED</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voting power of the votes cast by the holders of all the shares present or represented by proxy at the Annual Meeting will be required to approve the Amended and Restated 2019 Equity Incentive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ECOMMENDATION</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ROPOSAL</w:t>
      </w:r>
      <w:r>
        <w:rPr>
          <w:rFonts w:ascii="Times New Roman" w:cs="Times New Roman" w:eastAsia="Times New Roman" w:hAnsi="Times New Roman"/>
          <w:sz w:val="18"/>
          <w:szCs w:val="18"/>
          <w:b w:val="1"/>
          <w:bCs w:val="1"/>
          <w:color w:val="auto"/>
        </w:rPr>
        <w:t xml:space="preserve"> 2.</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APPROVAL OF THE AMENDED AND RESTATED 2019 EMPLOYEE STOCK PURCHASE PLAN</w:t>
      </w:r>
    </w:p>
    <w:p>
      <w:pPr>
        <w:spacing w:after="0" w:line="20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Board is asking our stockholders to approve the Tempest Therapeutics Inc. Amended and Restated 2019 Employee Stock Purchase Plan (as amended and restated, the “</w:t>
      </w:r>
      <w:r>
        <w:rPr>
          <w:rFonts w:ascii="Times New Roman" w:cs="Times New Roman" w:eastAsia="Times New Roman" w:hAnsi="Times New Roman"/>
          <w:sz w:val="18"/>
          <w:szCs w:val="18"/>
          <w:b w:val="1"/>
          <w:bCs w:val="1"/>
          <w:i w:val="1"/>
          <w:iCs w:val="1"/>
          <w:color w:val="auto"/>
        </w:rPr>
        <w:t>Amended 2019 ESPP</w:t>
      </w:r>
      <w:r>
        <w:rPr>
          <w:rFonts w:ascii="Times New Roman" w:cs="Times New Roman" w:eastAsia="Times New Roman" w:hAnsi="Times New Roman"/>
          <w:sz w:val="18"/>
          <w:szCs w:val="18"/>
          <w:color w:val="auto"/>
        </w:rPr>
        <w:t>”) at the Annual Meeting, which amends and restates the Millendo Therapeutics, Inc. 2019 Employee Stock Purchase Plan (the “</w:t>
      </w:r>
      <w:r>
        <w:rPr>
          <w:rFonts w:ascii="Times New Roman" w:cs="Times New Roman" w:eastAsia="Times New Roman" w:hAnsi="Times New Roman"/>
          <w:sz w:val="18"/>
          <w:szCs w:val="18"/>
          <w:b w:val="1"/>
          <w:bCs w:val="1"/>
          <w:i w:val="1"/>
          <w:iCs w:val="1"/>
          <w:color w:val="auto"/>
        </w:rPr>
        <w:t>2019 ESPP</w:t>
      </w:r>
      <w:r>
        <w:rPr>
          <w:rFonts w:ascii="Times New Roman" w:cs="Times New Roman" w:eastAsia="Times New Roman" w:hAnsi="Times New Roman"/>
          <w:sz w:val="18"/>
          <w:szCs w:val="18"/>
          <w:color w:val="auto"/>
        </w:rPr>
        <w:t>”) and will be a successor to and replacement of the 2019 ESPP.</w:t>
      </w:r>
    </w:p>
    <w:p>
      <w:pPr>
        <w:spacing w:after="0" w:line="176"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share numbers described below reflect capitalization adjustments pursuant to the terms of the Merger, and all such share numbers under the Amended 2019 ESPP will also be subject to capitalization adjustments.</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Amended 2019 ESPP was approved by our Board on April 22, 2022, subject to approval by our stockholders, and contains the following material changes from the 2019 ESPP:</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shares available for issuance under the Amended 2019 ESPP by 107,596 shares.</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calculation of the number of shares of our common stock added automatically on January 1 of each year beginning on January 1, 2023, and continuing through (and including) January 1, 2029, (the “</w:t>
      </w:r>
      <w:r>
        <w:rPr>
          <w:rFonts w:ascii="Times New Roman" w:cs="Times New Roman" w:eastAsia="Times New Roman" w:hAnsi="Times New Roman"/>
          <w:sz w:val="18"/>
          <w:szCs w:val="18"/>
          <w:b w:val="1"/>
          <w:bCs w:val="1"/>
          <w:i w:val="1"/>
          <w:iCs w:val="1"/>
          <w:color w:val="auto"/>
        </w:rPr>
        <w:t>evergreen mechanism</w:t>
      </w:r>
      <w:r>
        <w:rPr>
          <w:rFonts w:ascii="Times New Roman" w:cs="Times New Roman" w:eastAsia="Times New Roman" w:hAnsi="Times New Roman"/>
          <w:sz w:val="18"/>
          <w:szCs w:val="18"/>
          <w:color w:val="auto"/>
        </w:rPr>
        <w:t>”) to be equal to the lesser of (i) 1.5% of the total number of shares of Common Stock outstanding on December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the preceding calendar year and (ii) 500,000 shares of Common Stock.</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is currently the case, under the Amended 2019, the Board may act prior to the first day of any calendar year to provide that there will be no January</w:t>
      </w:r>
    </w:p>
    <w:p>
      <w:pPr>
        <w:spacing w:after="0" w:line="2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increase in the share reserve for such calendar year or that the increase in the share reserve for such calendar year will be a lesser number of shares of Common Stock than would otherwise occur pursuant to the preceding sentence. For the avoidance of any doubt, we are not seeking an extension of the period during which the evergreen mechanism will be effective.</w:t>
      </w:r>
    </w:p>
    <w:p>
      <w:pPr>
        <w:spacing w:after="0" w:line="18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Approval of the Amended 2019 ESPP will allow us to continue providing our eligible employees and eligible employees of any of parent or subsidiary corporations (“</w:t>
      </w:r>
      <w:r>
        <w:rPr>
          <w:rFonts w:ascii="Times New Roman" w:cs="Times New Roman" w:eastAsia="Times New Roman" w:hAnsi="Times New Roman"/>
          <w:sz w:val="18"/>
          <w:szCs w:val="18"/>
          <w:b w:val="1"/>
          <w:bCs w:val="1"/>
          <w:i w:val="1"/>
          <w:iCs w:val="1"/>
          <w:color w:val="auto"/>
        </w:rPr>
        <w:t>related corporations</w:t>
      </w:r>
      <w:r>
        <w:rPr>
          <w:rFonts w:ascii="Times New Roman" w:cs="Times New Roman" w:eastAsia="Times New Roman" w:hAnsi="Times New Roman"/>
          <w:sz w:val="18"/>
          <w:szCs w:val="18"/>
          <w:color w:val="auto"/>
        </w:rPr>
        <w:t>”) with the opportunity to acquire an ownership interest in the Company through the purchase of shares of common stock via the Amended 2019 ESPP. Through the Amended 2019 ESPP, we seek to retain the services of such eligible employees, to secure and retain the services of new employees and to provide incentives for such persons to exert maximum efforts for our success and for the success of certain related corporations.</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If this Proposal No. 3 is approved by our stockholders, the maximum number of shares of our common stock that may be issued under the Amended 2019 ESPP (after taking into account shares added pursuant to the evergreen mechanism described above) will be 143,217, which is the sum of (i) 8,905 shares of common stock that were approved by our stockholders at the 2019 Annual Meeting of Stockholders plus (ii) 107,596 new shares of common stock approved by our stockholders under this Proposal No. 3 plus (iii) 26,716 shares added pursuant to the evergreen mechanism on January 1 of each of 2020, 2021 and 2022. Such share numbers will be subject to adjustment for certain changes in our capitalization.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maintain any other employee stock purchase plans. As of April 20, 2022, no shares have been issued under the 2019 ESPP.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April 20, 2022, a total of 7,173,094 shares of our common stock were outstanding.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HY</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SKING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 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PPROVE 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MENDED</w:t>
      </w:r>
      <w:r>
        <w:rPr>
          <w:rFonts w:ascii="Times New Roman" w:cs="Times New Roman" w:eastAsia="Times New Roman" w:hAnsi="Times New Roman"/>
          <w:sz w:val="18"/>
          <w:szCs w:val="18"/>
          <w:b w:val="1"/>
          <w:bCs w:val="1"/>
          <w:color w:val="auto"/>
        </w:rPr>
        <w:t xml:space="preserve"> 2019 ESPP</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We are seeking stockholder approval of the Amended 2019 ESPP to increase the number of shares available for purchase under the Amended 2019 ESPP, which will enable us to continue providing a competitive equity incentive program to retain existing key talent and compete for new talent in a very competitive labor market.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ESCRIPTION OF 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MENDED</w:t>
      </w:r>
      <w:r>
        <w:rPr>
          <w:rFonts w:ascii="Times New Roman" w:cs="Times New Roman" w:eastAsia="Times New Roman" w:hAnsi="Times New Roman"/>
          <w:sz w:val="18"/>
          <w:szCs w:val="18"/>
          <w:b w:val="1"/>
          <w:bCs w:val="1"/>
          <w:color w:val="auto"/>
        </w:rPr>
        <w:t xml:space="preserve"> 2019 ESPP</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A summary of the principal material features of the Amended 2019 ESPP are described below. The following description of the Amended 2019 ESPP is a summary only and is qualified in its entirety by reference to the full text of the Amended 2019 ESPP. Stockholders are urged to read the actual text of the Amended 2019 ESPP in its entirety, which is attached to this Proxy Statement as </w:t>
      </w:r>
      <w:r>
        <w:rPr>
          <w:rFonts w:ascii="Times New Roman" w:cs="Times New Roman" w:eastAsia="Times New Roman" w:hAnsi="Times New Roman"/>
          <w:sz w:val="18"/>
          <w:szCs w:val="18"/>
          <w:b w:val="1"/>
          <w:bCs w:val="1"/>
          <w:i w:val="1"/>
          <w:iCs w:val="1"/>
          <w:color w:val="auto"/>
        </w:rPr>
        <w:t>Appendix B</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purpose of the Amended 2019 ESPP is to provide a means by which our eligible employees may be given an opportunity to purchase shares of our common stock. This assists us in retaining the services of our employees, in securing and retaining the services of new employees and providing incentives for such persons to exert maximum efforts for our success.</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Amended 2019 ESPP permits us to grant purchase rights that are intended to qualify as options issued under an “employee stock purchase plan” (as defined in Section 423(b) of the Internal Revenue Code of 1986, as amended, or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(under the “423 Component” of the Amended 2019 ESPP), as well as purchase rights that are not intended to so qualify (under the “Non-423 Component” of the Amended 2019 ESPP).</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Our Compensation Committee will administer the Amended 2019 ESPP, unless otherwise determined by our Board. Our Board also retains concurrent authority to administer the Amended 2019 ESPP. Our Compensation Committee will also have the power to delegate to a subcommittee any of the administrative powers our Compensation Committee is authorized to exercise under the Amended 2019 ESPP, and in such case, our Compensation Committee retains the authority to concurrently administer the Amended 2019 ESPP with any such subcommittee.</w:t>
      </w:r>
    </w:p>
    <w:p>
      <w:pPr>
        <w:spacing w:after="0" w:line="180"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Our Compensation Committee, our Board and any such subcommittee are each considered to be a Plan Administrator for purposes of this Proposal No. 3. The Plan Administrator has the final power to construe and interpret both the Amended 2019 ESPP and the rights granted under it. The Plan Administrator has the power, subject to the provisions of the Amended 2019 ESPP, to determine how and when rights to purchase our common stock will be granted, the provisions of each offering of such rights (which need not be identical), and whether employees of any of our parent or subsidiary companies will be eligible to participate in the Amended 2019 ESPP. The Plan administrator may also adopt such procedures and sub-plans as are necessary or appropriate to permit participation by employees who are foreign nationals our employed outside the United States.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Subject to Amended 2019 ESPP; Evergreen</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Subject to the approval of this Proposal No. 3 and the adjustment for certain changes in our capitalization, the number of shares of our common stock that will be available for issuance under the Amended 2019 ESPP as of April will be 143,217 shares, which is equal to the sum of (i) 35,621 shares of common stock that remain available for issuance under the 2019 ESPP as of April 20, 2022 plus (ii) 107,596 new shares of common stock that are subject to approval by our stockholders under this Proposal No. 3.</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Stockholders of Millendo Therapeutics, Inc. (the predecessor in interest to Tempest Therapeutics, Inc.) previously approved an “evergreen” mechanism under which the shares available under the 2019 ESPP were automatically increased each year by an amount equal to the lesser of (a) 1% of the total number of shares of the Company’s common stock outstanding on December 31 of the preceding calendar year, (b) 8,905 shares of common stock, or (c) a number determined by our Board that is less than (a) and (b).</w:t>
      </w:r>
    </w:p>
    <w:p>
      <w:pPr>
        <w:spacing w:after="0" w:line="178" w:lineRule="exact"/>
        <w:rPr>
          <w:sz w:val="20"/>
          <w:szCs w:val="20"/>
          <w:color w:val="auto"/>
        </w:rPr>
      </w:pPr>
    </w:p>
    <w:p>
      <w:pPr>
        <w:ind w:left="120" w:right="100"/>
        <w:spacing w:after="0" w:line="267" w:lineRule="auto"/>
        <w:rPr>
          <w:sz w:val="20"/>
          <w:szCs w:val="20"/>
          <w:color w:val="auto"/>
        </w:rPr>
      </w:pPr>
      <w:r>
        <w:rPr>
          <w:rFonts w:ascii="Times New Roman" w:cs="Times New Roman" w:eastAsia="Times New Roman" w:hAnsi="Times New Roman"/>
          <w:sz w:val="18"/>
          <w:szCs w:val="18"/>
          <w:color w:val="auto"/>
        </w:rPr>
        <w:t xml:space="preserve">The Amended 2019 ESPP will maintain this evergreen mechanism;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stockholders approve this Proposal No. 3, the percentage specified in (a) will increase from 1% to 1.5%, and the number of shares specified in (b) will increase from 8,905 to 500,000 shares of our common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If any rights granted under the Amended 2019 ESPP terminate without being exercised in full, the shares of common stock not purchased under such rights will again become available for issuance under the Amended 2019 ESPP. The shares of common stock purchasable under the Amended 2019 ESPP will be shares of authorized but unissued or reacquired common stock, including shares repurchased by us on the open market.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Offerings</w:t>
      </w:r>
    </w:p>
    <w:p>
      <w:pPr>
        <w:spacing w:after="0" w:line="121"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The Amended 2019 ESPP will be implemented by offerings of rights to purchase our common stock to all eligible employees. The Plan Administrator will determine the duration of each offering period, provided that in no event may an offering period exceed 27 months. The Plan Administrator may establish separate offerings which vary in terms (although not inconsistent with the provisions of the Amended 2019 ESPP or the requirements of applicable laws). Each offering period will have one or more purchase dates, as determined by the Plan Administrator prior to the commencement of the offering period. The Plan Administrator has the authority to alter the terms of an offering prior to the commencement of the offering period, including the duration of subsequent offering periods. When an eligible employee elects to join an offering period, he or she is granted a right to purchase shares of our common stock on each purchase date within the offering period. On the purchase date, all contributions collected from the participant are automatically applied to the purchase of our common stock, subject to certain limitations (which are described further below under “</w:t>
      </w:r>
      <w:r>
        <w:rPr>
          <w:rFonts w:ascii="Times New Roman" w:cs="Times New Roman" w:eastAsia="Times New Roman" w:hAnsi="Times New Roman"/>
          <w:sz w:val="17"/>
          <w:szCs w:val="17"/>
          <w:i w:val="1"/>
          <w:iCs w:val="1"/>
          <w:color w:val="auto"/>
        </w:rPr>
        <w:t>Eligibility</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Each offering will be in such form and will contain such terms and conditions as the Plan Administrator will deem appropriate, and, with respect to the 423 Component, will comply with the requirement of Section 423(b)(5) of the Code that all employees granted purchase rights will have the same rights and privileges</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Plan Administrator has the discretion to structure an offering so that if the fair market value of our common stock on the first trading day of a new purchase period within the offering period is less than or equal to the fair market value of our common stock on the first day of the offering period, then that offering will terminate immediately as of that first trading day, and the participants in such terminated offering will be automatically enrolled in a new offering beginning on the first trading day of such new purchase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Any individual who is employed by us (or by any of our parent or subsidiary companies if such company is designated by the Plan Administrator as eligible to participate in the Amended 2019 ESPP) may participate in offerings under the Amended 2019 ESPP, provided that such individual has been employed by us (or our parent or subsidiary, if applicable) for such continuous period preceding the first day of the offering period as the Plan Administrator may require (except as the Plan Administrator may provide with respect to newly eligible employees as may be permitted or required by applicable law), but in no event may the required period of continuous employment be equal to or greater than two years. In addition, the Plan Administrator (unless prohibited by law) may provide that an employee will not be eligible to be granted purchase rights under the Amended 2019 ESPP unless such employee is customarily employed for more than 20 hours per week and more than five months per calendar year. The Plan Administrator (unless prohibited by law) may also provide in any offering that certain of our employees who are “highly compensated” as defined in the Code are not eligible to participate in the Amended 2019 ESPP. Furthermore, in the case of any offering under the Non-423 Component of the Amended 2019 ESPP, an eligible employee may be excluded from participation in the Amended 2019 ESPP if the Plan Administrator has determined that the participation of such eligible employee is not advisable or practical for any reason.</w:t>
      </w:r>
    </w:p>
    <w:p>
      <w:pPr>
        <w:spacing w:after="0" w:line="192"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No employee will be eligible to participate in the Amended 2019 ESPP if, immediately after the grant of purchase rights, the employee would own, directly or indirectly, stock possessing 5% or more of the total combined voting power or value of all classes of our stock or of any of our parent or subsidiary companies, including any stock which such employee may purchase under all outstanding purchase rights and options. In addition, no employee may purchase more than $25,000 worth of our common stock (determined based on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fair market value of the shares at the time such rights are granted) under all our employee stock purchase plans and any employee stock purchase plans of our parent or subsidiary companies for each calendar year during which such rights are outstanding.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April 20, 2022, we had approximately 18 employees who would be eligible to participate in offerings under the Amended 2019 ESPP.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Non-employee directors are not permitted to participate in the Amended 2019 ESPP.</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Participation in the Amended 2019 ESPP</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An eligible employee may enroll in the Amended 2019 ESPP by delivering to us, within the time specified in the offering, an enrollment form authorizing contributions which may not exceed the maximum amount specified by the Plan Administrator (but which in no event may exceed 15% of such employee’s earnings (as determined by the Plan Administrator with respect to each offering) during the offering period) during the period that begins on the offering date (or such later date as the Plan Administrator may determine) and ends on the date stated in the offering (which shall be no later than the end of the offering). Each participant will be granted a separate purchase right for each offering in which he or she participates. Unless an employee’s participation is discontinued, his or her purchase right will be exercised automatically at the end of each purchase period at the applicable purchase price.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Price</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purchase price per share at which shares of our common stock are acquired pursuant to purchase rights on each purchase date during an offering period will not be less than the lower of (i) 85% of the fair market value of a share of our common stock on the first day of the offering period or (ii) 85% of the fair market value of a share of our common stock on the applicable purchase date.</w:t>
      </w:r>
    </w:p>
    <w:p>
      <w:pPr>
        <w:spacing w:after="0" w:line="176" w:lineRule="exact"/>
        <w:rPr>
          <w:sz w:val="20"/>
          <w:szCs w:val="20"/>
          <w:color w:val="auto"/>
        </w:rPr>
      </w:pPr>
    </w:p>
    <w:p>
      <w:pPr>
        <w:ind w:left="120"/>
        <w:spacing w:after="0"/>
        <w:tabs>
          <w:tab w:leader="none" w:pos="960" w:val="left"/>
          <w:tab w:leader="none" w:pos="8240" w:val="left"/>
        </w:tabs>
        <w:rPr>
          <w:sz w:val="20"/>
          <w:szCs w:val="20"/>
          <w:color w:val="auto"/>
        </w:rPr>
      </w:pPr>
      <w:r>
        <w:rPr>
          <w:rFonts w:ascii="Times New Roman" w:cs="Times New Roman" w:eastAsia="Times New Roman" w:hAnsi="Times New Roman"/>
          <w:sz w:val="18"/>
          <w:szCs w:val="18"/>
          <w:color w:val="auto"/>
        </w:rPr>
        <w:t>As of [</w:t>
      </w:r>
      <w:r>
        <w:rPr>
          <w:sz w:val="20"/>
          <w:szCs w:val="20"/>
          <w:color w:val="auto"/>
        </w:rPr>
        <w:tab/>
      </w:r>
      <w:r>
        <w:rPr>
          <w:rFonts w:ascii="Times New Roman" w:cs="Times New Roman" w:eastAsia="Times New Roman" w:hAnsi="Times New Roman"/>
          <w:sz w:val="18"/>
          <w:szCs w:val="18"/>
          <w:color w:val="auto"/>
        </w:rPr>
        <w:t>], 2022, the closing price of our common stock as reported on the Nasdaq Capital Market was $[</w:t>
      </w:r>
      <w:r>
        <w:rPr>
          <w:sz w:val="20"/>
          <w:szCs w:val="20"/>
          <w:color w:val="auto"/>
        </w:rPr>
        <w:tab/>
      </w:r>
      <w:r>
        <w:rPr>
          <w:rFonts w:ascii="Times New Roman" w:cs="Times New Roman" w:eastAsia="Times New Roman" w:hAnsi="Times New Roman"/>
          <w:sz w:val="18"/>
          <w:szCs w:val="18"/>
          <w:color w:val="auto"/>
        </w:rPr>
        <w:t>] per share.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Purchase Price; Contributions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purchase of shares during an offering period generally will be funded by a participant’s payroll deductions accumulated during the offering period. If specifically provided in an offering, in addition to or instead of making contributions by payroll deductions, a participant may make contributions by cash, check or such other payment method specified by the Plan Administrator. A participant may change his or her rate of contributions, if and as permitted in the offering. All contributions made for a participant are credited to his or her account under the Amended 2019 ESPP and deposited with our general funds, except where applicable law requires that contributions be deposited with a third party. Unless otherwise specified in the offering or as required by applicable law, we will have no obligation to pay interest on contributions.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Limits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connection with each offering made under the Amended 2019 ESPP, the Plan Administrator may specify (i) a maximum number of shares of our common stock that may be purchased by any participant on any purchase date during such offering, (ii) a maximum aggregate number of shares of our common stock that may be purchased by all participants pursuant to such offering and/or (iii) a maximum aggregate number of shares of our common stock that may be purchased by all participants on any purchase date under such offering. If the aggregate number of shares of our common stock issuable upon exercise of purchase rights granted under the offering would exceed any such maximum aggregate number, then in the absence of any action by the Plan Administrator otherwise, a pro rata allocation of available shares of our common stock will be made in as nearly a uniform manner as will be practicable and equitable.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Participants may withdraw from a given offering by delivering a withdrawal form to us and terminating their contributions. Such withdrawal may be elected at any time prior to the end of an offering, except as otherwise provided by the Plan Administrator. Upon such withdrawal, such employee’s right to participate in that offering will terminate, and we will distribute as soon as practicable to the employee his or her accumulated but unused contributions without interest. However, an employee’s withdrawal from an offering does not affect such employee’s eligibility to participate in subsequent offerings under the Amended 2019 ESPP.</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Eligibility</w:t>
      </w:r>
    </w:p>
    <w:p>
      <w:pPr>
        <w:spacing w:after="0" w:line="121" w:lineRule="exact"/>
        <w:rPr>
          <w:sz w:val="20"/>
          <w:szCs w:val="20"/>
          <w:color w:val="auto"/>
        </w:rPr>
      </w:pPr>
    </w:p>
    <w:p>
      <w:pPr>
        <w:jc w:val="both"/>
        <w:ind w:left="120" w:right="560"/>
        <w:spacing w:after="0" w:line="261" w:lineRule="auto"/>
        <w:rPr>
          <w:sz w:val="20"/>
          <w:szCs w:val="20"/>
          <w:color w:val="auto"/>
        </w:rPr>
      </w:pPr>
      <w:r>
        <w:rPr>
          <w:rFonts w:ascii="Times New Roman" w:cs="Times New Roman" w:eastAsia="Times New Roman" w:hAnsi="Times New Roman"/>
          <w:sz w:val="18"/>
          <w:szCs w:val="18"/>
          <w:color w:val="auto"/>
        </w:rPr>
        <w:t>Unless otherwise required by applicable law, a participant’s outstanding purchase rights under any offering under the Amended 2019 ESPP will terminate immediately if the participant either (i) is no longer employed by us or any of our parent or subsidiary companies (subject to any post-employment participation period required by law) or (ii) is otherwise no longer eligible to participate. In such event, we will distribute as soon as practicable to such individual his or her accumulated but unused contributions without interest.</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general, a participant whose employment transfer or whose employment terminates with an immediate rehire (with no break in service) by or between us and a related corporation that has been designated for participation in the Amended 2019 ESPP will not be treated as having terminated employment for purposes of participating in the Amended 2019 ESPP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Plan Administrator may establish different and additional rules governing transfers between separate offerings within the 423 Component and between offerings under the 423 Component and offerings under the Non-423 Component.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Transfer</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Rights granted under the Amended 2019 ESPP are not transferable except by will, by the laws of descent and distribution, or if permitted by us, by a beneficiary designation. During a participant’s lifetime, such rights may only be exercised by the participant.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Capitalization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the event of certain changes in our capitalization, the Plan Administrator will appropriately and proportionately adjust: (i) the class(es) and maximum number of securities subject to the Amended 2019 ESPP; (ii) the class(es) and number of securities subject to, and the purchase price applicable to outstanding offerings and purchase rights; (iii) the class(es) and number of securities that are the subject of any purchase limits under each ongoing offering; and (iv) the class(es) and number of securities by which the share reserve is to increase automatically each year.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Certain Corporate Transactions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event of a corporate transaction (as defined in the Amended 2019 ESPP and described below), (i) any surviving or acquiring corporation (or its parent company) may assume or continue outstanding purchase rights granted under the Amended 2019 ESPP or may substitute similar rights (including a right to acquire the same consideration paid to the stockholders in the corporate transaction) for such outstanding purchase rights, or (ii) if any surviving or acquiring corporation (or its parent company) does not assume or continue such purchase rights or does not substitute similar rights for such purchase rights, then the participants’ accumulated contributions will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be used to purchase shares of our common stock within ten business days prior to the corporate transaction under such outstanding purchase rights, and such purchase rights will terminate immediately after such purchase.</w:t>
      </w:r>
    </w:p>
    <w:p>
      <w:pPr>
        <w:spacing w:after="0" w:line="162" w:lineRule="exact"/>
        <w:rPr>
          <w:sz w:val="20"/>
          <w:szCs w:val="20"/>
          <w:color w:val="auto"/>
        </w:rPr>
      </w:pPr>
    </w:p>
    <w:p>
      <w:pPr>
        <w:ind w:left="120" w:right="220"/>
        <w:spacing w:after="0" w:line="276" w:lineRule="auto"/>
        <w:rPr>
          <w:sz w:val="20"/>
          <w:szCs w:val="20"/>
          <w:color w:val="auto"/>
        </w:rPr>
      </w:pPr>
      <w:r>
        <w:rPr>
          <w:rFonts w:ascii="Times New Roman" w:cs="Times New Roman" w:eastAsia="Times New Roman" w:hAnsi="Times New Roman"/>
          <w:sz w:val="17"/>
          <w:szCs w:val="17"/>
          <w:color w:val="auto"/>
        </w:rPr>
        <w:t>For purposes of the Amended 2019 ESPP, a corporate transaction generally will be deemed to occur in the event of the consummation of: (i) a sale or other disposition of all or substantially all of our consolidated assets; (ii) a sale or other disposition of more than 50% of our outstanding securities;</w:t>
      </w:r>
    </w:p>
    <w:p>
      <w:pPr>
        <w:spacing w:after="0" w:line="1" w:lineRule="exact"/>
        <w:rPr>
          <w:sz w:val="20"/>
          <w:szCs w:val="20"/>
          <w:color w:val="auto"/>
        </w:rPr>
      </w:pPr>
    </w:p>
    <w:p>
      <w:pPr>
        <w:ind w:left="120" w:right="60" w:hanging="4"/>
        <w:spacing w:after="0" w:line="255" w:lineRule="auto"/>
        <w:tabs>
          <w:tab w:leader="none" w:pos="4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such transaction.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Duration, Amendment, Suspension and Termination</w:t>
      </w:r>
    </w:p>
    <w:p>
      <w:pPr>
        <w:spacing w:after="0" w:line="121" w:lineRule="exact"/>
        <w:rPr>
          <w:sz w:val="20"/>
          <w:szCs w:val="20"/>
          <w:color w:val="auto"/>
        </w:rPr>
      </w:pPr>
    </w:p>
    <w:p>
      <w:pPr>
        <w:ind w:left="120" w:right="360"/>
        <w:spacing w:after="0" w:line="312" w:lineRule="auto"/>
        <w:rPr>
          <w:sz w:val="20"/>
          <w:szCs w:val="20"/>
          <w:color w:val="auto"/>
        </w:rPr>
      </w:pPr>
      <w:r>
        <w:rPr>
          <w:rFonts w:ascii="Times New Roman" w:cs="Times New Roman" w:eastAsia="Times New Roman" w:hAnsi="Times New Roman"/>
          <w:sz w:val="17"/>
          <w:szCs w:val="17"/>
          <w:color w:val="auto"/>
        </w:rPr>
        <w:t>The Plan Administrator may amend, suspend or terminate the Amended 2019 ESPP at any time. However, except in regard to certain capitalization adjustments, any such amendment must be approved by our stockholders if such approval is required by applicable law or listing requirements.</w:t>
      </w:r>
    </w:p>
    <w:p>
      <w:pPr>
        <w:spacing w:after="0" w:line="14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Any outstanding purchase rights granted before an amendment, suspension or termination of the Amended 2019 ESPP will not be materially impaired by any such amendment, suspension or termination, except (i) with the consent of the employee to whom such purchase rights were granted, (ii) as necessary to comply with applicable laws, listing requirements or governmental regulations (including Section 423 of the Code), or (iii) as necessary to obtain or maintain favorable tax, listing or regulatory treatment. To be clear, the Plan Administrator may amend outstanding purchase rights without a participant’s consent if such amendment is necessary to ensure that the purchase right and/or the Amended 2019 ESPP complies with the requirements of Section 423 of the Code with respect to the 423 Component or with respect to other applicable laws.</w:t>
      </w:r>
    </w:p>
    <w:p>
      <w:pPr>
        <w:spacing w:after="0" w:line="187"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7"/>
          <w:szCs w:val="17"/>
          <w:color w:val="auto"/>
        </w:rPr>
        <w:t>Notwithstanding anything in the Amended 2019 ESPP or any offering to the contrary, the Plan Administrator will be entitled to: (i) establish the exchange ratio applicable to amounts withheld in a currency other than U.S. dollars; (ii) permit contributions in excess of the amount designated by a participant in order to adjust for mistakes in the processing of properly completed contribution elections; (iii) establish reasonable waiting and adjustment periods and/or accounting and crediting procedures to ensure that amounts applied toward the purchase of our common stock for each participant properly correspond with amounts withheld from the participant’s contributions; (iv) amend such purchase rights or clarify any ambiguities regarding the terms of any offering to enable such purchase rights to qualify under and/or comply with Section 423 of the Code with respect to the</w:t>
      </w:r>
    </w:p>
    <w:p>
      <w:pPr>
        <w:spacing w:after="0" w:line="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423 Component of the Amended 2019 ESPP; and (v) establish other limitations or procedures as the Plan Administrator determines in its sole discretion advisable that are consistent with the Amended 2019 ESPP. Any such actions by the Plan Administrator pursuant to this paragraph will not be considered to alter or impair any purchase rights granted under an offering as they are part of the initial terms of each offering and the purchase rights granted under each offering.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w:t>
      </w:r>
      <w:r>
        <w:rPr>
          <w:rFonts w:ascii="Times New Roman" w:cs="Times New Roman" w:eastAsia="Times New Roman" w:hAnsi="Times New Roman"/>
          <w:sz w:val="14"/>
          <w:szCs w:val="14"/>
          <w:b w:val="1"/>
          <w:bCs w:val="1"/>
          <w:color w:val="auto"/>
        </w:rPr>
        <w:t>EDERAL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NCOME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ONSEQUENCES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principal United States federal income tax consequences to participants and us with respect to participation in the Amended 2019 ESPP.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 purchase right or the sale or other disposition of common stock acquired under the Amended 2019 ESPP. The Amended 2019 ESPP is not qualified under the provisions of Section 401(a) of the Code and is not subject to any of the provisions of the Employee Retirement Income Security Act of 1974, as amended.</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423 Component</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Rights granted under the 423 Component of the Amended 2019 ESPP are intended to qualify for favorable federal income tax treatment associated with rights granted under an employee stock purchase plan which qualifies under the provisions of Section 423 of the Code.</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 participant will be taxed on amounts withheld for the purchase of shares of our common stock as if such amounts were actually received. Otherwise, under the 423 Component, no income will be taxable to a participant as a result of the granting or exercise of a purchase right until a sale or other disposition of the acquired shares. The taxation upon such sale or disposition will depend upon the holding period of the acquired shares.</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Under the 423 Component, 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 the 423 Component, 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disposition. The balance of any gain will be treated as capital gain. Even if the shares are later sold or otherwise disposed of for less than its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There are no federal income tax consequences to us by reason of the grant or exercise of rights under the 423 Component. We are entitled to a deduction to the extent amounts are taxed as ordinary income to a participant for shares sold or otherwise disposed of before the expiration of the holding periods described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Non-423 Component</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Under the Non-423 Component, the excess of the fair market value of the shares on the purchase date over the purchase price will be treated as ordinary income at the time of such purchase. The amount of such ordinary income will be added to the participant’s basis in the shares, and any additional gain or resulting loss recognized on the disposition of the shares after such basis adjustment will be a capital gain or loss. Any capital gain or loss will be short-term or long-term, depending on how long the shares have been held. Under the Non-423 Component, we are generally entitled to a deduction in the year of purchase equal to the amount of ordinary income realized by a participant as a result of such purchase.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ENEFITS UNDER</w:t>
      </w:r>
      <w:r>
        <w:rPr>
          <w:rFonts w:ascii="Times New Roman" w:cs="Times New Roman" w:eastAsia="Times New Roman" w:hAnsi="Times New Roman"/>
          <w:sz w:val="18"/>
          <w:szCs w:val="18"/>
          <w:b w:val="1"/>
          <w:bCs w:val="1"/>
          <w:color w:val="auto"/>
        </w:rPr>
        <w:t xml:space="preserve"> 2019 ESPP</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we have not completed any offerings under the 2019 ESPP, no shares have been purchased under the 2019 ESPP.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EW</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ENEFITS UNDER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MENDED</w:t>
      </w:r>
      <w:r>
        <w:rPr>
          <w:rFonts w:ascii="Times New Roman" w:cs="Times New Roman" w:eastAsia="Times New Roman" w:hAnsi="Times New Roman"/>
          <w:sz w:val="18"/>
          <w:szCs w:val="18"/>
          <w:b w:val="1"/>
          <w:bCs w:val="1"/>
          <w:color w:val="auto"/>
        </w:rPr>
        <w:t xml:space="preserve"> 2019 ESPP</w:t>
      </w:r>
    </w:p>
    <w:p>
      <w:pPr>
        <w:spacing w:after="0" w:line="121"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Participation in the Amended 2019 ESPP is voluntary and each eligible employee will make his or her own decision regarding whether and to what extent to participate in the Amended 2019 ESPP. In addition, we have not approved any grants of purchase rights that are conditioned on stockholder approval of this Proposal 3. Accordingly, we cannot determine the benefits or amounts that will be received in the future by individual employees or groups of employees under the Amended 2019 ESPP. Our non-employee directors are not eligible to participate in the 2019 ESPP and will not be eligible to participate in the Amended 2019 ESPP.</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EQUIRED</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voting power of the votes cast by the holders of all the shares present or represented by proxy at the Annual Meeting will be required to approve the Amended and Restated 2019 Employee Stock Purchase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ECOMMENDATION</w:t>
      </w:r>
    </w:p>
    <w:p>
      <w:pPr>
        <w:spacing w:after="0" w:line="33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ROPOSAL</w:t>
      </w:r>
      <w:r>
        <w:rPr>
          <w:rFonts w:ascii="Times New Roman" w:cs="Times New Roman" w:eastAsia="Times New Roman" w:hAnsi="Times New Roman"/>
          <w:sz w:val="18"/>
          <w:szCs w:val="18"/>
          <w:b w:val="1"/>
          <w:bCs w:val="1"/>
          <w:color w:val="auto"/>
        </w:rPr>
        <w:t xml:space="preserve"> 3.</w:t>
      </w:r>
    </w:p>
    <w:p>
      <w:pPr>
        <w:spacing w:after="0" w:line="13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820"/>
          </w:cols>
          <w:pgMar w:left="320" w:top="455" w:right="7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03" w:lineRule="exact"/>
        <w:rPr>
          <w:sz w:val="20"/>
          <w:szCs w:val="20"/>
          <w:color w:val="auto"/>
        </w:rPr>
      </w:pPr>
    </w:p>
    <w:p>
      <w:pPr>
        <w:ind w:left="120" w:right="300"/>
        <w:spacing w:after="0" w:line="257" w:lineRule="auto"/>
        <w:rPr>
          <w:sz w:val="20"/>
          <w:szCs w:val="20"/>
          <w:color w:val="auto"/>
        </w:rPr>
      </w:pPr>
      <w:r>
        <w:rPr>
          <w:rFonts w:ascii="Times New Roman" w:cs="Times New Roman" w:eastAsia="Times New Roman" w:hAnsi="Times New Roman"/>
          <w:sz w:val="18"/>
          <w:szCs w:val="18"/>
          <w:color w:val="auto"/>
        </w:rPr>
        <w:t>The Audit Committee has selected Ernst &amp; Young LLP (“</w:t>
      </w:r>
      <w:r>
        <w:rPr>
          <w:rFonts w:ascii="Times New Roman" w:cs="Times New Roman" w:eastAsia="Times New Roman" w:hAnsi="Times New Roman"/>
          <w:sz w:val="18"/>
          <w:szCs w:val="18"/>
          <w:b w:val="1"/>
          <w:bCs w:val="1"/>
          <w:i w:val="1"/>
          <w:iCs w:val="1"/>
          <w:color w:val="auto"/>
        </w:rPr>
        <w:t>Ernst &amp; Young</w:t>
      </w:r>
      <w:r>
        <w:rPr>
          <w:rFonts w:ascii="Times New Roman" w:cs="Times New Roman" w:eastAsia="Times New Roman" w:hAnsi="Times New Roman"/>
          <w:sz w:val="18"/>
          <w:szCs w:val="18"/>
          <w:color w:val="auto"/>
        </w:rPr>
        <w:t>”) as our independent registered public accounting firm for the fiscal year ending December 31, 2022 and has further directed that management submit the selection of its independent registered public accounting firm for ratification by the stockholders at the Annual Meeting. Ernst &amp; Young has audited the financial statements of Tempest since 2021 and, prior to the completion of the Merger, was the independent registered public accounting firm for Millendo since 2016. Representatives of Ernst &amp; Young are expected to be present at the Annual Meeting. They will have an opportunity to make a statement if they so desire and will be available to respond to appropriate questions.</w:t>
      </w:r>
    </w:p>
    <w:p>
      <w:pPr>
        <w:spacing w:after="0" w:line="18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selection of Ernst &amp; Young as our independent registered public accounting firm. However, the Audit Committee is submitting the selection of Ernst &amp; Young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Tempest and our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RINCIPAL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including fees incurred by Millendo prior to the completion of the Merger, for the fiscal years ended December 31, 2021 and December 31, 2020 by Ernst &amp; Young, the Company’s principal accountant.</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42"/>
        </w:trPr>
        <w:tc>
          <w:tcPr>
            <w:tcW w:w="3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3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20" w:type="dxa"/>
            <w:vAlign w:val="bottom"/>
            <w:gridSpan w:val="3"/>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15"/>
                <w:szCs w:val="15"/>
                <w:color w:val="auto"/>
              </w:rPr>
              <w:t>(1)</w:t>
            </w:r>
          </w:p>
        </w:tc>
        <w:tc>
          <w:tcPr>
            <w:tcW w:w="37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$ 1,059,000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$ 509,250</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48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15"/>
                <w:szCs w:val="15"/>
                <w:color w:val="auto"/>
              </w:rPr>
              <w:t>(2)</w:t>
            </w:r>
          </w:p>
        </w:tc>
        <w:tc>
          <w:tcPr>
            <w:tcW w:w="37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91,500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134,593</w:t>
            </w: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48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7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$ 1,150,500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$ 643,843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248285</wp:posOffset>
            </wp:positionV>
            <wp:extent cx="7715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40" w:right="140" w:hanging="424"/>
        <w:spacing w:after="0" w:line="26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relate to the audit of our annual financial statements, review of interim financial statements and assistance with registration statements filed with the SEC.</w:t>
      </w: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services related to tax compliance and tax advisory services.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RE</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OLICIES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pre-approval policy under which the Audit Committee approves in advance all audit and permissible non-audit services to be performed by the independent accountants (subject to a de minimis exception). These services may include audit services, audit-related services, tax services, and other non-audit services. As part of its pre-approval policy, the Audit Committee considers whether the provision of any proposed non-audit services is consistent with the SEC’s rules on auditor independence. In accordance with its pre-approval policy, the Audit Committee has pre-approved certain specified audit and non-audit services to be provided by our independent auditor. If there are any additional services to be provided, a request for pre-approval must be submitted to the Audit Committee for its consideration under the policy. The Audit Committee generally pre-approves particular services or categories of services on a case-by-case basis. Finally, in accordance with the pre-approval policy, the Audit Committee has delegated pre-approval authority to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chair of the audit committee. The chair must report any pre-approval decisions to the Audit Committee at its next meeting. The Audit Committee has determined that the rendering of services other than audit services by Ernst &amp; Young is compatible with maintaining the principal accountant’s independence.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EQUIRED</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voting power of the votes cast by the holders of all the shares present or represented by proxy at the Annual Meeting will be required to ratify the selection of Ernst &amp; Young.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ECOMMENDATION</w:t>
      </w:r>
    </w:p>
    <w:p>
      <w:pPr>
        <w:spacing w:after="0" w:line="3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ROPOSAL</w:t>
      </w:r>
      <w:r>
        <w:rPr>
          <w:rFonts w:ascii="Times New Roman" w:cs="Times New Roman" w:eastAsia="Times New Roman" w:hAnsi="Times New Roman"/>
          <w:sz w:val="18"/>
          <w:szCs w:val="18"/>
          <w:b w:val="1"/>
          <w:bCs w:val="1"/>
          <w:color w:val="auto"/>
        </w:rPr>
        <w:t xml:space="preserve"> 4</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840"/>
          </w:cols>
          <w:pgMar w:left="320" w:top="455" w:right="7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common stock as of March 31, 2022, the most recent practicable date for computing beneficial ownership, by:</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or investment power with respect to those securities. Unless otherwise indicated, the persons or entities identified in this table have sole voting and investment power with respect to all shares shown as beneficially owned by them, subject to applicable community property laws.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Applicable percentage ownership is based on 7,173,094 shares of our common stock issued and outstanding as of March 31, 2022. The number of shares of common stock used to calculate the percentage ownership of each listed person includes the shares of common stock underlying options and warrants held by such persons that are currently exercisable or convertible or will be exercisable or convertible within 60 days of March 31, 2022. However, we did not deem these shares outstanding for the purpose of computing the percentage ownership of any other person.</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0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2"/>
                <w:szCs w:val="12"/>
                <w:b w:val="1"/>
                <w:bCs w:val="1"/>
                <w:color w:val="auto"/>
              </w:rPr>
              <w:t>(1)</w:t>
            </w:r>
          </w:p>
        </w:tc>
        <w:tc>
          <w:tcPr>
            <w:tcW w:w="316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28"/>
        </w:trPr>
        <w:tc>
          <w:tcPr>
            <w:tcW w:w="5200" w:type="dxa"/>
            <w:vAlign w:val="bottom"/>
            <w:gridSpan w:val="3"/>
            <w:vMerge w:val="continue"/>
          </w:tcPr>
          <w:p>
            <w:pPr>
              <w:spacing w:after="0"/>
              <w:rPr>
                <w:sz w:val="11"/>
                <w:szCs w:val="11"/>
                <w:color w:val="auto"/>
              </w:rPr>
            </w:pPr>
          </w:p>
        </w:tc>
        <w:tc>
          <w:tcPr>
            <w:tcW w:w="19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9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 of Total</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shd w:val="clear" w:color="auto" w:fill="000000"/>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 Owning Greater than 5%:</w:t>
            </w:r>
          </w:p>
        </w:tc>
        <w:tc>
          <w:tcPr>
            <w:tcW w:w="1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Entities affiliated with F-Prime Capital Partners</w:t>
            </w:r>
            <w:r>
              <w:rPr>
                <w:rFonts w:ascii="Times New Roman" w:cs="Times New Roman" w:eastAsia="Times New Roman" w:hAnsi="Times New Roman"/>
                <w:sz w:val="15"/>
                <w:szCs w:val="15"/>
                <w:color w:val="auto"/>
              </w:rPr>
              <w:t>(2).</w:t>
            </w: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647,898</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LYFE Capital Fund III (Phoenix), L.P.</w:t>
            </w:r>
            <w:r>
              <w:rPr>
                <w:rFonts w:ascii="Times New Roman" w:cs="Times New Roman" w:eastAsia="Times New Roman" w:hAnsi="Times New Roman"/>
                <w:sz w:val="15"/>
                <w:szCs w:val="15"/>
                <w:color w:val="auto"/>
              </w:rPr>
              <w:t>(3)</w:t>
            </w:r>
          </w:p>
        </w:tc>
        <w:tc>
          <w:tcPr>
            <w:tcW w:w="1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489,629</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Quan Venture Fund I, LP</w:t>
            </w:r>
            <w:r>
              <w:rPr>
                <w:rFonts w:ascii="Times New Roman" w:cs="Times New Roman" w:eastAsia="Times New Roman" w:hAnsi="Times New Roman"/>
                <w:sz w:val="15"/>
                <w:szCs w:val="15"/>
                <w:color w:val="auto"/>
              </w:rPr>
              <w:t>(4)</w:t>
            </w: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579,710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Rock Springs Capital</w:t>
            </w:r>
            <w:r>
              <w:rPr>
                <w:rFonts w:ascii="Times New Roman" w:cs="Times New Roman" w:eastAsia="Times New Roman" w:hAnsi="Times New Roman"/>
                <w:sz w:val="15"/>
                <w:szCs w:val="15"/>
                <w:color w:val="auto"/>
              </w:rPr>
              <w:t>(5)</w:t>
            </w:r>
          </w:p>
        </w:tc>
        <w:tc>
          <w:tcPr>
            <w:tcW w:w="1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823,654</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Entities affiliated with Versant Venture Capital</w:t>
            </w:r>
            <w:r>
              <w:rPr>
                <w:rFonts w:ascii="Times New Roman" w:cs="Times New Roman" w:eastAsia="Times New Roman" w:hAnsi="Times New Roman"/>
                <w:sz w:val="15"/>
                <w:szCs w:val="15"/>
                <w:color w:val="auto"/>
              </w:rPr>
              <w:t>(6)</w:t>
            </w: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2,176,411</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Brady</w:t>
            </w:r>
            <w:r>
              <w:rPr>
                <w:rFonts w:ascii="Times New Roman" w:cs="Times New Roman" w:eastAsia="Times New Roman" w:hAnsi="Times New Roman"/>
                <w:sz w:val="15"/>
                <w:szCs w:val="15"/>
                <w:color w:val="auto"/>
              </w:rPr>
              <w:t>(7)</w:t>
            </w: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137,989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Dubensky</w:t>
            </w:r>
            <w:r>
              <w:rPr>
                <w:rFonts w:ascii="Times New Roman" w:cs="Times New Roman" w:eastAsia="Times New Roman" w:hAnsi="Times New Roman"/>
                <w:sz w:val="15"/>
                <w:szCs w:val="15"/>
                <w:color w:val="auto"/>
              </w:rPr>
              <w:t>(8)</w:t>
            </w:r>
          </w:p>
        </w:tc>
        <w:tc>
          <w:tcPr>
            <w:tcW w:w="1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189,625</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Samuel Whiting</w:t>
            </w:r>
            <w:r>
              <w:rPr>
                <w:rFonts w:ascii="Times New Roman" w:cs="Times New Roman" w:eastAsia="Times New Roman" w:hAnsi="Times New Roman"/>
                <w:sz w:val="15"/>
                <w:szCs w:val="15"/>
                <w:color w:val="auto"/>
              </w:rPr>
              <w:t>(9)</w:t>
            </w: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32,271</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r>
              <w:rPr>
                <w:rFonts w:ascii="Times New Roman" w:cs="Times New Roman" w:eastAsia="Times New Roman" w:hAnsi="Times New Roman"/>
                <w:sz w:val="15"/>
                <w:szCs w:val="15"/>
                <w:color w:val="auto"/>
              </w:rPr>
              <w:t>(10)</w:t>
            </w:r>
          </w:p>
        </w:tc>
        <w:tc>
          <w:tcPr>
            <w:tcW w:w="1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20,827</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Geoff Nichol</w:t>
            </w:r>
          </w:p>
        </w:tc>
        <w:tc>
          <w:tcPr>
            <w:tcW w:w="19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Pellizzari</w:t>
            </w:r>
          </w:p>
        </w:tc>
        <w:tc>
          <w:tcPr>
            <w:tcW w:w="19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Ronit Simantov</w:t>
            </w:r>
          </w:p>
        </w:tc>
        <w:tc>
          <w:tcPr>
            <w:tcW w:w="19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Woiwode</w:t>
            </w:r>
          </w:p>
        </w:tc>
        <w:tc>
          <w:tcPr>
            <w:tcW w:w="19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(8 persons)</w:t>
            </w: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380,712</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236855</wp:posOffset>
            </wp:positionV>
            <wp:extent cx="7715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9"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160" w:hanging="424"/>
        <w:spacing w:after="0" w:line="26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director and executive officer is c/o Tempest Therapeutics, Inc., 7000 Shoreline Court, Suite 275, South San Francisco, CA 94080.</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0" w:hanging="424"/>
        <w:spacing w:after="0" w:line="253"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14,768,145 shares of common stock held by F-Prime Capital Partners Healthcare Fund V LP. F-Prime Capital Partners Healthcare Advisors Fund V LP is the general partner of F-Prime Capital Partners Healthcare Fund V LP. F-Prime Capital Partners Healthcare Advisors Fund V LP is solely managed by Impresa Management LLC, the managing member of its general partner and its investment manager. Impresa Management LLC is owned, directly or indirectly, by various stockholders and employees of FMR LLC. Each the entities listed above expressly disclaims beneficial ownership of the securities listed above except to the extent of any pecuniary interest therein, if any. The address of these entities is 245 Summer Street, Boston, Massachusetts 02210.</w:t>
      </w:r>
    </w:p>
    <w:p>
      <w:pPr>
        <w:spacing w:after="0" w:line="5"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12,500,000 shares of common stock held by LYFE Capital Fund III (Phoenix), L.P. LYFE Capital Management (Phoenix) LLC is the general partner of LYFE Capital Fund III (Phoenix), L.P. Mr. Yao Li Ho is the sole member of LYFE Capital Management (Phoenix) LLC and has the voting and investment power with respect to all of the shares held by LYFE Capital Fund III (Phoenix), L.P. The address of the foregoing entities is 1209 Orange Street, Wilmington, DE 19801, USA.</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14,768,145 shares of common stock held by Quan Venture Fund I, L.P. The general partner of Quan Venture Fund I, L.P. is Quan Venture Partners I, L.L.C. Dr. Xu, a former member of Tempest’s board of directors, is a manager of Quan Venture Partners I, L.L.C. and shares the ultimate power to vote or dispose of the shares held by Quan Venture Fund I, L.P. Dr. Xu disclaims beneficial ownership of the shares held by Quan Capital, except to the extent of her pecuniary interest, if any. The address of Dr. Xu and Quan Venture Fund I, L.P. is c/o Maples Corporate Services Ltd., PO Box 309, Ugland House Grand Cayman, Cayman Islands KY1-1104.</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indicated ownership is based solely on a Schedule 13G filed with the SEC by the reporting person on January 3, 2022. Represents 823,654 shares, as reported on Schedule 13G filed with the SEC on January 3, 2022 on behalf of Rock Springs Capital Management LP, Rock Springs Capital LLC and Rock Springs Capital Master Fund LP (collectively, the “Rock Springs Reporting Persons”) pursuant to a joint filing agreement. The Rock Springs Reporting Persons may be deemed to have shared voting and dispositive power with respect to the shares held by them, and may be deemed beneficial owners of such shares The principal business address of the Rock Springs Reporting Persons is 650 South Exeter, Suite 1070, Baltimore, MD 21202.</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indicated ownership is based solely on a Schedule 13G filed with the SEC by the reporting person on February 11, 2022. Represents (i) 997,940 shares of common stock held by Versant Venture Capital VI, L.P., (ii) 1,171,094 shares of common stock held by Versant Venture Capital IV, L.P., and (iii) 7,377 shares of common stock held by Versant Side Fund IV, L.P, as reported on Schedule 13G filed with the SEC on February 11, 2022. Versant Ventures IV, LLC, is the general partner of each of Versant Venture Capital IV, L.P. and Versant Side Fund IV, L.P. Dr. Woiwode, a member of Tempest’s board of directors, Kirk Nielsen, Bradley Bolzon, Robin Praeger, William Link, Samuel Colella, Rebecca Robertson, Brian Atwood, Ross Jaffe and Charles Warden, the managing members of Versant Ventures IV, LLC, may be deemed to possess voting and dispositive control over the shares held by Versant Venture Capital IV, L.P. and Versant Side Fund IV, L.P., and may be deemed to have indirect beneficial ownership of the shares held by such entities but disclaims beneficial ownership of such securities, except to the extent of their respective pecuniary interest therein, if any. Versant Ventures VI GP, L.P. is the general partner of Versant Venture Capital VI, L.P. and Versant Ventures VI GP-GP, LLC is the general partner of Versant Ventures VI GP, L.P. and has voting and dispositive control over the shares held by Versant Venture Capital VI, L.P. Dr. Woiwode, Bradley Bolzon, Jerel Davis, Kirk Nielsen, Clare Ozawa and Robin Praeger, the managing directors of Versant Ventures VI GP-GP, LLC, may be deemed to possess voting and dispositive control over the shares held by Versant Venture Capital VI, L.P. and may be deemed to have indirect beneficial ownership of the shares held by such entity but disclaims beneficial ownership of such securities, except to the extent of their respective pecuniary interest therein, if any. The address of Dr. Woiwode and each of these persons and entities is One Sansome, Suite 3630, San Francisco, CA 94104.</w:t>
      </w:r>
    </w:p>
    <w:p>
      <w:pPr>
        <w:spacing w:after="0" w:line="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137,989 shares of common stock subject to options that are exercisable within 60 days of March 31, 2022.</w:t>
      </w:r>
    </w:p>
    <w:p>
      <w:pPr>
        <w:spacing w:after="0" w:line="9" w:lineRule="exact"/>
        <w:rPr>
          <w:rFonts w:ascii="Times New Roman" w:cs="Times New Roman" w:eastAsia="Times New Roman" w:hAnsi="Times New Roman"/>
          <w:sz w:val="18"/>
          <w:szCs w:val="18"/>
          <w:color w:val="auto"/>
        </w:rPr>
      </w:pPr>
    </w:p>
    <w:p>
      <w:pPr>
        <w:ind w:left="540" w:right="220" w:hanging="424"/>
        <w:spacing w:after="0" w:line="26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113,343 shares of common stock and (ii) 76,282 shares of common stock subject to options that are exercisable within 60 days of March 31, 2022.</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320" w:hanging="424"/>
        <w:spacing w:after="0" w:line="261"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1,901 shares of common stock and (ii) 30,370 shares of common stock subject to options that are exercisable within 60 days of March 31, 2022.</w:t>
      </w: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20,827 shares of common stock subject to options that are exercisable within 60 days of March 31, 2022.</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ELINQUENT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16(A) R</w:t>
      </w:r>
      <w:r>
        <w:rPr>
          <w:rFonts w:ascii="Times New Roman" w:cs="Times New Roman" w:eastAsia="Times New Roman" w:hAnsi="Times New Roman"/>
          <w:sz w:val="14"/>
          <w:szCs w:val="14"/>
          <w:b w:val="1"/>
          <w:bCs w:val="1"/>
          <w:color w:val="auto"/>
        </w:rPr>
        <w:t>EPORTS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own more than 10% of a registered class of our equity securities, to file with the SEC initial reports of ownership and reports of changes in ownership of our common stock and other equity securities. Officers, directors and greater than 10% stockholders are required by SEC regulation to furnish us with copies of all Section 16(a) forms they file.</w:t>
      </w:r>
    </w:p>
    <w:p>
      <w:pPr>
        <w:spacing w:after="0" w:line="176"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To our knowledge, based solely on a review of the copies of such reports filed on the SEC’s EDGAR system and written representations that no other reports were required, during the fiscal year ended December 31, 2021, all Section 16(a) filing requirements applicable to its officers, directors and greater than 10% beneficial owners were complied with, except that a Form 3 was filed late by Dr. Whiting due to a delay in receipt of his EDGAR codes.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60"/>
          </w:cols>
          <w:pgMar w:left="320" w:top="455"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the date of this proxy statement.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080" w:type="dxa"/>
            <w:vAlign w:val="bottom"/>
          </w:tcPr>
          <w:p>
            <w:pPr>
              <w:spacing w:after="0"/>
              <w:rPr>
                <w:sz w:val="16"/>
                <w:szCs w:val="16"/>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Stephen Brady</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260" w:type="dxa"/>
            <w:vAlign w:val="bottom"/>
            <w:tcBorders>
              <w:top w:val="single" w:sz="8" w:color="CCEEFF"/>
            </w:tcBorders>
            <w:shd w:val="clear" w:color="auto" w:fill="CCEEFF"/>
          </w:tcPr>
          <w:p>
            <w:pPr>
              <w:spacing w:after="0"/>
              <w:rPr>
                <w:sz w:val="17"/>
                <w:szCs w:val="17"/>
                <w:color w:val="auto"/>
              </w:rPr>
            </w:pPr>
          </w:p>
        </w:tc>
        <w:tc>
          <w:tcPr>
            <w:tcW w:w="50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Dubensky</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Director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Whiting, M.D., Ph.D.</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8"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Biographical information for Mr. Brady and Dr. Dubensky are included above with the director biographies under the caption “Information Regarding Director Nominees and Continuing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AMUEL</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HITING</w:t>
      </w:r>
      <w:r>
        <w:rPr>
          <w:rFonts w:ascii="Times New Roman" w:cs="Times New Roman" w:eastAsia="Times New Roman" w:hAnsi="Times New Roman"/>
          <w:sz w:val="18"/>
          <w:szCs w:val="18"/>
          <w:b w:val="1"/>
          <w:bCs w:val="1"/>
          <w:color w:val="auto"/>
        </w:rPr>
        <w:t>, M.D., P</w:t>
      </w: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8"/>
          <w:szCs w:val="18"/>
          <w:b w:val="1"/>
          <w:bCs w:val="1"/>
          <w:color w:val="auto"/>
        </w:rPr>
        <w:t>.D.</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Dr. Whiting has served as our Executive Vice President and Chief Medical Officer since November 2020. Prior to joining us, Dr. Whiting served as Senior Vice President of Clinical Development at Calithera Biosciences, a clinical-stage biotech company focused on developing treatments for cancer and other life-threatening diseases. Before Calithera, Dr. Whiting served as Vice President of Research and Clinical Development at Gradalis and worked in development of small molecule targeted and immuno-oncology agents at VentiRx Pharmaceuticals and Oncothyreon. Prior to joining industry, Dr. Whiting served as Assistant Professor of Medical Oncology at the University of Washington, Assistant Member of Clinical Research at the Fred Hutchinson Cancer Research Center, and Clinical Head of Gastrointestinal Oncology at the Seattle Cancer Care Alliance. Dr. Whiting completed fellowship training in medical oncology at the Fred Hutchinson Cancer Research Center. His training in internal medicine was through the ABIM Research Pathway at the University of Washington. Dr. Whiting received his B.S. with Honors in Chemistry from Lewis and Clark College and his M.D. and Ph.D. in the Medical Scientist Training Program at the University of Washington.</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for each of the last two completed fiscal years regarding compensation awarded to or earned by all individuals who served as the Company’s Chief Executive Officer and the Company’s two other most highly compensated executive officers (the “</w:t>
      </w:r>
      <w:r>
        <w:rPr>
          <w:rFonts w:ascii="Times New Roman" w:cs="Times New Roman" w:eastAsia="Times New Roman" w:hAnsi="Times New Roman"/>
          <w:sz w:val="18"/>
          <w:szCs w:val="18"/>
          <w:b w:val="1"/>
          <w:bCs w:val="1"/>
          <w:i w:val="1"/>
          <w:iCs w:val="1"/>
          <w:color w:val="auto"/>
        </w:rPr>
        <w:t>Named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Executive Officers</w:t>
      </w:r>
      <w:r>
        <w:rPr>
          <w:rFonts w:ascii="Times New Roman" w:cs="Times New Roman" w:eastAsia="Times New Roman" w:hAnsi="Times New Roman"/>
          <w:sz w:val="18"/>
          <w:szCs w:val="18"/>
          <w:color w:val="auto"/>
        </w:rPr>
        <w:t>”) during the fiscal years indicated.</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40" w:type="dxa"/>
            <w:vAlign w:val="bottom"/>
            <w:gridSpan w:val="2"/>
            <w:vMerge w:val="continue"/>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2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16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260" w:type="dxa"/>
            <w:vAlign w:val="bottom"/>
          </w:tcPr>
          <w:p>
            <w:pPr>
              <w:spacing w:after="0"/>
              <w:rPr>
                <w:sz w:val="15"/>
                <w:szCs w:val="15"/>
                <w:color w:val="auto"/>
              </w:rPr>
            </w:pPr>
          </w:p>
        </w:tc>
        <w:tc>
          <w:tcPr>
            <w:tcW w:w="900" w:type="dxa"/>
            <w:vAlign w:val="bottom"/>
          </w:tcPr>
          <w:p>
            <w:pPr>
              <w:jc w:val="right"/>
              <w:ind w:right="217"/>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26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5"/>
                <w:szCs w:val="15"/>
                <w:color w:val="auto"/>
              </w:rPr>
            </w:pPr>
          </w:p>
        </w:tc>
        <w:tc>
          <w:tcPr>
            <w:tcW w:w="780" w:type="dxa"/>
            <w:vAlign w:val="bottom"/>
          </w:tcPr>
          <w:p>
            <w:pPr>
              <w:jc w:val="right"/>
              <w:ind w:right="21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Stephen Brady</w:t>
            </w:r>
          </w:p>
        </w:tc>
        <w:tc>
          <w:tcPr>
            <w:tcW w:w="1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2021</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475,283</w:t>
            </w: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49,325</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190,113</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714,721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Dubensky</w:t>
            </w:r>
          </w:p>
        </w:tc>
        <w:tc>
          <w:tcPr>
            <w:tcW w:w="184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2021</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475,283</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562,094</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190,113</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272,677</w:t>
            </w:r>
            <w:r>
              <w:rPr>
                <w:rFonts w:ascii="Times New Roman" w:cs="Times New Roman" w:eastAsia="Times New Roman" w:hAnsi="Times New Roman"/>
                <w:sz w:val="15"/>
                <w:szCs w:val="15"/>
                <w:color w:val="auto"/>
              </w:rPr>
              <w:t>(5)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1,500,167</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Whiting</w:t>
            </w:r>
          </w:p>
        </w:tc>
        <w:tc>
          <w:tcPr>
            <w:tcW w:w="184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2021</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400,000</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296,737</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140,000</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836,737</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 C. Owens</w:t>
            </w:r>
            <w:r>
              <w:rPr>
                <w:rFonts w:ascii="Times New Roman" w:cs="Times New Roman" w:eastAsia="Times New Roman" w:hAnsi="Times New Roman"/>
                <w:sz w:val="15"/>
                <w:szCs w:val="15"/>
                <w:color w:val="auto"/>
              </w:rPr>
              <w:t>(3)</w:t>
            </w:r>
          </w:p>
        </w:tc>
        <w:tc>
          <w:tcPr>
            <w:tcW w:w="184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2021</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120,415</w:t>
            </w:r>
            <w:r>
              <w:rPr>
                <w:rFonts w:ascii="Times New Roman" w:cs="Times New Roman" w:eastAsia="Times New Roman" w:hAnsi="Times New Roman"/>
                <w:sz w:val="15"/>
                <w:szCs w:val="15"/>
                <w:color w:val="auto"/>
              </w:rPr>
              <w:t>(6)</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35,203</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1,184,175</w:t>
            </w:r>
            <w:r>
              <w:rPr>
                <w:rFonts w:ascii="Times New Roman" w:cs="Times New Roman" w:eastAsia="Times New Roman" w:hAnsi="Times New Roman"/>
                <w:sz w:val="15"/>
                <w:szCs w:val="15"/>
                <w:color w:val="auto"/>
              </w:rPr>
              <w:t>(7)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1,339,793</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184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2020</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526,300</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1,483,928</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263,150</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8,550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2,281,928</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 Arcudi III</w:t>
            </w:r>
            <w:r>
              <w:rPr>
                <w:rFonts w:ascii="Times New Roman" w:cs="Times New Roman" w:eastAsia="Times New Roman" w:hAnsi="Times New Roman"/>
                <w:sz w:val="15"/>
                <w:szCs w:val="15"/>
                <w:color w:val="auto"/>
              </w:rPr>
              <w:t>(4)</w:t>
            </w:r>
          </w:p>
        </w:tc>
        <w:tc>
          <w:tcPr>
            <w:tcW w:w="184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2021</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211,694</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880,000</w:t>
            </w:r>
            <w:r>
              <w:rPr>
                <w:rFonts w:ascii="Times New Roman" w:cs="Times New Roman" w:eastAsia="Times New Roman" w:hAnsi="Times New Roman"/>
                <w:sz w:val="15"/>
                <w:szCs w:val="15"/>
                <w:color w:val="auto"/>
              </w:rPr>
              <w:t>(8)</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541,266</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1,632,960</w:t>
            </w:r>
          </w:p>
        </w:tc>
        <w:tc>
          <w:tcPr>
            <w:tcW w:w="0" w:type="dxa"/>
            <w:vAlign w:val="bottom"/>
          </w:tcPr>
          <w:p>
            <w:pPr>
              <w:spacing w:after="0"/>
              <w:rPr>
                <w:sz w:val="1"/>
                <w:szCs w:val="1"/>
                <w:color w:val="auto"/>
              </w:rPr>
            </w:pPr>
          </w:p>
        </w:tc>
      </w:tr>
      <w:tr>
        <w:trPr>
          <w:trHeight w:val="23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184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2020</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378,400</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437,930</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151,360</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8,550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976,240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235585</wp:posOffset>
            </wp:positionV>
            <wp:extent cx="7715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7" w:lineRule="exact"/>
        <w:rPr>
          <w:sz w:val="20"/>
          <w:szCs w:val="20"/>
          <w:color w:val="auto"/>
        </w:rPr>
      </w:pPr>
    </w:p>
    <w:p>
      <w:pPr>
        <w:ind w:left="540" w:right="80" w:hanging="424"/>
        <w:spacing w:after="0" w:line="254"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grant date fair value of the option awards granted to our named executive officers during the relevant fiscal years under our equity incentive plans, computed in accordance with Financial Accounting Standards Board Accounting Standards Codification Topic 718 (“</w:t>
      </w:r>
      <w:r>
        <w:rPr>
          <w:rFonts w:ascii="Times New Roman" w:cs="Times New Roman" w:eastAsia="Times New Roman" w:hAnsi="Times New Roman"/>
          <w:sz w:val="18"/>
          <w:szCs w:val="18"/>
          <w:b w:val="1"/>
          <w:bCs w:val="1"/>
          <w:i w:val="1"/>
          <w:iCs w:val="1"/>
          <w:color w:val="auto"/>
        </w:rPr>
        <w:t>ASC 718</w:t>
      </w:r>
      <w:r>
        <w:rPr>
          <w:rFonts w:ascii="Times New Roman" w:cs="Times New Roman" w:eastAsia="Times New Roman" w:hAnsi="Times New Roman"/>
          <w:sz w:val="18"/>
          <w:szCs w:val="18"/>
          <w:color w:val="auto"/>
        </w:rPr>
        <w:t>”). The assumptions used in calculating the grant date fair value of the restricted stock units are set forth in the notes to our audited consolidated financial statements included in our Annual Report on Form 10-K for the fiscal year ended December 31, 2021. These amounts do not reflect the actual economic value that may be realized by our named executive officers.</w:t>
      </w:r>
    </w:p>
    <w:p>
      <w:pPr>
        <w:spacing w:after="0" w:line="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cash bonuses paid to each named executive officer in 2022 for performance in fiscal year 2021.</w:t>
      </w:r>
    </w:p>
    <w:p>
      <w:pPr>
        <w:spacing w:after="0" w:line="9" w:lineRule="exact"/>
        <w:rPr>
          <w:rFonts w:ascii="Times New Roman" w:cs="Times New Roman" w:eastAsia="Times New Roman" w:hAnsi="Times New Roman"/>
          <w:sz w:val="18"/>
          <w:szCs w:val="18"/>
          <w:color w:val="auto"/>
        </w:rPr>
      </w:pPr>
    </w:p>
    <w:p>
      <w:pPr>
        <w:ind w:left="540" w:right="78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Owens resigned as the Chief Executive Officer and President of Millendo on January 31, 2021. Dr. Owens remained on the Board as Executive Chair until the completion of the Merger.</w:t>
      </w:r>
    </w:p>
    <w:p>
      <w:pPr>
        <w:ind w:left="540" w:right="22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Arcudi was appointed as the Chief Executive Officer and President of Millendo and as a member of the Board as of February 1, 2021. Upon completion of the Merger, Mr. Arcudi resigned from these positions.</w:t>
      </w:r>
    </w:p>
    <w:p>
      <w:pPr>
        <w:ind w:left="540" w:right="8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the value of a promissory note between us and Mr. Dubensky, which was forgiven in full in connection with and contingent on the completion of the Merger.</w:t>
      </w:r>
    </w:p>
    <w:p>
      <w:pPr>
        <w:ind w:left="540" w:right="46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an aggregate of $43,858 received by Dr. Owens for her services as our Chief Executive Officer and an aggregate of $76,557 received pursuant to our non-employee director compensation policy.</w:t>
      </w: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represents the cash severance benefits paid to Dr. Owens in connection with her resignation from Millendo.</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transaction and retention bonuses paid to Mr. Arcudi in connection with the Merger.</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2021, certain information regarding outstanding equity awards for the Named Executive Officers.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0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vMerge w:val="restart"/>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3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80" w:type="dxa"/>
            <w:vAlign w:val="bottom"/>
            <w:vMerge w:val="restart"/>
          </w:tcPr>
          <w:p>
            <w:pPr>
              <w:spacing w:after="0"/>
              <w:rPr>
                <w:sz w:val="12"/>
                <w:szCs w:val="12"/>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gridSpan w:val="2"/>
          </w:tcPr>
          <w:p>
            <w:pPr>
              <w:jc w:val="center"/>
              <w:ind w:right="204"/>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080" w:type="dxa"/>
            <w:vAlign w:val="bottom"/>
            <w:gridSpan w:val="2"/>
          </w:tcPr>
          <w:p>
            <w:pPr>
              <w:jc w:val="center"/>
              <w:ind w:left="252"/>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28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80" w:type="dxa"/>
            <w:vAlign w:val="bottom"/>
            <w:gridSpan w:val="2"/>
          </w:tcPr>
          <w:p>
            <w:pPr>
              <w:jc w:val="center"/>
              <w:ind w:right="204"/>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320" w:type="dxa"/>
            <w:vAlign w:val="bottom"/>
          </w:tcPr>
          <w:p>
            <w:pPr>
              <w:spacing w:after="0"/>
              <w:rPr>
                <w:sz w:val="15"/>
                <w:szCs w:val="15"/>
                <w:color w:val="auto"/>
              </w:rPr>
            </w:pPr>
          </w:p>
        </w:tc>
        <w:tc>
          <w:tcPr>
            <w:tcW w:w="122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30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Stephen Brady</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4/29/2021</w:t>
            </w:r>
          </w:p>
        </w:tc>
        <w:tc>
          <w:tcPr>
            <w:tcW w:w="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6/25/2021</w:t>
            </w:r>
          </w:p>
        </w:tc>
        <w:tc>
          <w:tcPr>
            <w:tcW w:w="280" w:type="dxa"/>
            <w:vAlign w:val="bottom"/>
            <w:tcBorders>
              <w:top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91"/>
              </w:rPr>
              <w:t>(1)</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7,978</w:t>
            </w:r>
          </w:p>
        </w:tc>
        <w:tc>
          <w:tcPr>
            <w:tcW w:w="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55,850</w:t>
            </w:r>
          </w:p>
        </w:tc>
        <w:tc>
          <w:tcPr>
            <w:tcW w:w="4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3/10/2021</w:t>
            </w:r>
          </w:p>
        </w:tc>
        <w:tc>
          <w:tcPr>
            <w:tcW w:w="12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3/5/2021</w:t>
            </w:r>
            <w:r>
              <w:rPr>
                <w:rFonts w:ascii="Times New Roman" w:cs="Times New Roman" w:eastAsia="Times New Roman" w:hAnsi="Times New Roman"/>
                <w:sz w:val="15"/>
                <w:szCs w:val="15"/>
                <w:color w:val="auto"/>
              </w:rPr>
              <w:t>(1)</w:t>
            </w:r>
          </w:p>
        </w:tc>
        <w:tc>
          <w:tcPr>
            <w:tcW w:w="15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1,509</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6,541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3/30/2020</w:t>
            </w:r>
          </w:p>
        </w:tc>
        <w:tc>
          <w:tcPr>
            <w:tcW w:w="1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2/20/2020</w:t>
            </w:r>
            <w:r>
              <w:rPr>
                <w:rFonts w:ascii="Times New Roman" w:cs="Times New Roman" w:eastAsia="Times New Roman" w:hAnsi="Times New Roman"/>
                <w:sz w:val="15"/>
                <w:szCs w:val="15"/>
                <w:color w:val="auto"/>
              </w:rPr>
              <w:t>(1)</w:t>
            </w:r>
          </w:p>
        </w:tc>
        <w:tc>
          <w:tcPr>
            <w:tcW w:w="15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32,200</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38,056</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9/16/2019</w:t>
            </w:r>
          </w:p>
        </w:tc>
        <w:tc>
          <w:tcPr>
            <w:tcW w:w="12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9/9/2019</w:t>
            </w:r>
            <w:r>
              <w:rPr>
                <w:rFonts w:ascii="Times New Roman" w:cs="Times New Roman" w:eastAsia="Times New Roman" w:hAnsi="Times New Roman"/>
                <w:sz w:val="15"/>
                <w:szCs w:val="15"/>
                <w:color w:val="auto"/>
              </w:rPr>
              <w:t>(2)</w:t>
            </w:r>
          </w:p>
        </w:tc>
        <w:tc>
          <w:tcPr>
            <w:tcW w:w="15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62,118</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48,314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Dubensky</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4/29/2021</w:t>
            </w:r>
          </w:p>
        </w:tc>
        <w:tc>
          <w:tcPr>
            <w:tcW w:w="1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6/25/2021</w:t>
            </w:r>
            <w:r>
              <w:rPr>
                <w:rFonts w:ascii="Times New Roman" w:cs="Times New Roman" w:eastAsia="Times New Roman" w:hAnsi="Times New Roman"/>
                <w:sz w:val="15"/>
                <w:szCs w:val="15"/>
                <w:color w:val="auto"/>
              </w:rPr>
              <w:t>(1)</w:t>
            </w:r>
          </w:p>
        </w:tc>
        <w:tc>
          <w:tcPr>
            <w:tcW w:w="15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4,025</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28,175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3/10/2021</w:t>
            </w:r>
          </w:p>
        </w:tc>
        <w:tc>
          <w:tcPr>
            <w:tcW w:w="12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3/5/2021</w:t>
            </w:r>
            <w:r>
              <w:rPr>
                <w:rFonts w:ascii="Times New Roman" w:cs="Times New Roman" w:eastAsia="Times New Roman" w:hAnsi="Times New Roman"/>
                <w:sz w:val="15"/>
                <w:szCs w:val="15"/>
                <w:color w:val="auto"/>
              </w:rPr>
              <w:t>(1)</w:t>
            </w:r>
          </w:p>
        </w:tc>
        <w:tc>
          <w:tcPr>
            <w:tcW w:w="15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1,509</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6,541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3/30/2020</w:t>
            </w:r>
          </w:p>
        </w:tc>
        <w:tc>
          <w:tcPr>
            <w:tcW w:w="1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2/20/2020</w:t>
            </w:r>
            <w:r>
              <w:rPr>
                <w:rFonts w:ascii="Times New Roman" w:cs="Times New Roman" w:eastAsia="Times New Roman" w:hAnsi="Times New Roman"/>
                <w:sz w:val="15"/>
                <w:szCs w:val="15"/>
                <w:color w:val="auto"/>
              </w:rPr>
              <w:t>(1)</w:t>
            </w:r>
          </w:p>
        </w:tc>
        <w:tc>
          <w:tcPr>
            <w:tcW w:w="15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21,077</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24,911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10/3/2018</w:t>
            </w:r>
          </w:p>
        </w:tc>
        <w:tc>
          <w:tcPr>
            <w:tcW w:w="12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9/9/2019</w:t>
            </w:r>
            <w:r>
              <w:rPr>
                <w:rFonts w:ascii="Times New Roman" w:cs="Times New Roman" w:eastAsia="Times New Roman" w:hAnsi="Times New Roman"/>
                <w:sz w:val="15"/>
                <w:szCs w:val="15"/>
                <w:color w:val="auto"/>
              </w:rPr>
              <w:t>(3)</w:t>
            </w:r>
          </w:p>
        </w:tc>
        <w:tc>
          <w:tcPr>
            <w:tcW w:w="15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36,263</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Whiting</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4/29/2021</w:t>
            </w:r>
          </w:p>
        </w:tc>
        <w:tc>
          <w:tcPr>
            <w:tcW w:w="1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6/25/2021</w:t>
            </w:r>
            <w:r>
              <w:rPr>
                <w:rFonts w:ascii="Times New Roman" w:cs="Times New Roman" w:eastAsia="Times New Roman" w:hAnsi="Times New Roman"/>
                <w:sz w:val="15"/>
                <w:szCs w:val="15"/>
                <w:color w:val="auto"/>
              </w:rPr>
              <w:t>(1)</w:t>
            </w:r>
          </w:p>
        </w:tc>
        <w:tc>
          <w:tcPr>
            <w:tcW w:w="15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2,174</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15,221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3/10/2021</w:t>
            </w:r>
          </w:p>
        </w:tc>
        <w:tc>
          <w:tcPr>
            <w:tcW w:w="12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3/5/2021</w:t>
            </w:r>
            <w:r>
              <w:rPr>
                <w:rFonts w:ascii="Times New Roman" w:cs="Times New Roman" w:eastAsia="Times New Roman" w:hAnsi="Times New Roman"/>
                <w:sz w:val="15"/>
                <w:szCs w:val="15"/>
                <w:color w:val="auto"/>
              </w:rPr>
              <w:t>(1)</w:t>
            </w:r>
          </w:p>
        </w:tc>
        <w:tc>
          <w:tcPr>
            <w:tcW w:w="15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402</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2,617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11/16/2020</w:t>
            </w:r>
          </w:p>
        </w:tc>
        <w:tc>
          <w:tcPr>
            <w:tcW w:w="1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11/16/2020</w:t>
            </w:r>
            <w:r>
              <w:rPr>
                <w:rFonts w:ascii="Times New Roman" w:cs="Times New Roman" w:eastAsia="Times New Roman" w:hAnsi="Times New Roman"/>
                <w:sz w:val="15"/>
                <w:szCs w:val="15"/>
                <w:color w:val="auto"/>
              </w:rPr>
              <w:t>(4)</w:t>
            </w:r>
          </w:p>
        </w:tc>
        <w:tc>
          <w:tcPr>
            <w:tcW w:w="15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16,776</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45,169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Julia C. Owens</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3/17/2021</w:t>
            </w:r>
          </w:p>
        </w:tc>
        <w:tc>
          <w:tcPr>
            <w:tcW w:w="12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2/1/2021</w:t>
            </w:r>
            <w:r>
              <w:rPr>
                <w:rFonts w:ascii="Times New Roman" w:cs="Times New Roman" w:eastAsia="Times New Roman" w:hAnsi="Times New Roman"/>
                <w:sz w:val="15"/>
                <w:szCs w:val="15"/>
                <w:color w:val="auto"/>
              </w:rPr>
              <w:t>(3)</w:t>
            </w:r>
          </w:p>
        </w:tc>
        <w:tc>
          <w:tcPr>
            <w:tcW w:w="15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1,600</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5/25/2020</w:t>
            </w:r>
          </w:p>
        </w:tc>
        <w:tc>
          <w:tcPr>
            <w:tcW w:w="1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12/31/2019</w:t>
            </w:r>
            <w:r>
              <w:rPr>
                <w:rFonts w:ascii="Times New Roman" w:cs="Times New Roman" w:eastAsia="Times New Roman" w:hAnsi="Times New Roman"/>
                <w:sz w:val="15"/>
                <w:szCs w:val="15"/>
                <w:color w:val="auto"/>
              </w:rPr>
              <w:t>(3)</w:t>
            </w:r>
          </w:p>
        </w:tc>
        <w:tc>
          <w:tcPr>
            <w:tcW w:w="15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18,800</w:t>
            </w: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 Arcudi III</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2/26/2021</w:t>
            </w:r>
          </w:p>
        </w:tc>
        <w:tc>
          <w:tcPr>
            <w:tcW w:w="12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2/1/2021</w:t>
            </w:r>
            <w:r>
              <w:rPr>
                <w:rFonts w:ascii="Times New Roman" w:cs="Times New Roman" w:eastAsia="Times New Roman" w:hAnsi="Times New Roman"/>
                <w:sz w:val="15"/>
                <w:szCs w:val="15"/>
                <w:color w:val="auto"/>
              </w:rPr>
              <w:t>(3)</w:t>
            </w:r>
          </w:p>
        </w:tc>
        <w:tc>
          <w:tcPr>
            <w:tcW w:w="15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26,665</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5/25/2020</w:t>
            </w:r>
          </w:p>
        </w:tc>
        <w:tc>
          <w:tcPr>
            <w:tcW w:w="1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12/31/2019</w:t>
            </w:r>
            <w:r>
              <w:rPr>
                <w:rFonts w:ascii="Times New Roman" w:cs="Times New Roman" w:eastAsia="Times New Roman" w:hAnsi="Times New Roman"/>
                <w:sz w:val="15"/>
                <w:szCs w:val="15"/>
                <w:color w:val="auto"/>
              </w:rPr>
              <w:t>(3)</w:t>
            </w:r>
          </w:p>
        </w:tc>
        <w:tc>
          <w:tcPr>
            <w:tcW w:w="15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5,333</w:t>
            </w: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248920</wp:posOffset>
            </wp:positionV>
            <wp:extent cx="7715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40" w:right="100" w:hanging="424"/>
        <w:spacing w:after="0" w:line="253"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underlying the options vest in a series of 48 equal monthly installments measured from the vesting commencement date, subject to the executive’s continued service. Notwithstanding the foregoing, if, within three months prior to or 12 months following a change in control, the Company terminates the executive’s employment without cause or the executive resigns for certain good reasons, then the vesting of all of the shares of common stock subject to the option will be immediately accelerated such that all shares of common stock subject to the option will be deemed fully vested and exercisable as of the executive’s last day of employment, provided that the executive satisfies certain severance conditions.</w:t>
      </w:r>
    </w:p>
    <w:p>
      <w:pPr>
        <w:spacing w:after="0" w:line="5"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shares of common stock underlying this option vested on the one-year anniversary of the Vesting Commencement Date, and the remaining shares vest in a series of 36 equal monthly installments thereafter, subject to the executive’s continued service. Notwithstanding the foregoing, 100% of the unvested shares subject to this option vest immediately on the earliest of (i) the date that is 12 months following a change in control of the Company, (ii) the date the Company terminates the executive’s status as a service provider upon or following the closing of the change in control for any reason other than cause or the executive’s death or disability, in each case within the period beginning three months before and ending 12 months after the closing of the change in control, and (iii) the date the executive terminates his status as a service provider for certain good reasons within the period beginning three months before and ending 12 months after the closing of the change in control (“</w:t>
      </w:r>
      <w:r>
        <w:rPr>
          <w:rFonts w:ascii="Times New Roman" w:cs="Times New Roman" w:eastAsia="Times New Roman" w:hAnsi="Times New Roman"/>
          <w:sz w:val="18"/>
          <w:szCs w:val="18"/>
          <w:b w:val="1"/>
          <w:bCs w:val="1"/>
          <w:i w:val="1"/>
          <w:iCs w:val="1"/>
          <w:color w:val="auto"/>
        </w:rPr>
        <w:t>Brady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Double-Trigger</w:t>
      </w:r>
      <w:r>
        <w:rPr>
          <w:rFonts w:ascii="Times New Roman" w:cs="Times New Roman" w:eastAsia="Times New Roman" w:hAnsi="Times New Roman"/>
          <w:sz w:val="18"/>
          <w:szCs w:val="18"/>
          <w:color w:val="auto"/>
        </w:rPr>
        <w:t>”). If the successor corporation in a change in control does not assume the Brady Double-Trigger obligation, 100% of the unvested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common stock subject to this option will vest immediately prior to such change in control.</w:t>
      </w:r>
    </w:p>
    <w:p>
      <w:pPr>
        <w:spacing w:after="0" w:line="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underlying the option vested upon completion of the Merger.</w:t>
      </w:r>
    </w:p>
    <w:p>
      <w:pPr>
        <w:spacing w:after="0" w:line="9"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shares of common stock underlying this option vested on the one-year anniversary of the Vesting Commencement Date, and the remaining shares vest in a series of 36 equal monthly installments thereafter, subject to the executive’s continued service. Notwithstanding the foregoing, if within three months prior to or 12 months following a change in control we terminate the executive’s employment without cause or the executive resigns for certain good reasons, then the vesting of all of the shares of</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380"/>
        <w:spacing w:after="0" w:line="282" w:lineRule="auto"/>
        <w:rPr>
          <w:sz w:val="20"/>
          <w:szCs w:val="20"/>
          <w:color w:val="auto"/>
        </w:rPr>
      </w:pPr>
      <w:r>
        <w:rPr>
          <w:rFonts w:ascii="Times New Roman" w:cs="Times New Roman" w:eastAsia="Times New Roman" w:hAnsi="Times New Roman"/>
          <w:sz w:val="18"/>
          <w:szCs w:val="18"/>
          <w:color w:val="auto"/>
        </w:rPr>
        <w:t>common stock subject to this option will be immediately accelerated such that all shares will be deemed fully vested and exercisable as of the executive’s last day of employment, provided that the executive satisfies certain conditions.</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addition, the stock options granted to our executive officers are subject to acceleration in the event of our change in control, as described below under “</w:t>
      </w:r>
      <w:r>
        <w:rPr>
          <w:rFonts w:ascii="Times New Roman" w:cs="Times New Roman" w:eastAsia="Times New Roman" w:hAnsi="Times New Roman"/>
          <w:sz w:val="18"/>
          <w:szCs w:val="18"/>
          <w:i w:val="1"/>
          <w:iCs w:val="1"/>
          <w:color w:val="auto"/>
        </w:rPr>
        <w:t>Employment Arrangements—Change in Control and Severance Arrangements.”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Arrangements</w:t>
      </w:r>
    </w:p>
    <w:p>
      <w:pPr>
        <w:spacing w:after="0" w:line="11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employment is “at will” and may be terminated at any time. Below is a description of our employment arrangements with each of our Named Executive Officers.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Stephen Brady</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Mr. Brady entered into an employment agreement dated January 12, 2022, that superseded, amended and restated his offer letter agreement with us, dated September 2, 2019 (the “</w:t>
      </w:r>
      <w:r>
        <w:rPr>
          <w:rFonts w:ascii="Times New Roman" w:cs="Times New Roman" w:eastAsia="Times New Roman" w:hAnsi="Times New Roman"/>
          <w:sz w:val="18"/>
          <w:szCs w:val="18"/>
          <w:b w:val="1"/>
          <w:bCs w:val="1"/>
          <w:i w:val="1"/>
          <w:iCs w:val="1"/>
          <w:color w:val="auto"/>
        </w:rPr>
        <w:t>Brady Agreement</w:t>
      </w:r>
      <w:r>
        <w:rPr>
          <w:rFonts w:ascii="Times New Roman" w:cs="Times New Roman" w:eastAsia="Times New Roman" w:hAnsi="Times New Roman"/>
          <w:sz w:val="18"/>
          <w:szCs w:val="18"/>
          <w:color w:val="auto"/>
        </w:rPr>
        <w:t>”). Under the terms of the Brady Agreement, Mr. Brady is entitled to an annual base salary of $530,000 and to an annual bonus equal to 50% of his base salary, as determined by the Board in its sole discretion.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Thomas Dubensky</w:t>
      </w:r>
    </w:p>
    <w:p>
      <w:pPr>
        <w:spacing w:after="0" w:line="121"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Dr. Dubensky entered into an employment agreement dated January 12, 2022, that superseded, amended and restated his amended and restated offer letter agreement with us dated October 31, 2020 (the “</w:t>
      </w:r>
      <w:r>
        <w:rPr>
          <w:rFonts w:ascii="Times New Roman" w:cs="Times New Roman" w:eastAsia="Times New Roman" w:hAnsi="Times New Roman"/>
          <w:sz w:val="17"/>
          <w:szCs w:val="17"/>
          <w:b w:val="1"/>
          <w:bCs w:val="1"/>
          <w:i w:val="1"/>
          <w:iCs w:val="1"/>
          <w:color w:val="auto"/>
        </w:rPr>
        <w:t>Dubensky Agreement</w:t>
      </w:r>
      <w:r>
        <w:rPr>
          <w:rFonts w:ascii="Times New Roman" w:cs="Times New Roman" w:eastAsia="Times New Roman" w:hAnsi="Times New Roman"/>
          <w:sz w:val="17"/>
          <w:szCs w:val="17"/>
          <w:color w:val="auto"/>
        </w:rPr>
        <w:t>”). Under the terms of the Dubensky Agreement, Dr. Dubensky is entitled to an annual base salary of $489,541 and is eligible for an annual bonus equal to 50% of his base salary, as determined by the Board in its sole discretion.</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Sam Whiting</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Dr. Whiting entered into an employment agreement dated January 12, 2022, that superseded, amended and restated his amended and restated offer letter agreement with us dated October 7, 2020 (the “</w:t>
      </w:r>
      <w:r>
        <w:rPr>
          <w:rFonts w:ascii="Times New Roman" w:cs="Times New Roman" w:eastAsia="Times New Roman" w:hAnsi="Times New Roman"/>
          <w:sz w:val="18"/>
          <w:szCs w:val="18"/>
          <w:b w:val="1"/>
          <w:bCs w:val="1"/>
          <w:i w:val="1"/>
          <w:iCs w:val="1"/>
          <w:color w:val="auto"/>
        </w:rPr>
        <w:t>Whiting Agreement</w:t>
      </w:r>
      <w:r>
        <w:rPr>
          <w:rFonts w:ascii="Times New Roman" w:cs="Times New Roman" w:eastAsia="Times New Roman" w:hAnsi="Times New Roman"/>
          <w:sz w:val="18"/>
          <w:szCs w:val="18"/>
          <w:color w:val="auto"/>
        </w:rPr>
        <w:t>”). Under the terms of the Whiting Agreement, Dr. Whiting is entitled to an annual base salary of $437,000 and is eligible for an annual bonus equal to 40% of his base salary, as determined by the Board in its sole discretion.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and Severance Arrangements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Pursuant to the Brady Agreement, the Dubensky Agreement and the Whiting Agreement, if the executive’s employment is terminated by us without Cause or if the executive he resigns for Good Reason each as defined below), the executive is entitled to receive (i) bi-weekly payments equal to the sum of 12 months of base salary (9 months for Dr. Whiting) plus a prorated portion of the executive’s target annual bonus for the calendar year in which termination occurs and (ii) if the executive elects to continue health insurance coverage under COBRA, the payment of the monthly premium under COBRA until the earlier of 12 months (9 months for Dr. Whiting) following termination date or the date on which the executive commences full-time employment or employment that provides eligibility for healthcare benefits substantially comparable to those provided by us.</w:t>
      </w:r>
    </w:p>
    <w:p>
      <w:pPr>
        <w:spacing w:after="0" w:line="187" w:lineRule="exact"/>
        <w:rPr>
          <w:sz w:val="20"/>
          <w:szCs w:val="20"/>
          <w:color w:val="auto"/>
        </w:rPr>
      </w:pPr>
    </w:p>
    <w:p>
      <w:pPr>
        <w:ind w:left="120" w:right="40"/>
        <w:spacing w:after="0" w:line="276" w:lineRule="auto"/>
        <w:rPr>
          <w:sz w:val="20"/>
          <w:szCs w:val="20"/>
          <w:color w:val="auto"/>
        </w:rPr>
      </w:pPr>
      <w:r>
        <w:rPr>
          <w:rFonts w:ascii="Times New Roman" w:cs="Times New Roman" w:eastAsia="Times New Roman" w:hAnsi="Times New Roman"/>
          <w:sz w:val="17"/>
          <w:szCs w:val="17"/>
          <w:color w:val="auto"/>
        </w:rPr>
        <w:t>Moreover, if the executive’s employment is terminated by us without Cause or the executive resigns for Good Reason within three months prior to or 12 months following a Change in Control (as defined below), then in lieu of the severance benefits described above the executive will be entitled to receive</w:t>
      </w:r>
    </w:p>
    <w:p>
      <w:pPr>
        <w:spacing w:after="0" w:line="1" w:lineRule="exact"/>
        <w:rPr>
          <w:sz w:val="20"/>
          <w:szCs w:val="20"/>
          <w:color w:val="auto"/>
        </w:rPr>
      </w:pPr>
    </w:p>
    <w:p>
      <w:pPr>
        <w:ind w:left="120" w:right="400" w:hanging="4"/>
        <w:spacing w:after="0" w:line="260" w:lineRule="auto"/>
        <w:tabs>
          <w:tab w:leader="none" w:pos="3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amount equal to the sum of 18 months (12 months for Dr. Whiting) of base salary plus 100% of the executive’s annual target bonus (150% for Mr. Brady) and (y) payment of COBRA premiums as described above for up to 18 months (12 months for Dr. Whiting).</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Our executives’ receipt of any severance benefits is subject to the execution and non-revocation of a separation agreement containing, among other things a general release of claims in favor of us and our related persons and entities, confidentiality, return of property and non-solicitation and non-disparagement covenants.</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Further, if we are subject to a Change in Control prior to the termination of the executive’s service, then 100% of any unvested shares subject to any stock options then held by the executive shall vest and become exercisable in full.</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 purposes of the executive’s agreements, each of the following terms has the meaning ascribed to such term in the applicable employment agreement but are summarized below:</w:t>
      </w:r>
    </w:p>
    <w:p>
      <w:pPr>
        <w:spacing w:after="0" w:line="67" w:lineRule="exact"/>
        <w:rPr>
          <w:sz w:val="20"/>
          <w:szCs w:val="20"/>
          <w:color w:val="auto"/>
        </w:rPr>
      </w:pPr>
    </w:p>
    <w:p>
      <w:pPr>
        <w:ind w:left="1080" w:right="100" w:hanging="424"/>
        <w:spacing w:after="0" w:line="274" w:lineRule="auto"/>
        <w:tabs>
          <w:tab w:leader="none" w:pos="10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means conduct involving one or more of the following by the executive: (i) certain failures or refusals to perform the duties required by the executive in the executive’s position with Company, which such failure continues for (or is not permanently cured within), a period of 30 days after written notice is given to him by the Company (except in the case of physical or mental illness); (ii) gross negligence, willful misconduct or similar contact in connection with the performance of the executive’s duties; (iii) conviction of a felony, or a misdemeanor involving moral turpitude or fraud; (iv) commission of an act of embezzlement or fraud; or (v) material breach of any agreement with us. A termination of employment by reason of Disability shall not be treated as an involuntary termination without Cause.</w:t>
      </w:r>
    </w:p>
    <w:p>
      <w:pPr>
        <w:spacing w:after="0" w:line="78"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has the meaning ascribed to such term in our 2017 Plan.</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the inability to materially engage in duties and responsibilities by reason of any medically determinable physical or mental impairment for a period of not less than 120 consecutive days or not less than 180 days during any one-year period.</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without the executive’s express written consent: (i) any reduction in annual base salary other than a reduction that is proportional to general reductions affecting other senior executive officers generally; (ii) (1) with respect to Mr. Brady, a material diminution in responsibilities, authority or duties and (2) with respect to Drs. Dubensky and Whiting, a material diminution in title or scope of responsibilities (but excluding removal from our Board); and (iii) with respect only to Mr. Brady: (w) a material change in the geographic location at which he provides services to us; (x) a material breach of the Brady Agreement by us; (y) appointing an officer of the Company whose responsibilities, function, title, reports and reporting would indicate that he is subordinate to such officer; or (z) no longer serving as an officer with a similar title or responsibilities at the “top level” corporate entity following our Change in Control.</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Julia C. Owens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Dr. Owens served in an advisory role as Executive Chair of the Millendo board of directors, effective February 1, 2021, pursuant to an Executive Chair Offer Letter entered into between Millendo and Dr. Owens on January 27, 2021 (the “</w:t>
      </w:r>
      <w:r>
        <w:rPr>
          <w:rFonts w:ascii="Times New Roman" w:cs="Times New Roman" w:eastAsia="Times New Roman" w:hAnsi="Times New Roman"/>
          <w:sz w:val="18"/>
          <w:szCs w:val="18"/>
          <w:b w:val="1"/>
          <w:bCs w:val="1"/>
          <w:i w:val="1"/>
          <w:iCs w:val="1"/>
          <w:color w:val="auto"/>
        </w:rPr>
        <w:t>EC Agreement</w:t>
      </w:r>
      <w:r>
        <w:rPr>
          <w:rFonts w:ascii="Times New Roman" w:cs="Times New Roman" w:eastAsia="Times New Roman" w:hAnsi="Times New Roman"/>
          <w:sz w:val="18"/>
          <w:szCs w:val="18"/>
          <w:color w:val="auto"/>
        </w:rPr>
        <w:t>”). Pursuant to the EC Agreement, Dr. Owens will be paid a stipend of $10,000 per month on a quarterly basis, in addition to any cash and equity compensation provided to non-employee members of the Board pursuant to our non-employee director compensation policy, and all of Dr. Owens outstanding options to purchase common stock continued to vest pursuant to their vesting schedule.</w:t>
      </w:r>
    </w:p>
    <w:p>
      <w:pPr>
        <w:spacing w:after="0" w:line="18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connection with Mr. Arcudi’s appointment as Chief Executive Officer, Dr. Owens stepped down from her role as Chief Executive Officer, President and Principal Executive Officer, effective January 31, 2021, pursuant to a Separation Agreement entered into between Millendo and Dr. Owens on January 27, 2021 (the “</w:t>
      </w:r>
      <w:r>
        <w:rPr>
          <w:rFonts w:ascii="Times New Roman" w:cs="Times New Roman" w:eastAsia="Times New Roman" w:hAnsi="Times New Roman"/>
          <w:sz w:val="18"/>
          <w:szCs w:val="18"/>
          <w:b w:val="1"/>
          <w:bCs w:val="1"/>
          <w:i w:val="1"/>
          <w:iCs w:val="1"/>
          <w:color w:val="auto"/>
        </w:rPr>
        <w:t>Owens Separation Agreement</w:t>
      </w:r>
      <w:r>
        <w:rPr>
          <w:rFonts w:ascii="Times New Roman" w:cs="Times New Roman" w:eastAsia="Times New Roman" w:hAnsi="Times New Roman"/>
          <w:sz w:val="18"/>
          <w:szCs w:val="18"/>
          <w:color w:val="auto"/>
        </w:rPr>
        <w:t>”). Pursuant to the Owens Separation Agreement, Dr. Owens received the following severance benefits: (a) a lump sum payment in the amount of $789,450 less applicable deductions and withholdings and (b) a lump sum payment of Dr. Owens’s annual bonus for 2021 in the amount of $394,725, less applicable deductions and withholdings and is receiving and will receive continuation of COBRA health insurance premiums for an 18 month period that is funded by Millendo. The Owens Separation Agreement contains release covenants that are binding upon Dr. Owens.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Louis J. Arcudi, III</w:t>
      </w:r>
    </w:p>
    <w:p>
      <w:pPr>
        <w:spacing w:after="0" w:line="121"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In connection with his appointment to Chief Executive Officer and President in January 2021, Millendo entered into an amended and restated employment agreement (the “</w:t>
      </w:r>
      <w:r>
        <w:rPr>
          <w:rFonts w:ascii="Times New Roman" w:cs="Times New Roman" w:eastAsia="Times New Roman" w:hAnsi="Times New Roman"/>
          <w:sz w:val="18"/>
          <w:szCs w:val="18"/>
          <w:b w:val="1"/>
          <w:bCs w:val="1"/>
          <w:i w:val="1"/>
          <w:iCs w:val="1"/>
          <w:color w:val="auto"/>
        </w:rPr>
        <w:t>Arcudi Employment Agreement</w:t>
      </w:r>
      <w:r>
        <w:rPr>
          <w:rFonts w:ascii="Times New Roman" w:cs="Times New Roman" w:eastAsia="Times New Roman" w:hAnsi="Times New Roman"/>
          <w:sz w:val="18"/>
          <w:szCs w:val="18"/>
          <w:color w:val="auto"/>
        </w:rPr>
        <w:t>”) under which Mr. Arcudi’s annual base salary was $447,600 and he was eligible to receive an annual performance bonus, targeted at 40% of his annual base salary. In addition, Mr. Arcudi earned retention bonuses of $630,000 in the aggregate paid in two equal installments on (1) June 30, 2021 and (2) the closing of the Merger, contingent on his execution of release agreements in favor of the Company. Mr. Arcudi also received a transaction bonus of $250,000 in connection with Millendo’s Change in Control.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Health and Welfare Benefits; Perquisites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including medical, dental, vision, disability and life insurance plans, in each case on the same basis as all of our other full-time employees. Part-time employees are not eligible to participate in our employee benefit plans. We generally do not provide perquisites or personal benefits to our named executive officers, except in limited circumstances, and we did not provide any perquisites or personal benefits to our Named Executive Officers in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We participate in a multiple employer tax-qualified 401(k) savings plan which allows participants to defer eligible compensation up to the maximum amount allowed under Internal Revenue Service guidelines. We do not make any discretionary or employer matching contributions under the plan.</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Tempest Non-Employee Director Compensation Policy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Equity Compensation</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We maintain a non-employee director compensation plan, pursuant to which each non-employee director receives an annual base retainer of $40,000 with the non-executive Board Chair receiving an additional annual base retainer of $30,000. In addition, our non-employee directors receive the following cash compensation for committee services, as applicable:</w:t>
      </w:r>
    </w:p>
    <w:p>
      <w:pPr>
        <w:spacing w:after="0" w:line="81" w:lineRule="exact"/>
        <w:rPr>
          <w:sz w:val="20"/>
          <w:szCs w:val="20"/>
          <w:color w:val="auto"/>
        </w:rPr>
      </w:pPr>
    </w:p>
    <w:p>
      <w:pPr>
        <w:ind w:left="1080" w:right="5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chairperson of our Audit, Compensation and Nominating and Corporate Governance committees receives an additional annual retainer of $15,000, $10,000 and $8,000, respectively; and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member of our Audit, Compensation and Nominating and Corporate Governance committees receives an additional annual retainer of $7,500, $5,000 and $4,000, respectively.</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These retainers are payable in arrears in four equal quarterly installments on the last day of each quarter, provided that the amount of such payment will be prorated for any portion of such quarter that the director is not serving on the Board or the applicable committee. We also reimburse each of our directors for their travel expenses incurred in connection with their attendance at Board and committee meetings.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addition, each non-employee director elected to the Board will receive an initial option to purchase 6,635 shares of our common stock, which beginning with any director appointed following the Annual Meeting, this amount shall be rounded up to the nearest 500 shares. The shares subject to each such stock option will vest over a three-year period, subject to the director’s continued service as a director, with one-third of the award vesting on the first anniversary of the grant date and the remainder of the award vesting in equal monthly installments thereafter. Further, on the date of each annual meeting of stockholders, each non-employee director that continues to serve as a non-employee member on our Board will receive an option to purchase 3,500 shares of our common stock. The shares subject to each such stock option will vest on the earlier to occur of the first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anniversary of the grant date and the date of the first annual meeting of stockholders following the grant date, subject to the director’s continued service as a director. The exercise price of these options will equal the fair market value of our common stock on the date of grant. Vested stock options will be exercisable during any period of service to the Company and for one-year thereafter; provided, that no stock option shall be exercisable more than ten years after the date of the stock option grant.</w:t>
      </w:r>
    </w:p>
    <w:p>
      <w:pPr>
        <w:spacing w:after="0" w:line="180"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This policy is intended to provide a total compensation package that enables us to attract and retain qualified and experienced individuals to serve as directors and to align our directors’ interests with those of our stockholders.</w:t>
      </w:r>
    </w:p>
    <w:p>
      <w:pPr>
        <w:spacing w:after="0" w:line="16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2021, each of our directors received a stock option award to purchase up to 6,635 shares of common stock, which vests monthly over a four-year period with a one-year cliff. All directors are entitled to reimbursement of ordinary expenses incurred in connection with attendance at meetings of our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Millendo Non-Employee Director Compensation Policy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completion of the merger, each non-employee director of Millendo received an annual board service retainer of $40,000.</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non-executive chairperson received an additional service retainer of $30,000. The chairperson of each of Millendo’s audit committee, compensation committee and nominating and corporate governance committee received additional annual committee chair service retainers of $15,000, $10,000 and $8,000, respectively. Other members of Millendo’s audit committee, compensation committee and nominating and corporate governance committee received additional annual cash retainers of $7,500, $5,000 and $4,000, respectively, for each such committee of which they are a member. The annual cash compensation amounts set forth above were payable in equal quarterly installments, payable in arrears following the end of each calendar quarter in which the board service occurs, prorated for any partial months of service. Millendo also reimbursed all reasonable out-of-pocket travel expenses incurred by non-employee directors in attending meetings of Millendo’s board of directors or any committee thereof.</w:t>
      </w:r>
    </w:p>
    <w:p>
      <w:pPr>
        <w:spacing w:after="0" w:line="18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addition to cash compensation, each non-employee director of Millendo was eligible to receive options to purchase Millendo common stock. Upon each non-employee director’s initial appointment to Millendo’s board of directors, he or she would be granted an option to purchase 24,000 shares of Millendo common stock, with a per-share exercise price equal to 100% of the fair market value of a share of Millendo common stock on the grant date. This initial stock option award vested over three years, with one-third of the award vesting on the first anniversary of the grant date and the remainder of the award vesting in equal monthly installments thereafter, subject to the non-employee director’s continuous service through each vesting date. On the date of each annual meeting, each continuing non-employee director was granted an option to purchase 12,000 shares of Millendo’s common stock, with a per-share exercise price equal to 100% of the fair market value of a share of Millendo common stock on the grant date. This annual stock option award fully vests on the earlier to occur of the first anniversary of the grant date and the date of the first annual meeting following the grant date, subject to the non-employee director’s continuous service through such vesting date.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Table</w:t>
      </w:r>
    </w:p>
    <w:p>
      <w:pPr>
        <w:spacing w:after="0" w:line="121" w:lineRule="exact"/>
        <w:rPr>
          <w:sz w:val="20"/>
          <w:szCs w:val="20"/>
          <w:color w:val="auto"/>
        </w:rPr>
      </w:pPr>
    </w:p>
    <w:p>
      <w:pPr>
        <w:ind w:left="120" w:right="8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for the year ended December 31, 2021 regarding the compensation awarded to or earned by our non-employee directors. Mr. Brady and Dr. Dubensky are not included in the table below, as they were employees and received no additional compensation for their service as directors. As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named executive officer, the compensation received by Mr. Brady and Dr. Dubensky is shown above in “—Executive Compensation—Summary Compensation Table.”</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5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06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0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4020" w:type="dxa"/>
            <w:vAlign w:val="bottom"/>
            <w:gridSpan w:val="2"/>
          </w:tcPr>
          <w:p>
            <w:pPr>
              <w:jc w:val="right"/>
              <w:ind w:right="31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5"/>
                <w:szCs w:val="15"/>
                <w:color w:val="auto"/>
              </w:rPr>
            </w:pPr>
          </w:p>
        </w:tc>
        <w:tc>
          <w:tcPr>
            <w:tcW w:w="560" w:type="dxa"/>
            <w:vAlign w:val="bottom"/>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(1)(5)</w:t>
            </w:r>
          </w:p>
        </w:tc>
        <w:tc>
          <w:tcPr>
            <w:tcW w:w="520" w:type="dxa"/>
            <w:vAlign w:val="bottom"/>
          </w:tcPr>
          <w:p>
            <w:pPr>
              <w:spacing w:after="0"/>
              <w:rPr>
                <w:sz w:val="15"/>
                <w:szCs w:val="15"/>
                <w:color w:val="auto"/>
              </w:rPr>
            </w:pPr>
          </w:p>
        </w:tc>
        <w:tc>
          <w:tcPr>
            <w:tcW w:w="640" w:type="dxa"/>
            <w:vAlign w:val="bottom"/>
          </w:tcPr>
          <w:p>
            <w:pPr>
              <w:jc w:val="right"/>
              <w:ind w:right="15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Geoff Nichol</w:t>
            </w:r>
          </w:p>
        </w:tc>
        <w:tc>
          <w:tcPr>
            <w:tcW w:w="30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24,000</w:t>
            </w: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44,130</w:t>
            </w: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68,130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Pellizzari</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5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44,130</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4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44,175</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89,722</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Ronit Simantov</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5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54,083</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Woiwode</w:t>
            </w:r>
          </w:p>
        </w:tc>
        <w:tc>
          <w:tcPr>
            <w:tcW w:w="4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29,967</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44,130</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Stella Xu</w:t>
            </w:r>
            <w:r>
              <w:rPr>
                <w:rFonts w:ascii="Times New Roman" w:cs="Times New Roman" w:eastAsia="Times New Roman" w:hAnsi="Times New Roman"/>
                <w:sz w:val="15"/>
                <w:szCs w:val="15"/>
                <w:color w:val="auto"/>
              </w:rPr>
              <w:t>(2)</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5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44,130</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Carol G. Gallagher </w:t>
            </w:r>
            <w:r>
              <w:rPr>
                <w:rFonts w:ascii="Times New Roman" w:cs="Times New Roman" w:eastAsia="Times New Roman" w:hAnsi="Times New Roman"/>
                <w:sz w:val="15"/>
                <w:szCs w:val="15"/>
                <w:color w:val="auto"/>
              </w:rPr>
              <w:t>(3)(4)</w:t>
            </w:r>
          </w:p>
        </w:tc>
        <w:tc>
          <w:tcPr>
            <w:tcW w:w="4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50,036</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Howe, III</w:t>
            </w:r>
            <w:r>
              <w:rPr>
                <w:rFonts w:ascii="Times New Roman" w:cs="Times New Roman" w:eastAsia="Times New Roman" w:hAnsi="Times New Roman"/>
                <w:sz w:val="15"/>
                <w:szCs w:val="15"/>
                <w:color w:val="auto"/>
              </w:rPr>
              <w:t>(4)</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38,654</w:t>
            </w:r>
          </w:p>
        </w:tc>
        <w:tc>
          <w:tcPr>
            <w:tcW w:w="50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Carole L. Nuechterlein</w:t>
            </w:r>
            <w:r>
              <w:rPr>
                <w:rFonts w:ascii="Times New Roman" w:cs="Times New Roman" w:eastAsia="Times New Roman" w:hAnsi="Times New Roman"/>
                <w:sz w:val="15"/>
                <w:szCs w:val="15"/>
                <w:color w:val="auto"/>
              </w:rPr>
              <w:t>(4)</w:t>
            </w:r>
          </w:p>
        </w:tc>
        <w:tc>
          <w:tcPr>
            <w:tcW w:w="4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33,284</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 Hindman</w:t>
            </w:r>
            <w:r>
              <w:rPr>
                <w:rFonts w:ascii="Times New Roman" w:cs="Times New Roman" w:eastAsia="Times New Roman" w:hAnsi="Times New Roman"/>
                <w:sz w:val="15"/>
                <w:szCs w:val="15"/>
                <w:color w:val="auto"/>
              </w:rPr>
              <w:t>(4)</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40,495</w:t>
            </w:r>
          </w:p>
        </w:tc>
        <w:tc>
          <w:tcPr>
            <w:tcW w:w="50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Habib J. Dable</w:t>
            </w:r>
            <w:r>
              <w:rPr>
                <w:rFonts w:ascii="Times New Roman" w:cs="Times New Roman" w:eastAsia="Times New Roman" w:hAnsi="Times New Roman"/>
                <w:sz w:val="15"/>
                <w:szCs w:val="15"/>
                <w:color w:val="auto"/>
              </w:rPr>
              <w:t>(4)</w:t>
            </w:r>
          </w:p>
        </w:tc>
        <w:tc>
          <w:tcPr>
            <w:tcW w:w="4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Lynne Hedley</w:t>
            </w:r>
            <w:r>
              <w:rPr>
                <w:rFonts w:ascii="Times New Roman" w:cs="Times New Roman" w:eastAsia="Times New Roman" w:hAnsi="Times New Roman"/>
                <w:sz w:val="15"/>
                <w:szCs w:val="15"/>
                <w:color w:val="auto"/>
              </w:rPr>
              <w:t>(4)</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500" w:type="dxa"/>
            <w:vAlign w:val="bottom"/>
          </w:tcPr>
          <w:p>
            <w:pPr>
              <w:spacing w:after="0"/>
              <w:rPr>
                <w:sz w:val="20"/>
                <w:szCs w:val="20"/>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236855</wp:posOffset>
            </wp:positionV>
            <wp:extent cx="7715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9" w:lineRule="exact"/>
        <w:rPr>
          <w:sz w:val="20"/>
          <w:szCs w:val="20"/>
          <w:color w:val="auto"/>
        </w:rPr>
      </w:pPr>
    </w:p>
    <w:p>
      <w:pPr>
        <w:ind w:left="540" w:hanging="424"/>
        <w:spacing w:after="0" w:line="261"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rules, this column reflects the aggregate grant date fair value of the option awards granted during 2021 computed in accordance with ASC 718. These amounts do not reflect the actual economic value that will be realized by the director.</w:t>
      </w:r>
    </w:p>
    <w:p>
      <w:pPr>
        <w:ind w:left="540" w:hanging="424"/>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Xu resigned from the Board effective January 5, 2022.</w:t>
      </w:r>
    </w:p>
    <w:p>
      <w:pPr>
        <w:spacing w:after="0" w:line="9"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compensation for Dr. Gallagher’s service on Millendo’s board of directors and compensation committee is paid to NEA Management Company, LLC.</w:t>
      </w:r>
    </w:p>
    <w:p>
      <w:pPr>
        <w:ind w:left="540" w:hanging="424"/>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Resigned from our Board in connection with the completion of the Merger.</w:t>
      </w:r>
    </w:p>
    <w:p>
      <w:pPr>
        <w:spacing w:after="0" w:line="9" w:lineRule="exact"/>
        <w:rPr>
          <w:rFonts w:ascii="Times New Roman" w:cs="Times New Roman" w:eastAsia="Times New Roman" w:hAnsi="Times New Roman"/>
          <w:sz w:val="18"/>
          <w:szCs w:val="18"/>
          <w:color w:val="auto"/>
        </w:rPr>
      </w:pPr>
    </w:p>
    <w:p>
      <w:pPr>
        <w:ind w:left="540" w:right="40" w:hanging="424"/>
        <w:spacing w:after="0" w:line="26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regarding the aggregate number of equity awards granted to our non-employee directors that were outstanding as of December 31, 2021:</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0" w:type="dxa"/>
            <w:vAlign w:val="bottom"/>
          </w:tcPr>
          <w:p>
            <w:pPr>
              <w:spacing w:after="0"/>
              <w:rPr>
                <w:sz w:val="1"/>
                <w:szCs w:val="1"/>
                <w:color w:val="auto"/>
              </w:rPr>
            </w:pPr>
          </w:p>
        </w:tc>
      </w:tr>
      <w:tr>
        <w:trPr>
          <w:trHeight w:val="149"/>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78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60"/>
        </w:trPr>
        <w:tc>
          <w:tcPr>
            <w:tcW w:w="2720" w:type="dxa"/>
            <w:vAlign w:val="bottom"/>
            <w:gridSpan w:val="2"/>
            <w:vMerge w:val="continue"/>
          </w:tcPr>
          <w:p>
            <w:pPr>
              <w:spacing w:after="0"/>
              <w:rPr>
                <w:sz w:val="13"/>
                <w:szCs w:val="13"/>
                <w:color w:val="auto"/>
              </w:rPr>
            </w:pPr>
          </w:p>
        </w:tc>
        <w:tc>
          <w:tcPr>
            <w:tcW w:w="3780" w:type="dxa"/>
            <w:vAlign w:val="bottom"/>
          </w:tcPr>
          <w:p>
            <w:pPr>
              <w:spacing w:after="0"/>
              <w:rPr>
                <w:sz w:val="13"/>
                <w:szCs w:val="13"/>
                <w:color w:val="auto"/>
              </w:rPr>
            </w:pPr>
          </w:p>
        </w:tc>
        <w:tc>
          <w:tcPr>
            <w:tcW w:w="98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Year-End</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Geoff Nichol</w:t>
            </w:r>
          </w:p>
        </w:tc>
        <w:tc>
          <w:tcPr>
            <w:tcW w:w="37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Pellizzari</w:t>
            </w:r>
          </w:p>
        </w:tc>
        <w:tc>
          <w:tcPr>
            <w:tcW w:w="4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6,635</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4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37,909</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Ronit Simantov</w:t>
            </w:r>
          </w:p>
        </w:tc>
        <w:tc>
          <w:tcPr>
            <w:tcW w:w="4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6,635</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Woiwode</w:t>
            </w:r>
          </w:p>
        </w:tc>
        <w:tc>
          <w:tcPr>
            <w:tcW w:w="4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6,635</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Stella Xu</w:t>
            </w:r>
          </w:p>
        </w:tc>
        <w:tc>
          <w:tcPr>
            <w:tcW w:w="4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6,635</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Carol G. Gallagher </w:t>
            </w:r>
            <w:r>
              <w:rPr>
                <w:rFonts w:ascii="Times New Roman" w:cs="Times New Roman" w:eastAsia="Times New Roman" w:hAnsi="Times New Roman"/>
                <w:sz w:val="15"/>
                <w:szCs w:val="15"/>
                <w:color w:val="auto"/>
              </w:rPr>
              <w:t>(4)</w:t>
            </w:r>
          </w:p>
        </w:tc>
        <w:tc>
          <w:tcPr>
            <w:tcW w:w="3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Howe, III</w:t>
            </w:r>
            <w:r>
              <w:rPr>
                <w:rFonts w:ascii="Times New Roman" w:cs="Times New Roman" w:eastAsia="Times New Roman" w:hAnsi="Times New Roman"/>
                <w:sz w:val="15"/>
                <w:szCs w:val="15"/>
                <w:color w:val="auto"/>
              </w:rPr>
              <w:t>(4)</w:t>
            </w:r>
          </w:p>
        </w:tc>
        <w:tc>
          <w:tcPr>
            <w:tcW w:w="4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Carole L. Nuechterlein</w:t>
            </w:r>
            <w:r>
              <w:rPr>
                <w:rFonts w:ascii="Times New Roman" w:cs="Times New Roman" w:eastAsia="Times New Roman" w:hAnsi="Times New Roman"/>
                <w:sz w:val="15"/>
                <w:szCs w:val="15"/>
                <w:color w:val="auto"/>
              </w:rPr>
              <w:t>(4)</w:t>
            </w:r>
          </w:p>
        </w:tc>
        <w:tc>
          <w:tcPr>
            <w:tcW w:w="4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 Hindman</w:t>
            </w:r>
            <w:r>
              <w:rPr>
                <w:rFonts w:ascii="Times New Roman" w:cs="Times New Roman" w:eastAsia="Times New Roman" w:hAnsi="Times New Roman"/>
                <w:sz w:val="15"/>
                <w:szCs w:val="15"/>
                <w:color w:val="auto"/>
              </w:rPr>
              <w:t>(4)</w:t>
            </w:r>
          </w:p>
        </w:tc>
        <w:tc>
          <w:tcPr>
            <w:tcW w:w="4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Habib J. Dable</w:t>
            </w:r>
            <w:r>
              <w:rPr>
                <w:rFonts w:ascii="Times New Roman" w:cs="Times New Roman" w:eastAsia="Times New Roman" w:hAnsi="Times New Roman"/>
                <w:sz w:val="15"/>
                <w:szCs w:val="15"/>
                <w:color w:val="auto"/>
              </w:rPr>
              <w:t>(4)</w:t>
            </w:r>
          </w:p>
        </w:tc>
        <w:tc>
          <w:tcPr>
            <w:tcW w:w="3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Lynne Hedley</w:t>
            </w:r>
            <w:r>
              <w:rPr>
                <w:rFonts w:ascii="Times New Roman" w:cs="Times New Roman" w:eastAsia="Times New Roman" w:hAnsi="Times New Roman"/>
                <w:sz w:val="15"/>
                <w:szCs w:val="15"/>
                <w:color w:val="auto"/>
              </w:rPr>
              <w:t>(4)</w:t>
            </w:r>
          </w:p>
        </w:tc>
        <w:tc>
          <w:tcPr>
            <w:tcW w:w="37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78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-53-</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320" w:top="455" w:right="9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ROCEDURES</w:t>
      </w:r>
    </w:p>
    <w:p>
      <w:pPr>
        <w:spacing w:after="0" w:line="121" w:lineRule="exact"/>
        <w:rPr>
          <w:sz w:val="20"/>
          <w:szCs w:val="20"/>
          <w:color w:val="auto"/>
        </w:rPr>
      </w:pPr>
    </w:p>
    <w:p>
      <w:pPr>
        <w:ind w:left="120" w:right="20"/>
        <w:spacing w:after="0" w:line="270" w:lineRule="auto"/>
        <w:rPr>
          <w:sz w:val="20"/>
          <w:szCs w:val="20"/>
          <w:color w:val="auto"/>
        </w:rPr>
      </w:pPr>
      <w:r>
        <w:rPr>
          <w:rFonts w:ascii="Times New Roman" w:cs="Times New Roman" w:eastAsia="Times New Roman" w:hAnsi="Times New Roman"/>
          <w:sz w:val="17"/>
          <w:szCs w:val="17"/>
          <w:color w:val="auto"/>
        </w:rPr>
        <w:t>We have adopted a written Related Person Transactions Policy that sets forth our policies and procedures regarding the identification, review, consideration and approval or ratification of “related-persons transactions.” For purposes of our policy only, a “related-person transaction” is a transaction, arrangement or relationship (or any series of similar transactions, arrangements or relationships) in which we and any “related person” are participants involving an amount that exceeds or will exceed $120,000 or, during such time as we qualify as a “smaller reporting company,” the lesser of</w:t>
      </w:r>
    </w:p>
    <w:p>
      <w:pPr>
        <w:spacing w:after="0" w:line="3" w:lineRule="exact"/>
        <w:rPr>
          <w:sz w:val="20"/>
          <w:szCs w:val="20"/>
          <w:color w:val="auto"/>
        </w:rPr>
      </w:pPr>
    </w:p>
    <w:p>
      <w:pPr>
        <w:ind w:left="120" w:right="120" w:hanging="4"/>
        <w:spacing w:after="0" w:line="253" w:lineRule="auto"/>
        <w:tabs>
          <w:tab w:leader="none" w:pos="3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 or (2) 1% of the average of our total assets for the last two completed fiscal years. Transactions involving compensation for services provided to us as an employee, director, consultant or similar capacity by a related person are not covered by this policy. A related person is any executive officer, director, or a holder of more than 5% of our capital stock, including any of their immediate family members, and any entity owned or controlled by such persons.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121" w:lineRule="exact"/>
        <w:rPr>
          <w:sz w:val="20"/>
          <w:szCs w:val="20"/>
          <w:color w:val="auto"/>
        </w:rPr>
      </w:pPr>
    </w:p>
    <w:p>
      <w:pPr>
        <w:ind w:left="120" w:right="480"/>
        <w:spacing w:after="0" w:line="312" w:lineRule="auto"/>
        <w:rPr>
          <w:sz w:val="20"/>
          <w:szCs w:val="20"/>
          <w:color w:val="auto"/>
        </w:rPr>
      </w:pPr>
      <w:r>
        <w:rPr>
          <w:rFonts w:ascii="Times New Roman" w:cs="Times New Roman" w:eastAsia="Times New Roman" w:hAnsi="Times New Roman"/>
          <w:sz w:val="17"/>
          <w:szCs w:val="17"/>
          <w:color w:val="auto"/>
        </w:rPr>
        <w:t>Other than compensation arrangements for our directors and executive officers, which are described in the section titled “Executive and Director Compensation,” the following is a description of our related person transactions since January 1, 2020 to which we were a party or will be a party.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Agreements</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Immediately prior to the delivery of the Merger Agreement, Legacy Tempest entered into funding agreements with certain investors, pursuant to which the investors agreed to purchase an aggregate of 35,305,882 shares of Legacy Tempest’s common stock at a purchase price of $0.85 per share for an aggregate purchase price of approximately $30.0 million. The closing of the Legacy Tempest pre-closing financing contemplated by the funding agreements is conditioned upon the satisfaction or waiver of the conditions to the closing of the Merger as well as certain other conditions, as set forth in the funding agreements. The following table summarizes the shares of Legacy Tempest common stock that members of Legacy Tempest’s board of directors or their affiliates and holders of more than 5% of Legacy Tempest’s outstanding capital stock agreed to purchase under the funding agreements.</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4460" w:type="dxa"/>
            <w:vAlign w:val="bottom"/>
            <w:vMerge w:val="restart"/>
          </w:tcPr>
          <w:p>
            <w:pPr>
              <w:spacing w:after="0"/>
              <w:rPr>
                <w:sz w:val="13"/>
                <w:szCs w:val="13"/>
                <w:color w:val="auto"/>
              </w:rPr>
            </w:pPr>
          </w:p>
        </w:tc>
        <w:tc>
          <w:tcPr>
            <w:tcW w:w="16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Total Purchase</w:t>
            </w:r>
          </w:p>
        </w:tc>
        <w:tc>
          <w:tcPr>
            <w:tcW w:w="0" w:type="dxa"/>
            <w:vAlign w:val="bottom"/>
          </w:tcPr>
          <w:p>
            <w:pPr>
              <w:spacing w:after="0"/>
              <w:rPr>
                <w:sz w:val="1"/>
                <w:szCs w:val="1"/>
                <w:color w:val="auto"/>
              </w:rPr>
            </w:pPr>
          </w:p>
        </w:tc>
      </w:tr>
      <w:tr>
        <w:trPr>
          <w:trHeight w:val="180"/>
        </w:trPr>
        <w:tc>
          <w:tcPr>
            <w:tcW w:w="1300" w:type="dxa"/>
            <w:vAlign w:val="bottom"/>
            <w:tcBorders>
              <w:bottom w:val="single" w:sz="8" w:color="auto"/>
            </w:tcBorders>
            <w:vMerge w:val="continue"/>
          </w:tcPr>
          <w:p>
            <w:pPr>
              <w:spacing w:after="0"/>
              <w:rPr>
                <w:sz w:val="15"/>
                <w:szCs w:val="15"/>
                <w:color w:val="auto"/>
              </w:rPr>
            </w:pPr>
          </w:p>
        </w:tc>
        <w:tc>
          <w:tcPr>
            <w:tcW w:w="4460" w:type="dxa"/>
            <w:vAlign w:val="bottom"/>
            <w:vMerge w:val="continue"/>
          </w:tcPr>
          <w:p>
            <w:pPr>
              <w:spacing w:after="0"/>
              <w:rPr>
                <w:sz w:val="15"/>
                <w:szCs w:val="15"/>
                <w:color w:val="auto"/>
              </w:rPr>
            </w:pPr>
          </w:p>
        </w:tc>
        <w:tc>
          <w:tcPr>
            <w:tcW w:w="160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Versant Venture Capital IV, L.P.</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9,352,838</w:t>
            </w:r>
          </w:p>
        </w:tc>
        <w:tc>
          <w:tcPr>
            <w:tcW w:w="6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7,949,912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Versant Side Fund IV, L.P.</w:t>
            </w: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58,927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50,088</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F-Prime Capital Partners Healthcare Fund V LP</w:t>
            </w:r>
          </w:p>
        </w:tc>
        <w:tc>
          <w:tcPr>
            <w:tcW w:w="16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5,352,941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4,550,000</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Quan Venture Fund I, L.P.</w:t>
            </w: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3,235,294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LYFE Capital Fund III (Phoenix), L.P.</w:t>
            </w:r>
          </w:p>
        </w:tc>
        <w:tc>
          <w:tcPr>
            <w:tcW w:w="16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2,705,882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2,300,000</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LAV Regulus Limited</w:t>
            </w: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1,764,706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ERVC Healthcare IV, L.P.</w:t>
            </w:r>
          </w:p>
        </w:tc>
        <w:tc>
          <w:tcPr>
            <w:tcW w:w="16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1,070,588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910,000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B-1 Convertible Preferred Stock Financing</w:t>
      </w:r>
    </w:p>
    <w:p>
      <w:pPr>
        <w:spacing w:after="0" w:line="12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In two closings in February 2019 and January 2020, Legacy Tempest sold an aggregate of 72,499,993 shares of our Series B-1 convertible preferred stock at a purchase price of $0.80 per share for an aggregate purchase price of approximately $58.0 million. Each share of Legacy</w:t>
      </w: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Tempest Series B-1 convertible preferred stock converted automatically into one share of our common stock immediately prior to the completion of the Merger.</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Series B-1 convertible preferred stock purchased by members of the Legacy Tempest board of directors or their affiliates and holders of more than 5% of Legacy Tempest’s outstanding capital stock. The terms of these purchases were the same for all purchasers of Legacy Tempest Series B-1 convertible preferred stock.</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7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Purchased Shares</w:t>
            </w: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7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of Series B-1</w:t>
            </w:r>
          </w:p>
        </w:tc>
        <w:tc>
          <w:tcPr>
            <w:tcW w:w="10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Total Purchase</w:t>
            </w:r>
          </w:p>
        </w:tc>
        <w:tc>
          <w:tcPr>
            <w:tcW w:w="0" w:type="dxa"/>
            <w:vAlign w:val="bottom"/>
          </w:tcPr>
          <w:p>
            <w:pPr>
              <w:spacing w:after="0"/>
              <w:rPr>
                <w:sz w:val="1"/>
                <w:szCs w:val="1"/>
                <w:color w:val="auto"/>
              </w:rPr>
            </w:pPr>
          </w:p>
        </w:tc>
      </w:tr>
      <w:tr>
        <w:trPr>
          <w:trHeight w:val="148"/>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4300" w:type="dxa"/>
            <w:vAlign w:val="bottom"/>
            <w:vMerge w:val="restart"/>
          </w:tcPr>
          <w:p>
            <w:pPr>
              <w:spacing w:after="0"/>
              <w:rPr>
                <w:sz w:val="12"/>
                <w:szCs w:val="12"/>
                <w:color w:val="auto"/>
              </w:rPr>
            </w:pPr>
          </w:p>
        </w:tc>
        <w:tc>
          <w:tcPr>
            <w:tcW w:w="17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300" w:type="dxa"/>
            <w:vAlign w:val="bottom"/>
            <w:tcBorders>
              <w:bottom w:val="single" w:sz="8" w:color="auto"/>
            </w:tcBorders>
            <w:vMerge w:val="continue"/>
          </w:tcPr>
          <w:p>
            <w:pPr>
              <w:spacing w:after="0"/>
              <w:rPr>
                <w:sz w:val="15"/>
                <w:szCs w:val="15"/>
                <w:color w:val="auto"/>
              </w:rPr>
            </w:pPr>
          </w:p>
        </w:tc>
        <w:tc>
          <w:tcPr>
            <w:tcW w:w="4300" w:type="dxa"/>
            <w:vAlign w:val="bottom"/>
            <w:vMerge w:val="continue"/>
          </w:tcPr>
          <w:p>
            <w:pPr>
              <w:spacing w:after="0"/>
              <w:rPr>
                <w:sz w:val="15"/>
                <w:szCs w:val="15"/>
                <w:color w:val="auto"/>
              </w:rPr>
            </w:pPr>
          </w:p>
        </w:tc>
        <w:tc>
          <w:tcPr>
            <w:tcW w:w="176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Versant Venture Capital VI, L.P.</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19,959,676</w:t>
            </w:r>
          </w:p>
        </w:tc>
        <w:tc>
          <w:tcPr>
            <w:tcW w:w="6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15,967,741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LYFE Capital Fund III (Phoenix), L.P.</w:t>
            </w:r>
          </w:p>
        </w:tc>
        <w:tc>
          <w:tcPr>
            <w:tcW w:w="17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12,500,000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F-Prime Capital Partners Healthcare Fund V LP</w:t>
            </w:r>
          </w:p>
        </w:tc>
        <w:tc>
          <w:tcPr>
            <w:tcW w:w="17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11,340,726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9,072,581</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Quan Venture Fund I, L.P.</w:t>
            </w:r>
          </w:p>
        </w:tc>
        <w:tc>
          <w:tcPr>
            <w:tcW w:w="17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11,340,726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9,072,581</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LAV Regulus Limited</w:t>
            </w:r>
          </w:p>
        </w:tc>
        <w:tc>
          <w:tcPr>
            <w:tcW w:w="17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6,804,434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5,443,547</w:t>
            </w:r>
          </w:p>
        </w:tc>
        <w:tc>
          <w:tcPr>
            <w:tcW w:w="0" w:type="dxa"/>
            <w:vAlign w:val="bottom"/>
          </w:tcPr>
          <w:p>
            <w:pPr>
              <w:spacing w:after="0"/>
              <w:rPr>
                <w:sz w:val="1"/>
                <w:szCs w:val="1"/>
                <w:color w:val="auto"/>
              </w:rPr>
            </w:pP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ERVC Healthcare IV, L.P.</w:t>
            </w:r>
          </w:p>
        </w:tc>
        <w:tc>
          <w:tcPr>
            <w:tcW w:w="17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2,268,142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1,814,514</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with Thomas Dubensky</w:t>
      </w:r>
    </w:p>
    <w:p>
      <w:pPr>
        <w:spacing w:after="0" w:line="117"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color w:val="auto"/>
        </w:rPr>
        <w:t>Legacy Tempest was a party to a Full Recourse Promissory Note, dated as of November 29, 2017 (the “</w:t>
      </w:r>
      <w:r>
        <w:rPr>
          <w:rFonts w:ascii="Times New Roman" w:cs="Times New Roman" w:eastAsia="Times New Roman" w:hAnsi="Times New Roman"/>
          <w:sz w:val="18"/>
          <w:szCs w:val="18"/>
          <w:b w:val="1"/>
          <w:bCs w:val="1"/>
          <w:i w:val="1"/>
          <w:iCs w:val="1"/>
          <w:color w:val="auto"/>
        </w:rPr>
        <w:t>Dubensky Note</w:t>
      </w:r>
      <w:r>
        <w:rPr>
          <w:rFonts w:ascii="Times New Roman" w:cs="Times New Roman" w:eastAsia="Times New Roman" w:hAnsi="Times New Roman"/>
          <w:sz w:val="18"/>
          <w:szCs w:val="18"/>
          <w:color w:val="auto"/>
        </w:rPr>
        <w:t>”), with Thomas Dubensky, our President and former Chief Executive Officer. The Dubensky Note was issued in connection with a loan from Legacy Tempest to Dr. Dubensky in the amount of $259,341. The Dubensky Note bears interest at a rate of 2% per year. As of December 31, 2020, Dr. Dubensky owes Legacy Tempest $226,707 in principal and interest under the Dubensky Note. Upon completion of the Merger, Legacy Tempest forgave the Dubensky Note in full.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NDEMNIFICATION</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320" w:top="455" w:right="5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Tempest Therapeutics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Tempest Therapeutics. Direct your written request to Corporate Secretary, Tempest Therapeutics, Inc., at 7000 Shoreline Court, Suite 275, South San Francisco, CA 94080. Stockholders who currently receive multiple copies of the Notices of Internet Availability of Proxy Materials at their addresses and would like to request “householding” of their communications should contact their brokers.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32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222885</wp:posOffset>
            </wp:positionV>
            <wp:extent cx="27946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Thomas W. Dubensky, Jr.</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ind w:left="720" w:hanging="60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2022</w:t>
      </w:r>
    </w:p>
    <w:p>
      <w:pPr>
        <w:spacing w:after="0" w:line="22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A copy of our Annual Report to the Securities and Exchange Commission on Form 10-K for the fiscal year ended December 31, 2021 is available without charge upon written request to: Corporate Secretary, Tempest Therapeutics, Inc., 7000 Shoreline Court, Suite 275, South San Francisco, CA 94080.</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TEMPEST THERAPEUTICS, INC. AMENDED AND RESTATED 2019 EQUITY INCENTIVE PLAN</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AMENDED AND RESTATED BY THE BOARD OF DIRECTORS: APRIL 22, 2022</w:t>
      </w:r>
    </w:p>
    <w:p>
      <w:pPr>
        <w:spacing w:after="0" w:line="31" w:lineRule="exact"/>
        <w:rPr>
          <w:sz w:val="20"/>
          <w:szCs w:val="20"/>
          <w:color w:val="auto"/>
        </w:rPr>
      </w:pPr>
    </w:p>
    <w:p>
      <w:pPr>
        <w:jc w:val="center"/>
        <w:ind w:right="-99"/>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APPROVED BY THE STOCKHOLDERS: JUNE</w:t>
      </w:r>
      <w:r>
        <w:rPr>
          <w:sz w:val="20"/>
          <w:szCs w:val="20"/>
          <w:color w:val="auto"/>
        </w:rPr>
        <w:tab/>
      </w:r>
      <w:r>
        <w:rPr>
          <w:rFonts w:ascii="Times New Roman" w:cs="Times New Roman" w:eastAsia="Times New Roman" w:hAnsi="Times New Roman"/>
          <w:sz w:val="17"/>
          <w:szCs w:val="17"/>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-19050</wp:posOffset>
            </wp:positionV>
            <wp:extent cx="1143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10"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17" w:lineRule="exact"/>
        <w:rPr>
          <w:rFonts w:ascii="Times New Roman" w:cs="Times New Roman" w:eastAsia="Times New Roman" w:hAnsi="Times New Roman"/>
          <w:sz w:val="18"/>
          <w:szCs w:val="18"/>
          <w:b w:val="1"/>
          <w:bCs w:val="1"/>
          <w:color w:val="auto"/>
        </w:rPr>
      </w:pPr>
    </w:p>
    <w:p>
      <w:pPr>
        <w:ind w:left="120" w:firstLine="987"/>
        <w:spacing w:after="0" w:line="259" w:lineRule="auto"/>
        <w:tabs>
          <w:tab w:leader="none" w:pos="136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and Continuation of Prior Plan. </w:t>
      </w:r>
      <w:r>
        <w:rPr>
          <w:rFonts w:ascii="Times New Roman" w:cs="Times New Roman" w:eastAsia="Times New Roman" w:hAnsi="Times New Roman"/>
          <w:sz w:val="18"/>
          <w:szCs w:val="18"/>
          <w:color w:val="auto"/>
        </w:rPr>
        <w:t>The Plan is intended as the successor to and continuation of the Millendo 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2012 Stock Plan and the Ovascience, Inc. 2012 Stock Incentive Plan (each, as amended, the “</w:t>
      </w:r>
      <w:r>
        <w:rPr>
          <w:rFonts w:ascii="Times New Roman" w:cs="Times New Roman" w:eastAsia="Times New Roman" w:hAnsi="Times New Roman"/>
          <w:sz w:val="18"/>
          <w:szCs w:val="18"/>
          <w:b w:val="1"/>
          <w:bCs w:val="1"/>
          <w:i w:val="1"/>
          <w:iCs w:val="1"/>
          <w:color w:val="auto"/>
        </w:rPr>
        <w:t>Prior Plans</w:t>
      </w:r>
      <w:r>
        <w:rPr>
          <w:rFonts w:ascii="Times New Roman" w:cs="Times New Roman" w:eastAsia="Times New Roman" w:hAnsi="Times New Roman"/>
          <w:sz w:val="18"/>
          <w:szCs w:val="18"/>
          <w:color w:val="auto"/>
        </w:rPr>
        <w:t>”). From and after 12:01 a.m. Eastern Time on the Initial Effective Date, no additional stock awards will be granted under the Prior Plans. All Awards granted on or after 12:01 a.m. Eastern Time on the Effective Date will be granted under this Plan. All stock awards granted under the Prior Plans will remain subject to the terms of the Prior Plans. The Plan amends and restates the Millendo Therapeutics, Inc. 2019 Equity Incentive Plan in its entirety.</w:t>
      </w:r>
    </w:p>
    <w:p>
      <w:pPr>
        <w:spacing w:after="0" w:line="179"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Employees, Directors and Consultants are eligible to receive Awards.</w:t>
      </w:r>
    </w:p>
    <w:p>
      <w:pPr>
        <w:spacing w:after="0" w:line="225" w:lineRule="exact"/>
        <w:rPr>
          <w:rFonts w:ascii="Times New Roman" w:cs="Times New Roman" w:eastAsia="Times New Roman" w:hAnsi="Times New Roman"/>
          <w:sz w:val="18"/>
          <w:szCs w:val="18"/>
          <w:b w:val="1"/>
          <w:bCs w:val="1"/>
          <w:color w:val="auto"/>
        </w:rPr>
      </w:pPr>
    </w:p>
    <w:p>
      <w:pPr>
        <w:ind w:left="120" w:right="520" w:firstLine="987"/>
        <w:spacing w:after="0" w:line="263" w:lineRule="auto"/>
        <w:tabs>
          <w:tab w:leader="none" w:pos="135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(iii) Stock Appreciation Rights, (iv) Restricted Stock Awards, (v) Restricted Stock Unit Awards, (vi) Performance Stock Awards,</w:t>
      </w: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(vii) Performance Cash Awards, and (viii) Other Stock Awards.</w:t>
      </w:r>
    </w:p>
    <w:p>
      <w:pPr>
        <w:spacing w:after="0" w:line="202" w:lineRule="exact"/>
        <w:rPr>
          <w:rFonts w:ascii="Times New Roman" w:cs="Times New Roman" w:eastAsia="Times New Roman" w:hAnsi="Times New Roman"/>
          <w:sz w:val="18"/>
          <w:szCs w:val="18"/>
          <w:b w:val="1"/>
          <w:bCs w:val="1"/>
          <w:color w:val="auto"/>
        </w:rPr>
      </w:pPr>
    </w:p>
    <w:p>
      <w:pPr>
        <w:jc w:val="both"/>
        <w:ind w:left="120" w:right="440" w:firstLine="987"/>
        <w:spacing w:after="0" w:line="268" w:lineRule="auto"/>
        <w:tabs>
          <w:tab w:leader="none" w:pos="137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Plan, through the grant of Awards, is intended to help the Company secure and retain the services of eligible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recipients, provide incentives for such persons to exert maximum efforts for the success of the Company and any Affiliate, and provide a means by which the eligible recipients may benefit from increases in value of the Common Stock.</w:t>
      </w:r>
    </w:p>
    <w:p>
      <w:pPr>
        <w:spacing w:after="0" w:line="319"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17" w:lineRule="exact"/>
        <w:rPr>
          <w:rFonts w:ascii="Times New Roman" w:cs="Times New Roman" w:eastAsia="Times New Roman" w:hAnsi="Times New Roman"/>
          <w:sz w:val="18"/>
          <w:szCs w:val="18"/>
          <w:b w:val="1"/>
          <w:bCs w:val="1"/>
          <w:color w:val="auto"/>
        </w:rPr>
      </w:pPr>
    </w:p>
    <w:p>
      <w:pPr>
        <w:ind w:left="120" w:right="120" w:firstLine="987"/>
        <w:spacing w:after="0" w:line="286" w:lineRule="auto"/>
        <w:tabs>
          <w:tab w:leader="none" w:pos="136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The Board may delegate administration of the Plan to a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as provided in Section 2(c).</w:t>
      </w:r>
    </w:p>
    <w:p>
      <w:pPr>
        <w:spacing w:after="0" w:line="154"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9" w:lineRule="exact"/>
        <w:rPr>
          <w:rFonts w:ascii="Times New Roman" w:cs="Times New Roman" w:eastAsia="Times New Roman" w:hAnsi="Times New Roman"/>
          <w:sz w:val="18"/>
          <w:szCs w:val="18"/>
          <w:b w:val="1"/>
          <w:bCs w:val="1"/>
          <w:color w:val="auto"/>
        </w:rPr>
      </w:pPr>
    </w:p>
    <w:p>
      <w:pPr>
        <w:ind w:left="120" w:right="40" w:firstLine="1428"/>
        <w:spacing w:after="0" w:line="261" w:lineRule="auto"/>
        <w:tabs>
          <w:tab w:leader="none" w:pos="1767"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179" w:lineRule="exact"/>
        <w:rPr>
          <w:rFonts w:ascii="Times New Roman" w:cs="Times New Roman" w:eastAsia="Times New Roman" w:hAnsi="Times New Roman"/>
          <w:sz w:val="18"/>
          <w:szCs w:val="18"/>
          <w:b w:val="1"/>
          <w:bCs w:val="1"/>
          <w:color w:val="auto"/>
        </w:rPr>
      </w:pPr>
    </w:p>
    <w:p>
      <w:pPr>
        <w:ind w:left="120" w:right="160" w:firstLine="1428"/>
        <w:spacing w:after="0" w:line="261" w:lineRule="auto"/>
        <w:tabs>
          <w:tab w:leader="none" w:pos="1817"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79" w:lineRule="exact"/>
        <w:rPr>
          <w:rFonts w:ascii="Times New Roman" w:cs="Times New Roman" w:eastAsia="Times New Roman" w:hAnsi="Times New Roman"/>
          <w:sz w:val="18"/>
          <w:szCs w:val="18"/>
          <w:b w:val="1"/>
          <w:bCs w:val="1"/>
          <w:color w:val="auto"/>
        </w:rPr>
      </w:pPr>
    </w:p>
    <w:p>
      <w:pPr>
        <w:ind w:left="1860" w:hanging="312"/>
        <w:spacing w:after="0"/>
        <w:tabs>
          <w:tab w:leader="none" w:pos="1860"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rFonts w:ascii="Times New Roman" w:cs="Times New Roman" w:eastAsia="Times New Roman" w:hAnsi="Times New Roman"/>
          <w:sz w:val="18"/>
          <w:szCs w:val="18"/>
          <w:b w:val="1"/>
          <w:bCs w:val="1"/>
          <w:color w:val="auto"/>
        </w:rPr>
      </w:pPr>
    </w:p>
    <w:p>
      <w:pPr>
        <w:ind w:left="120" w:right="240" w:firstLine="1428"/>
        <w:spacing w:after="0" w:line="282" w:lineRule="auto"/>
        <w:tabs>
          <w:tab w:leader="none" w:pos="1857"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in whole or in part, the time at which an Award may be exercised or vest (or the time at which cash or shares of Common Stock may be issued in settlement thereof).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1428"/>
        <w:spacing w:after="0" w:line="266" w:lineRule="auto"/>
        <w:tabs>
          <w:tab w:leader="none" w:pos="1807"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 except as provided in subsection (viii) below.</w:t>
      </w:r>
    </w:p>
    <w:p>
      <w:pPr>
        <w:spacing w:after="0" w:line="175" w:lineRule="exact"/>
        <w:rPr>
          <w:rFonts w:ascii="Times New Roman" w:cs="Times New Roman" w:eastAsia="Times New Roman" w:hAnsi="Times New Roman"/>
          <w:sz w:val="18"/>
          <w:szCs w:val="18"/>
          <w:b w:val="1"/>
          <w:bCs w:val="1"/>
          <w:color w:val="auto"/>
        </w:rPr>
      </w:pPr>
    </w:p>
    <w:p>
      <w:pPr>
        <w:ind w:left="120" w:right="140" w:firstLine="1428"/>
        <w:spacing w:after="0" w:line="253" w:lineRule="auto"/>
        <w:tabs>
          <w:tab w:leader="none" w:pos="1857"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spacing w:after="0" w:line="191" w:lineRule="exact"/>
        <w:rPr>
          <w:rFonts w:ascii="Times New Roman" w:cs="Times New Roman" w:eastAsia="Times New Roman" w:hAnsi="Times New Roman"/>
          <w:sz w:val="18"/>
          <w:szCs w:val="18"/>
          <w:b w:val="1"/>
          <w:bCs w:val="1"/>
          <w:color w:val="auto"/>
        </w:rPr>
      </w:pPr>
    </w:p>
    <w:p>
      <w:pPr>
        <w:ind w:left="120" w:right="80" w:firstLine="1428"/>
        <w:spacing w:after="0" w:line="282" w:lineRule="auto"/>
        <w:tabs>
          <w:tab w:leader="none" w:pos="1907"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 including, but not limited to, amendments to the Plan intended to satisfy the requirements of (A) Section 422 of the Code regarding “incentive stock options” or (B) Rule 16b-3.</w:t>
      </w:r>
    </w:p>
    <w:p>
      <w:pPr>
        <w:spacing w:after="0" w:line="161" w:lineRule="exact"/>
        <w:rPr>
          <w:rFonts w:ascii="Times New Roman" w:cs="Times New Roman" w:eastAsia="Times New Roman" w:hAnsi="Times New Roman"/>
          <w:sz w:val="18"/>
          <w:szCs w:val="18"/>
          <w:b w:val="1"/>
          <w:bCs w:val="1"/>
          <w:color w:val="auto"/>
        </w:rPr>
      </w:pPr>
    </w:p>
    <w:p>
      <w:pPr>
        <w:ind w:left="120" w:right="40" w:firstLine="1428"/>
        <w:spacing w:after="0" w:line="253" w:lineRule="auto"/>
        <w:tabs>
          <w:tab w:leader="none" w:pos="1957"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91" w:lineRule="exact"/>
        <w:rPr>
          <w:rFonts w:ascii="Times New Roman" w:cs="Times New Roman" w:eastAsia="Times New Roman" w:hAnsi="Times New Roman"/>
          <w:sz w:val="18"/>
          <w:szCs w:val="18"/>
          <w:b w:val="1"/>
          <w:bCs w:val="1"/>
          <w:color w:val="auto"/>
        </w:rPr>
      </w:pPr>
    </w:p>
    <w:p>
      <w:pPr>
        <w:ind w:left="120" w:right="380" w:firstLine="1428"/>
        <w:spacing w:after="0" w:line="282" w:lineRule="auto"/>
        <w:tabs>
          <w:tab w:leader="none" w:pos="1857"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1" w:lineRule="exact"/>
        <w:rPr>
          <w:rFonts w:ascii="Times New Roman" w:cs="Times New Roman" w:eastAsia="Times New Roman" w:hAnsi="Times New Roman"/>
          <w:sz w:val="18"/>
          <w:szCs w:val="18"/>
          <w:b w:val="1"/>
          <w:bCs w:val="1"/>
          <w:color w:val="auto"/>
        </w:rPr>
      </w:pPr>
    </w:p>
    <w:p>
      <w:pPr>
        <w:jc w:val="both"/>
        <w:ind w:left="120" w:right="520" w:firstLine="1428"/>
        <w:spacing w:after="0" w:line="289" w:lineRule="auto"/>
        <w:tabs>
          <w:tab w:leader="none" w:pos="1807" w:val="left"/>
        </w:tabs>
        <w:numPr>
          <w:ilvl w:val="1"/>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261" w:lineRule="exact"/>
        <w:rPr>
          <w:rFonts w:ascii="Times New Roman" w:cs="Times New Roman" w:eastAsia="Times New Roman" w:hAnsi="Times New Roman"/>
          <w:sz w:val="17"/>
          <w:szCs w:val="17"/>
          <w:b w:val="1"/>
          <w:bCs w:val="1"/>
          <w:color w:val="auto"/>
        </w:rPr>
      </w:pPr>
    </w:p>
    <w:p>
      <w:pPr>
        <w:ind w:left="1360" w:hanging="253"/>
        <w:spacing w:after="0"/>
        <w:tabs>
          <w:tab w:leader="none" w:pos="13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117" w:lineRule="exact"/>
        <w:rPr>
          <w:rFonts w:ascii="Times New Roman" w:cs="Times New Roman" w:eastAsia="Times New Roman" w:hAnsi="Times New Roman"/>
          <w:sz w:val="18"/>
          <w:szCs w:val="18"/>
          <w:b w:val="1"/>
          <w:bCs w:val="1"/>
          <w:color w:val="auto"/>
        </w:rPr>
      </w:pPr>
    </w:p>
    <w:p>
      <w:pPr>
        <w:ind w:left="120" w:firstLine="1428"/>
        <w:spacing w:after="0" w:line="268" w:lineRule="auto"/>
        <w:tabs>
          <w:tab w:leader="none" w:pos="1767"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 is delegated to a Committee, the Committee will have, in connection with the administration of the Plan, the powers theretofore possessed by the Board that have been delegated to</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Committee, including the power to delegate to a subcommittee of the Committee any of the administrative powers the Committee is authorized to exercise (and references in this Plan to the Board will thereafter be construed as being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79" w:lineRule="exact"/>
        <w:rPr>
          <w:sz w:val="20"/>
          <w:szCs w:val="20"/>
          <w:color w:val="auto"/>
        </w:rPr>
      </w:pPr>
    </w:p>
    <w:p>
      <w:pPr>
        <w:ind w:left="1820" w:hanging="272"/>
        <w:spacing w:after="0"/>
        <w:tabs>
          <w:tab w:leader="none" w:pos="18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The Committee may consist solely of two or more Non-Employee Directors in accordance with Rule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16b-3.</w:t>
      </w:r>
    </w:p>
    <w:p>
      <w:pPr>
        <w:spacing w:after="0" w:line="203" w:lineRule="exact"/>
        <w:rPr>
          <w:sz w:val="20"/>
          <w:szCs w:val="20"/>
          <w:color w:val="auto"/>
        </w:rPr>
      </w:pPr>
    </w:p>
    <w:p>
      <w:pPr>
        <w:ind w:left="1380" w:hanging="273"/>
        <w:spacing w:after="0"/>
        <w:tabs>
          <w:tab w:leader="none" w:pos="138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may delegate to one (1) or more Officers the authority to do one or both of the following</w:t>
      </w:r>
    </w:p>
    <w:p>
      <w:pPr>
        <w:spacing w:after="0" w:line="31" w:lineRule="exact"/>
        <w:rPr>
          <w:rFonts w:ascii="Times New Roman" w:cs="Times New Roman" w:eastAsia="Times New Roman" w:hAnsi="Times New Roman"/>
          <w:sz w:val="18"/>
          <w:szCs w:val="18"/>
          <w:b w:val="1"/>
          <w:bCs w:val="1"/>
          <w:color w:val="auto"/>
        </w:rPr>
      </w:pPr>
    </w:p>
    <w:p>
      <w:pPr>
        <w:ind w:left="120" w:hanging="4"/>
        <w:spacing w:after="0" w:line="252" w:lineRule="auto"/>
        <w:tabs>
          <w:tab w:leader="none" w:pos="3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designate Employees who are not Officers to be recipients of Options and SARs (and, to the extent permitted by applicable law, other Stock Awards) and, to the extent permitted by applicable law, the terms of such Awards, and (ii) determine the number of shares of Common Stock to be subject to such Stock Awards granted to such Employees;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13(w)(iii) below.</w:t>
      </w:r>
    </w:p>
    <w:p>
      <w:pPr>
        <w:spacing w:after="0" w:line="184" w:lineRule="exact"/>
        <w:rPr>
          <w:rFonts w:ascii="Times New Roman" w:cs="Times New Roman" w:eastAsia="Times New Roman" w:hAnsi="Times New Roman"/>
          <w:sz w:val="18"/>
          <w:szCs w:val="18"/>
          <w:color w:val="auto"/>
        </w:rPr>
      </w:pPr>
    </w:p>
    <w:p>
      <w:pPr>
        <w:ind w:left="120" w:right="260" w:firstLine="1428"/>
        <w:spacing w:after="0" w:line="286" w:lineRule="auto"/>
        <w:tabs>
          <w:tab w:leader="none" w:pos="1797" w:val="left"/>
        </w:tabs>
        <w:numPr>
          <w:ilvl w:val="2"/>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in good faith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ind w:left="120" w:right="140" w:firstLine="1428"/>
        <w:spacing w:after="0" w:line="262" w:lineRule="auto"/>
        <w:tabs>
          <w:tab w:leader="none" w:pos="1777" w:val="left"/>
        </w:tabs>
        <w:numPr>
          <w:ilvl w:val="2"/>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Repricing of Awards</w:t>
      </w:r>
      <w:r>
        <w:rPr>
          <w:rFonts w:ascii="Times New Roman" w:cs="Times New Roman" w:eastAsia="Times New Roman" w:hAnsi="Times New Roman"/>
          <w:sz w:val="18"/>
          <w:szCs w:val="18"/>
          <w:color w:val="auto"/>
        </w:rPr>
        <w:t>. Neither the Board nor any Committee will have the authority to (i) reduce the exercise or strike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outstanding Option or SAR or (ii) cancel any outstanding Option or SAR that has an exercise or strike price (per share) greater than the then-current Fair Market Value of the Common Stock in exchange for cash or other Stock Awards under the Plan, unless the stockholders of the Company have approved such an action within 12 months prior to such an event.</w:t>
      </w:r>
    </w:p>
    <w:p>
      <w:pPr>
        <w:spacing w:after="0" w:line="325"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p>
    <w:p>
      <w:pPr>
        <w:spacing w:after="0" w:line="117" w:lineRule="exact"/>
        <w:rPr>
          <w:rFonts w:ascii="Times New Roman" w:cs="Times New Roman" w:eastAsia="Times New Roman" w:hAnsi="Times New Roman"/>
          <w:sz w:val="18"/>
          <w:szCs w:val="18"/>
          <w:b w:val="1"/>
          <w:bCs w:val="1"/>
          <w:color w:val="auto"/>
        </w:rPr>
      </w:pPr>
    </w:p>
    <w:p>
      <w:pPr>
        <w:ind w:left="120" w:right="80" w:firstLine="987"/>
        <w:spacing w:after="0" w:line="259" w:lineRule="auto"/>
        <w:tabs>
          <w:tab w:leader="none" w:pos="1366"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Section 9(a) relating to Capitalization Adjustments, and the following sentence regarding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the aggregate number of shares of Common Stock that may be issued pursuant to Stock Awards will not exceed 1,326,910 shares, which is the sum of (1) 194,658 shares (the “</w:t>
      </w:r>
      <w:r>
        <w:rPr>
          <w:rFonts w:ascii="Times New Roman" w:cs="Times New Roman" w:eastAsia="Times New Roman" w:hAnsi="Times New Roman"/>
          <w:sz w:val="18"/>
          <w:szCs w:val="18"/>
          <w:b w:val="1"/>
          <w:bCs w:val="1"/>
          <w:i w:val="1"/>
          <w:iCs w:val="1"/>
          <w:color w:val="auto"/>
        </w:rPr>
        <w:t>Initial Share Reserve</w:t>
      </w:r>
      <w:r>
        <w:rPr>
          <w:rFonts w:ascii="Times New Roman" w:cs="Times New Roman" w:eastAsia="Times New Roman" w:hAnsi="Times New Roman"/>
          <w:sz w:val="18"/>
          <w:szCs w:val="18"/>
          <w:color w:val="auto"/>
        </w:rPr>
        <w:t xml:space="preserve">”), which was approved by the Company’s stockholders on the Initial Effective Date and </w:t>
      </w:r>
      <w:r>
        <w:rPr>
          <w:rFonts w:ascii="Times New Roman" w:cs="Times New Roman" w:eastAsia="Times New Roman" w:hAnsi="Times New Roman"/>
          <w:sz w:val="18"/>
          <w:szCs w:val="18"/>
          <w:i w:val="1"/>
          <w:iCs w:val="1"/>
          <w:color w:val="auto"/>
        </w:rPr>
        <w:t>plus</w:t>
      </w: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 an additional 1,132,252 shares that were approved by the Company’s stockholders at the 2022 Annual Meeting of Stockholders.</w:t>
      </w:r>
    </w:p>
    <w:p>
      <w:pPr>
        <w:spacing w:after="0" w:line="207"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In addition, the Share Reserve will automatically increase on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each year, for a period commencing on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the year following the Effective Date and ending on (and including) January 1, 2029, in an amount equal to 4% of the total number of shares of Capital Stock outstanding on December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the preceding calendar year. Notwithstanding the foregoing, the Board may act prior to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a given year to provide that there will be no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increase in the Share Reserve for such year or that the increase in the Share Reserve for such year will be a lesser number of shares of Common Stock than would otherwise occur pursuant to the preceding sentence.</w:t>
      </w:r>
    </w:p>
    <w:p>
      <w:pPr>
        <w:spacing w:after="0" w:line="183"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58" w:lineRule="exact"/>
        <w:rPr>
          <w:sz w:val="20"/>
          <w:szCs w:val="20"/>
          <w:color w:val="auto"/>
        </w:rPr>
      </w:pPr>
    </w:p>
    <w:p>
      <w:pPr>
        <w:ind w:left="120" w:firstLine="987"/>
        <w:spacing w:after="0" w:line="256" w:lineRule="auto"/>
        <w:tabs>
          <w:tab w:leader="none" w:pos="1376"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Shares to the Share Reserve. </w:t>
      </w:r>
      <w:r>
        <w:rPr>
          <w:rFonts w:ascii="Times New Roman" w:cs="Times New Roman" w:eastAsia="Times New Roman" w:hAnsi="Times New Roman"/>
          <w:sz w:val="18"/>
          <w:szCs w:val="18"/>
          <w:color w:val="auto"/>
        </w:rPr>
        <w:t>If a Stock Award or any portion thereof (i) expires or otherwise terminates without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covered by such Stock Award having been issued or (ii) is settled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82" w:lineRule="exact"/>
        <w:rPr>
          <w:rFonts w:ascii="Times New Roman" w:cs="Times New Roman" w:eastAsia="Times New Roman" w:hAnsi="Times New Roman"/>
          <w:sz w:val="18"/>
          <w:szCs w:val="18"/>
          <w:b w:val="1"/>
          <w:bCs w:val="1"/>
          <w:color w:val="auto"/>
        </w:rPr>
      </w:pPr>
    </w:p>
    <w:p>
      <w:pPr>
        <w:ind w:left="120" w:right="520" w:firstLine="987"/>
        <w:spacing w:after="0" w:line="268" w:lineRule="auto"/>
        <w:tabs>
          <w:tab w:leader="none" w:pos="1356"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Limit. </w:t>
      </w:r>
      <w:r>
        <w:rPr>
          <w:rFonts w:ascii="Times New Roman" w:cs="Times New Roman" w:eastAsia="Times New Roman" w:hAnsi="Times New Roman"/>
          <w:sz w:val="18"/>
          <w:szCs w:val="18"/>
          <w:color w:val="auto"/>
        </w:rPr>
        <w:t>Subject to the provisions of Section 9(a) relating to Capitalization Adjustments,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number of shares of Common Stock that may be issued pursuant to the exercise of Incentive Stock Options will be 5,000,000 shares of Common Stock.</w:t>
      </w:r>
    </w:p>
    <w:p>
      <w:pPr>
        <w:spacing w:after="0" w:line="170" w:lineRule="exact"/>
        <w:rPr>
          <w:rFonts w:ascii="Times New Roman" w:cs="Times New Roman" w:eastAsia="Times New Roman" w:hAnsi="Times New Roman"/>
          <w:sz w:val="18"/>
          <w:szCs w:val="18"/>
          <w:b w:val="1"/>
          <w:bCs w:val="1"/>
          <w:color w:val="auto"/>
        </w:rPr>
      </w:pPr>
    </w:p>
    <w:p>
      <w:pPr>
        <w:ind w:left="120" w:firstLine="987"/>
        <w:spacing w:after="0" w:line="278" w:lineRule="auto"/>
        <w:tabs>
          <w:tab w:leader="none" w:pos="1376" w:val="left"/>
        </w:tabs>
        <w:numPr>
          <w:ilvl w:val="1"/>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Limitation on Compensation to Non-Employee Directors. </w:t>
      </w:r>
      <w:r>
        <w:rPr>
          <w:rFonts w:ascii="Times New Roman" w:cs="Times New Roman" w:eastAsia="Times New Roman" w:hAnsi="Times New Roman"/>
          <w:sz w:val="17"/>
          <w:szCs w:val="17"/>
          <w:color w:val="auto"/>
        </w:rPr>
        <w:t>The aggregate value of all compensation granted or paid, as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Awards granted and cash fees paid by the Company during any one calendar year to any Non-Employee Director, taken together with any cash fees paid by the Company to such Non-Employee Director during such calendar year for service on the Board beginning with calendar year 2023, will not exceed $750,000 in total value (calculating the value of any such Stock Awards based on the grant date fair value of such Stock Awards for financial reporting purposes), or, with respect to the calendar year in which a Non-Employee Director is first appointed or elected to the Board, $1,000,000.</w:t>
      </w:r>
    </w:p>
    <w:p>
      <w:pPr>
        <w:spacing w:after="0" w:line="163" w:lineRule="exact"/>
        <w:rPr>
          <w:rFonts w:ascii="Times New Roman" w:cs="Times New Roman" w:eastAsia="Times New Roman" w:hAnsi="Times New Roman"/>
          <w:sz w:val="17"/>
          <w:szCs w:val="17"/>
          <w:b w:val="1"/>
          <w:bCs w:val="1"/>
          <w:color w:val="auto"/>
        </w:rPr>
      </w:pPr>
    </w:p>
    <w:p>
      <w:pPr>
        <w:ind w:left="120" w:right="60" w:firstLine="987"/>
        <w:spacing w:after="0" w:line="286" w:lineRule="auto"/>
        <w:tabs>
          <w:tab w:leader="none" w:pos="1356"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repurchased by the Company on the open market or otherwise.</w:t>
      </w:r>
    </w:p>
    <w:p>
      <w:pPr>
        <w:spacing w:after="0" w:line="30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117" w:lineRule="exact"/>
        <w:rPr>
          <w:rFonts w:ascii="Times New Roman" w:cs="Times New Roman" w:eastAsia="Times New Roman" w:hAnsi="Times New Roman"/>
          <w:sz w:val="18"/>
          <w:szCs w:val="18"/>
          <w:b w:val="1"/>
          <w:bCs w:val="1"/>
          <w:color w:val="auto"/>
        </w:rPr>
      </w:pPr>
    </w:p>
    <w:p>
      <w:pPr>
        <w:ind w:left="120" w:right="40" w:firstLine="987"/>
        <w:spacing w:after="0" w:line="255" w:lineRule="auto"/>
        <w:tabs>
          <w:tab w:leader="none" w:pos="1366"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for Specific Stock Awards</w:t>
      </w:r>
      <w:r>
        <w:rPr>
          <w:rFonts w:ascii="Times New Roman" w:cs="Times New Roman" w:eastAsia="Times New Roman" w:hAnsi="Times New Roman"/>
          <w:sz w:val="18"/>
          <w:szCs w:val="18"/>
          <w:color w:val="auto"/>
        </w:rPr>
        <w:t>. Incentive Stock Options may be granted only to employees of the Company or a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 or “subsidiary corporation” thereof (as such terms are defined in Sections 424(e) and 424(f) of the Code). Stock Awards other than Incentive Stock Options may be granted to Employees, Directors and Consultants;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Stock Awards may not be granted to Employees, Directors and Consultants who are providing Continuous Service 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84" w:lineRule="exact"/>
        <w:rPr>
          <w:rFonts w:ascii="Times New Roman" w:cs="Times New Roman" w:eastAsia="Times New Roman" w:hAnsi="Times New Roman"/>
          <w:sz w:val="18"/>
          <w:szCs w:val="18"/>
          <w:b w:val="1"/>
          <w:bCs w:val="1"/>
          <w:color w:val="auto"/>
        </w:rPr>
      </w:pPr>
    </w:p>
    <w:p>
      <w:pPr>
        <w:jc w:val="both"/>
        <w:ind w:left="120" w:right="60" w:firstLine="987"/>
        <w:spacing w:after="0" w:line="268" w:lineRule="auto"/>
        <w:tabs>
          <w:tab w:leader="none" w:pos="1376"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Ten Percent Stockholders. </w:t>
      </w:r>
      <w:r>
        <w:rPr>
          <w:rFonts w:ascii="Times New Roman" w:cs="Times New Roman" w:eastAsia="Times New Roman" w:hAnsi="Times New Roman"/>
          <w:sz w:val="18"/>
          <w:szCs w:val="18"/>
          <w:color w:val="auto"/>
        </w:rPr>
        <w:t>A Ten Percent Stockholder will not be granted an Incentive Stock Option unless the exercise price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is at least 110% of the Fair Market Value on the date of grant and the Option is not exercisable after the expiration of five years from the date of grant.</w:t>
      </w:r>
    </w:p>
    <w:p>
      <w:pPr>
        <w:spacing w:after="0" w:line="319"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RELATING TO OPTIONS AND STOCK APPRECIATION RIGHTS.</w:t>
      </w:r>
    </w:p>
    <w:p>
      <w:pPr>
        <w:spacing w:after="0" w:line="121" w:lineRule="exact"/>
        <w:rPr>
          <w:sz w:val="20"/>
          <w:szCs w:val="20"/>
          <w:color w:val="auto"/>
        </w:rPr>
      </w:pPr>
    </w:p>
    <w:p>
      <w:pPr>
        <w:jc w:val="both"/>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Award Agreement will conform to (through incorporation of provisions hereof by reference in the applicable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otherwise) the substance of each of the following provisions:</w:t>
      </w:r>
    </w:p>
    <w:p>
      <w:pPr>
        <w:spacing w:after="0" w:line="179" w:lineRule="exact"/>
        <w:rPr>
          <w:sz w:val="20"/>
          <w:szCs w:val="20"/>
          <w:color w:val="auto"/>
        </w:rPr>
      </w:pPr>
    </w:p>
    <w:p>
      <w:pPr>
        <w:ind w:left="120" w:right="300" w:firstLine="987"/>
        <w:spacing w:after="0" w:line="286" w:lineRule="auto"/>
        <w:tabs>
          <w:tab w:leader="none" w:pos="136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the provisions of Section 4(b) regarding Ten Percent Stockholders, no Option or SAR will be exercisable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of ten years from the date of its grant or such shorter period specified in the Award Agreement.</w:t>
      </w:r>
    </w:p>
    <w:p>
      <w:pPr>
        <w:spacing w:after="0" w:line="154" w:lineRule="exact"/>
        <w:rPr>
          <w:rFonts w:ascii="Times New Roman" w:cs="Times New Roman" w:eastAsia="Times New Roman" w:hAnsi="Times New Roman"/>
          <w:sz w:val="18"/>
          <w:szCs w:val="18"/>
          <w:b w:val="1"/>
          <w:bCs w:val="1"/>
          <w:color w:val="auto"/>
        </w:rPr>
      </w:pPr>
    </w:p>
    <w:p>
      <w:pPr>
        <w:ind w:left="120" w:right="80" w:firstLine="987"/>
        <w:spacing w:after="0" w:line="257" w:lineRule="auto"/>
        <w:tabs>
          <w:tab w:leader="none" w:pos="137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Subject to the provisions of Section 4(b) regarding Ten Percent Stockholders, the exercise or strike price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or 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82" w:lineRule="exact"/>
        <w:rPr>
          <w:rFonts w:ascii="Times New Roman" w:cs="Times New Roman" w:eastAsia="Times New Roman" w:hAnsi="Times New Roman"/>
          <w:sz w:val="18"/>
          <w:szCs w:val="18"/>
          <w:b w:val="1"/>
          <w:bCs w:val="1"/>
          <w:color w:val="auto"/>
        </w:rPr>
      </w:pPr>
    </w:p>
    <w:p>
      <w:pPr>
        <w:ind w:left="120" w:right="40" w:firstLine="987"/>
        <w:spacing w:after="0" w:line="259" w:lineRule="auto"/>
        <w:tabs>
          <w:tab w:leader="none" w:pos="135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Purchase Price for Options. </w:t>
      </w:r>
      <w:r>
        <w:rPr>
          <w:rFonts w:ascii="Times New Roman" w:cs="Times New Roman" w:eastAsia="Times New Roman" w:hAnsi="Times New Roman"/>
          <w:sz w:val="18"/>
          <w:szCs w:val="18"/>
          <w:color w:val="auto"/>
        </w:rPr>
        <w:t>The purchase price of Common Stock acquired pursuant to the exercise of an Option may be paid,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83" w:lineRule="exact"/>
        <w:rPr>
          <w:rFonts w:ascii="Times New Roman" w:cs="Times New Roman" w:eastAsia="Times New Roman" w:hAnsi="Times New Roman"/>
          <w:sz w:val="18"/>
          <w:szCs w:val="18"/>
          <w:b w:val="1"/>
          <w:bCs w:val="1"/>
          <w:color w:val="auto"/>
        </w:rPr>
      </w:pPr>
    </w:p>
    <w:p>
      <w:pPr>
        <w:ind w:left="1760" w:hanging="212"/>
        <w:spacing w:after="0"/>
        <w:tabs>
          <w:tab w:leader="none" w:pos="1760"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ind w:left="120" w:right="100" w:firstLine="1428"/>
        <w:spacing w:after="0" w:line="266" w:lineRule="auto"/>
        <w:tabs>
          <w:tab w:leader="none" w:pos="1817"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75" w:lineRule="exact"/>
        <w:rPr>
          <w:rFonts w:ascii="Times New Roman" w:cs="Times New Roman" w:eastAsia="Times New Roman" w:hAnsi="Times New Roman"/>
          <w:sz w:val="18"/>
          <w:szCs w:val="18"/>
          <w:b w:val="1"/>
          <w:bCs w:val="1"/>
          <w:color w:val="auto"/>
        </w:rPr>
      </w:pPr>
    </w:p>
    <w:p>
      <w:pPr>
        <w:ind w:left="1860" w:hanging="312"/>
        <w:spacing w:after="0"/>
        <w:tabs>
          <w:tab w:leader="none" w:pos="1860"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w:t>
      </w:r>
    </w:p>
    <w:p>
      <w:pPr>
        <w:spacing w:after="0" w:line="225" w:lineRule="exact"/>
        <w:rPr>
          <w:rFonts w:ascii="Times New Roman" w:cs="Times New Roman" w:eastAsia="Times New Roman" w:hAnsi="Times New Roman"/>
          <w:sz w:val="18"/>
          <w:szCs w:val="18"/>
          <w:b w:val="1"/>
          <w:bCs w:val="1"/>
          <w:color w:val="auto"/>
        </w:rPr>
      </w:pPr>
    </w:p>
    <w:p>
      <w:pPr>
        <w:ind w:left="120" w:right="180" w:firstLine="1428"/>
        <w:spacing w:after="0" w:line="255" w:lineRule="auto"/>
        <w:tabs>
          <w:tab w:leader="none" w:pos="1857"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88" w:lineRule="exact"/>
        <w:rPr>
          <w:rFonts w:ascii="Times New Roman" w:cs="Times New Roman" w:eastAsia="Times New Roman" w:hAnsi="Times New Roman"/>
          <w:sz w:val="18"/>
          <w:szCs w:val="18"/>
          <w:b w:val="1"/>
          <w:bCs w:val="1"/>
          <w:color w:val="auto"/>
        </w:rPr>
      </w:pPr>
    </w:p>
    <w:p>
      <w:pPr>
        <w:ind w:left="5480" w:right="200" w:hanging="3932"/>
        <w:spacing w:after="0" w:line="454" w:lineRule="auto"/>
        <w:tabs>
          <w:tab w:leader="none" w:pos="1799"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legal consideration that may be acceptable to the Board and specified in the applicable Award Agreement. A-5</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987"/>
        <w:spacing w:after="0" w:line="255" w:lineRule="auto"/>
        <w:tabs>
          <w:tab w:leader="none" w:pos="1376"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and Payment of a SAR. </w:t>
      </w:r>
      <w:r>
        <w:rPr>
          <w:rFonts w:ascii="Times New Roman" w:cs="Times New Roman" w:eastAsia="Times New Roman" w:hAnsi="Times New Roman"/>
          <w:sz w:val="18"/>
          <w:szCs w:val="18"/>
          <w:color w:val="auto"/>
        </w:rPr>
        <w:t>To exercise any outstanding SAR, the Participant must provide written notice of exercise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84" w:lineRule="exact"/>
        <w:rPr>
          <w:rFonts w:ascii="Times New Roman" w:cs="Times New Roman" w:eastAsia="Times New Roman" w:hAnsi="Times New Roman"/>
          <w:sz w:val="18"/>
          <w:szCs w:val="18"/>
          <w:b w:val="1"/>
          <w:bCs w:val="1"/>
          <w:color w:val="auto"/>
        </w:rPr>
      </w:pPr>
    </w:p>
    <w:p>
      <w:pPr>
        <w:ind w:left="120" w:right="60" w:firstLine="987"/>
        <w:spacing w:after="0" w:line="268" w:lineRule="auto"/>
        <w:tabs>
          <w:tab w:leader="none" w:pos="1356"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of Options and SARs. </w:t>
      </w:r>
      <w:r>
        <w:rPr>
          <w:rFonts w:ascii="Times New Roman" w:cs="Times New Roman" w:eastAsia="Times New Roman" w:hAnsi="Times New Roman"/>
          <w:sz w:val="18"/>
          <w:szCs w:val="18"/>
          <w:color w:val="auto"/>
        </w:rPr>
        <w:t>The Board may, in its sole discretion, impose such limitations on the transferability of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SARs as the Board will determine. In the absence of such a determination by the Board to the contrary, the following restrictions on the transferability of Options and SARs will apply:</w:t>
      </w:r>
    </w:p>
    <w:p>
      <w:pPr>
        <w:spacing w:after="0" w:line="170" w:lineRule="exact"/>
        <w:rPr>
          <w:rFonts w:ascii="Times New Roman" w:cs="Times New Roman" w:eastAsia="Times New Roman" w:hAnsi="Times New Roman"/>
          <w:sz w:val="18"/>
          <w:szCs w:val="18"/>
          <w:b w:val="1"/>
          <w:bCs w:val="1"/>
          <w:color w:val="auto"/>
        </w:rPr>
      </w:pPr>
    </w:p>
    <w:p>
      <w:pPr>
        <w:jc w:val="both"/>
        <w:ind w:left="120" w:right="20" w:firstLine="1428"/>
        <w:spacing w:after="0" w:line="262" w:lineRule="auto"/>
        <w:tabs>
          <w:tab w:leader="none" w:pos="1767"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76" w:lineRule="exact"/>
        <w:rPr>
          <w:rFonts w:ascii="Times New Roman" w:cs="Times New Roman" w:eastAsia="Times New Roman" w:hAnsi="Times New Roman"/>
          <w:sz w:val="18"/>
          <w:szCs w:val="18"/>
          <w:b w:val="1"/>
          <w:bCs w:val="1"/>
          <w:color w:val="auto"/>
        </w:rPr>
      </w:pPr>
    </w:p>
    <w:p>
      <w:pPr>
        <w:ind w:left="120" w:right="200" w:firstLine="1428"/>
        <w:spacing w:after="0" w:line="262" w:lineRule="auto"/>
        <w:tabs>
          <w:tab w:leader="none" w:pos="1817"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Subject to the approval of the Board or a duly authorized Officer, an Option or SAR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176" w:lineRule="exact"/>
        <w:rPr>
          <w:rFonts w:ascii="Times New Roman" w:cs="Times New Roman" w:eastAsia="Times New Roman" w:hAnsi="Times New Roman"/>
          <w:sz w:val="18"/>
          <w:szCs w:val="18"/>
          <w:b w:val="1"/>
          <w:bCs w:val="1"/>
          <w:color w:val="auto"/>
        </w:rPr>
      </w:pPr>
    </w:p>
    <w:p>
      <w:pPr>
        <w:ind w:left="120" w:firstLine="1428"/>
        <w:spacing w:after="0" w:line="256" w:lineRule="auto"/>
        <w:tabs>
          <w:tab w:leader="none" w:pos="1867"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Beneficiary Designation. </w:t>
      </w:r>
      <w:r>
        <w:rPr>
          <w:rFonts w:ascii="Times New Roman" w:cs="Times New Roman" w:eastAsia="Times New Roman" w:hAnsi="Times New Roman"/>
          <w:sz w:val="18"/>
          <w:szCs w:val="18"/>
          <w:color w:val="auto"/>
        </w:rPr>
        <w:t>Subject to the approval of the Board or a duly authorized Officer, a Participant may, by delivering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2" w:lineRule="exact"/>
        <w:rPr>
          <w:rFonts w:ascii="Times New Roman" w:cs="Times New Roman" w:eastAsia="Times New Roman" w:hAnsi="Times New Roman"/>
          <w:sz w:val="18"/>
          <w:szCs w:val="18"/>
          <w:b w:val="1"/>
          <w:bCs w:val="1"/>
          <w:color w:val="auto"/>
        </w:rPr>
      </w:pPr>
    </w:p>
    <w:p>
      <w:pPr>
        <w:ind w:left="120" w:right="140" w:firstLine="987"/>
        <w:spacing w:after="0" w:line="259" w:lineRule="auto"/>
        <w:tabs>
          <w:tab w:leader="none" w:pos="1336"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Generally. </w:t>
      </w:r>
      <w:r>
        <w:rPr>
          <w:rFonts w:ascii="Times New Roman" w:cs="Times New Roman" w:eastAsia="Times New Roman" w:hAnsi="Times New Roman"/>
          <w:sz w:val="18"/>
          <w:szCs w:val="18"/>
          <w:color w:val="auto"/>
        </w:rPr>
        <w:t>The total number of shares of Common Stock subject to an Option or SAR may vest and become exercisable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79" w:lineRule="exact"/>
        <w:rPr>
          <w:rFonts w:ascii="Times New Roman" w:cs="Times New Roman" w:eastAsia="Times New Roman" w:hAnsi="Times New Roman"/>
          <w:sz w:val="18"/>
          <w:szCs w:val="18"/>
          <w:b w:val="1"/>
          <w:bCs w:val="1"/>
          <w:color w:val="auto"/>
        </w:rPr>
      </w:pPr>
    </w:p>
    <w:p>
      <w:pPr>
        <w:ind w:left="120" w:right="40" w:firstLine="987"/>
        <w:spacing w:after="0" w:line="259" w:lineRule="auto"/>
        <w:tabs>
          <w:tab w:leader="none" w:pos="1366"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applicable Award Agreement or other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that is 90 days following the termination of the Participant’s Continuous Service (or such longer or shorter period specified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172" w:lineRule="exact"/>
        <w:rPr>
          <w:sz w:val="20"/>
          <w:szCs w:val="20"/>
          <w:color w:val="auto"/>
        </w:rPr>
      </w:pPr>
    </w:p>
    <w:p>
      <w:pPr>
        <w:ind w:left="120" w:firstLine="987"/>
        <w:spacing w:after="0" w:line="254" w:lineRule="auto"/>
        <w:tabs>
          <w:tab w:leader="none" w:pos="1376"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Extension of Termination Date. </w:t>
      </w:r>
      <w:r>
        <w:rPr>
          <w:rFonts w:ascii="Times New Roman" w:cs="Times New Roman" w:eastAsia="Times New Roman" w:hAnsi="Times New Roman"/>
          <w:sz w:val="18"/>
          <w:szCs w:val="18"/>
          <w:color w:val="auto"/>
        </w:rPr>
        <w:t>If the exercise of an Option or SAR following the termination of the Participant’s Continuous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82" w:lineRule="exact"/>
        <w:rPr>
          <w:rFonts w:ascii="Times New Roman" w:cs="Times New Roman" w:eastAsia="Times New Roman" w:hAnsi="Times New Roman"/>
          <w:sz w:val="18"/>
          <w:szCs w:val="18"/>
          <w:b w:val="1"/>
          <w:bCs w:val="1"/>
          <w:color w:val="auto"/>
        </w:rPr>
      </w:pPr>
    </w:p>
    <w:p>
      <w:pPr>
        <w:ind w:left="120" w:right="20" w:firstLine="987"/>
        <w:spacing w:after="0" w:line="256" w:lineRule="auto"/>
        <w:tabs>
          <w:tab w:leader="none" w:pos="1326"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of Participant. </w:t>
      </w:r>
      <w:r>
        <w:rPr>
          <w:rFonts w:ascii="Times New Roman" w:cs="Times New Roman" w:eastAsia="Times New Roman" w:hAnsi="Times New Roman"/>
          <w:sz w:val="18"/>
          <w:szCs w:val="18"/>
          <w:color w:val="auto"/>
        </w:rPr>
        <w:t>Except as otherwise provided in the applicable Award Agreement or other agreement between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82" w:lineRule="exact"/>
        <w:rPr>
          <w:rFonts w:ascii="Times New Roman" w:cs="Times New Roman" w:eastAsia="Times New Roman" w:hAnsi="Times New Roman"/>
          <w:sz w:val="18"/>
          <w:szCs w:val="18"/>
          <w:b w:val="1"/>
          <w:bCs w:val="1"/>
          <w:color w:val="auto"/>
        </w:rPr>
      </w:pPr>
    </w:p>
    <w:p>
      <w:pPr>
        <w:ind w:left="120" w:firstLine="987"/>
        <w:spacing w:after="0" w:line="254" w:lineRule="auto"/>
        <w:tabs>
          <w:tab w:leader="none" w:pos="1336"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Death of Participant. </w:t>
      </w:r>
      <w:r>
        <w:rPr>
          <w:rFonts w:ascii="Times New Roman" w:cs="Times New Roman" w:eastAsia="Times New Roman" w:hAnsi="Times New Roman"/>
          <w:sz w:val="18"/>
          <w:szCs w:val="18"/>
          <w:color w:val="auto"/>
        </w:rPr>
        <w:t>Except as otherwise provided in the applicable Award Agreement or other agreement between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188" w:lineRule="exact"/>
        <w:rPr>
          <w:rFonts w:ascii="Times New Roman" w:cs="Times New Roman" w:eastAsia="Times New Roman" w:hAnsi="Times New Roman"/>
          <w:sz w:val="18"/>
          <w:szCs w:val="18"/>
          <w:b w:val="1"/>
          <w:bCs w:val="1"/>
          <w:color w:val="auto"/>
        </w:rPr>
      </w:pPr>
    </w:p>
    <w:p>
      <w:pPr>
        <w:ind w:left="120" w:right="80" w:firstLine="987"/>
        <w:spacing w:after="0" w:line="262" w:lineRule="auto"/>
        <w:tabs>
          <w:tab w:leader="none" w:pos="1376"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Except as explicitly provided otherwise in a Participant’s Award Agreement or other individual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the Company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176" w:lineRule="exact"/>
        <w:rPr>
          <w:rFonts w:ascii="Times New Roman" w:cs="Times New Roman" w:eastAsia="Times New Roman" w:hAnsi="Times New Roman"/>
          <w:sz w:val="18"/>
          <w:szCs w:val="18"/>
          <w:b w:val="1"/>
          <w:bCs w:val="1"/>
          <w:color w:val="auto"/>
        </w:rPr>
      </w:pPr>
    </w:p>
    <w:p>
      <w:pPr>
        <w:ind w:left="120" w:right="380" w:firstLine="987"/>
        <w:spacing w:after="0" w:line="262" w:lineRule="auto"/>
        <w:tabs>
          <w:tab w:leader="none" w:pos="1326"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Employees</w:t>
      </w:r>
      <w:r>
        <w:rPr>
          <w:rFonts w:ascii="Times New Roman" w:cs="Times New Roman" w:eastAsia="Times New Roman" w:hAnsi="Times New Roman"/>
          <w:sz w:val="18"/>
          <w:szCs w:val="18"/>
          <w:color w:val="auto"/>
        </w:rPr>
        <w:t>. If an Option or SAR is granted to an Employee who is a non-exempt employee for purposes of the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Labor 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333" w:lineRule="exact"/>
        <w:rPr>
          <w:sz w:val="20"/>
          <w:szCs w:val="20"/>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OF STOCK AWARDS OTHER THAN OPTIONS AND SARS.</w:t>
      </w:r>
    </w:p>
    <w:p>
      <w:pPr>
        <w:spacing w:after="0" w:line="117" w:lineRule="exact"/>
        <w:rPr>
          <w:rFonts w:ascii="Times New Roman" w:cs="Times New Roman" w:eastAsia="Times New Roman" w:hAnsi="Times New Roman"/>
          <w:sz w:val="18"/>
          <w:szCs w:val="18"/>
          <w:b w:val="1"/>
          <w:bCs w:val="1"/>
          <w:color w:val="auto"/>
        </w:rPr>
      </w:pPr>
    </w:p>
    <w:p>
      <w:pPr>
        <w:ind w:left="120" w:firstLine="987"/>
        <w:spacing w:after="0" w:line="256" w:lineRule="auto"/>
        <w:tabs>
          <w:tab w:leader="none" w:pos="1366"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Each Restricted Stock Award Agreement will be in such form and will contain such terms and conditions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82" w:lineRule="exact"/>
        <w:rPr>
          <w:rFonts w:ascii="Times New Roman" w:cs="Times New Roman" w:eastAsia="Times New Roman" w:hAnsi="Times New Roman"/>
          <w:sz w:val="18"/>
          <w:szCs w:val="18"/>
          <w:b w:val="1"/>
          <w:bCs w:val="1"/>
          <w:color w:val="auto"/>
        </w:rPr>
      </w:pPr>
    </w:p>
    <w:p>
      <w:pPr>
        <w:ind w:left="120" w:right="120" w:firstLine="1428"/>
        <w:spacing w:after="0" w:line="268" w:lineRule="auto"/>
        <w:tabs>
          <w:tab w:leader="none" w:pos="1767" w:val="left"/>
        </w:tabs>
        <w:numPr>
          <w:ilvl w:val="2"/>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 Restricted Stock Award may be awarded in consideration for (A) cash, check, bank draft or money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to the Company, (B) past or future services to the Company or an Affiliate, or (C) any other form of legal consideration that may be acceptable to the Board, in its sole discretion, and permissible under applicable law.</w:t>
      </w:r>
    </w:p>
    <w:p>
      <w:pPr>
        <w:spacing w:after="0" w:line="170" w:lineRule="exact"/>
        <w:rPr>
          <w:rFonts w:ascii="Times New Roman" w:cs="Times New Roman" w:eastAsia="Times New Roman" w:hAnsi="Times New Roman"/>
          <w:sz w:val="18"/>
          <w:szCs w:val="18"/>
          <w:b w:val="1"/>
          <w:bCs w:val="1"/>
          <w:color w:val="auto"/>
        </w:rPr>
      </w:pPr>
    </w:p>
    <w:p>
      <w:pPr>
        <w:ind w:left="120" w:right="360" w:firstLine="1428"/>
        <w:spacing w:after="0" w:line="286" w:lineRule="auto"/>
        <w:tabs>
          <w:tab w:leader="none" w:pos="1817" w:val="left"/>
        </w:tabs>
        <w:numPr>
          <w:ilvl w:val="2"/>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Shares of Common Stock awarded under the Restricted Stock Award Agreement may be subject to forfeiture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accordance with a vesting schedule to be determined by the Board.</w:t>
      </w:r>
    </w:p>
    <w:p>
      <w:pPr>
        <w:spacing w:after="0" w:line="154" w:lineRule="exact"/>
        <w:rPr>
          <w:rFonts w:ascii="Times New Roman" w:cs="Times New Roman" w:eastAsia="Times New Roman" w:hAnsi="Times New Roman"/>
          <w:sz w:val="18"/>
          <w:szCs w:val="18"/>
          <w:b w:val="1"/>
          <w:bCs w:val="1"/>
          <w:color w:val="auto"/>
        </w:rPr>
      </w:pPr>
    </w:p>
    <w:p>
      <w:pPr>
        <w:ind w:left="120" w:right="20" w:firstLine="1428"/>
        <w:spacing w:after="0" w:line="268" w:lineRule="auto"/>
        <w:tabs>
          <w:tab w:leader="none" w:pos="1867" w:val="left"/>
        </w:tabs>
        <w:numPr>
          <w:ilvl w:val="2"/>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Participant’s Continuous Service. </w:t>
      </w:r>
      <w:r>
        <w:rPr>
          <w:rFonts w:ascii="Times New Roman" w:cs="Times New Roman" w:eastAsia="Times New Roman" w:hAnsi="Times New Roman"/>
          <w:sz w:val="18"/>
          <w:szCs w:val="18"/>
          <w:color w:val="auto"/>
        </w:rPr>
        <w:t>If a Participant’s Continuous Service terminates, the Company may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70" w:lineRule="exact"/>
        <w:rPr>
          <w:rFonts w:ascii="Times New Roman" w:cs="Times New Roman" w:eastAsia="Times New Roman" w:hAnsi="Times New Roman"/>
          <w:sz w:val="18"/>
          <w:szCs w:val="18"/>
          <w:b w:val="1"/>
          <w:bCs w:val="1"/>
          <w:color w:val="auto"/>
        </w:rPr>
      </w:pPr>
    </w:p>
    <w:p>
      <w:pPr>
        <w:ind w:left="120" w:right="80" w:firstLine="1428"/>
        <w:spacing w:after="0" w:line="262" w:lineRule="auto"/>
        <w:tabs>
          <w:tab w:leader="none" w:pos="1857" w:val="left"/>
        </w:tabs>
        <w:numPr>
          <w:ilvl w:val="2"/>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Rights to acquire shares of Common Stock under the Restricted Stock Award Agreement will be transferable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76" w:lineRule="exact"/>
        <w:rPr>
          <w:rFonts w:ascii="Times New Roman" w:cs="Times New Roman" w:eastAsia="Times New Roman" w:hAnsi="Times New Roman"/>
          <w:sz w:val="18"/>
          <w:szCs w:val="18"/>
          <w:b w:val="1"/>
          <w:bCs w:val="1"/>
          <w:color w:val="auto"/>
        </w:rPr>
      </w:pPr>
    </w:p>
    <w:p>
      <w:pPr>
        <w:ind w:left="120" w:right="80" w:firstLine="1428"/>
        <w:spacing w:after="0" w:line="286" w:lineRule="auto"/>
        <w:tabs>
          <w:tab w:leader="none" w:pos="1807" w:val="left"/>
        </w:tabs>
        <w:numPr>
          <w:ilvl w:val="2"/>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A Restricted Stock Award Agreement may provide that any dividends paid on Restricted Stock will be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vesting and forfeiture restrictions as apply to the shares subject to the Restricted Stock Award to which they relate.</w:t>
      </w:r>
    </w:p>
    <w:p>
      <w:pPr>
        <w:spacing w:after="0" w:line="154" w:lineRule="exact"/>
        <w:rPr>
          <w:rFonts w:ascii="Times New Roman" w:cs="Times New Roman" w:eastAsia="Times New Roman" w:hAnsi="Times New Roman"/>
          <w:sz w:val="18"/>
          <w:szCs w:val="18"/>
          <w:b w:val="1"/>
          <w:bCs w:val="1"/>
          <w:color w:val="auto"/>
        </w:rPr>
      </w:pPr>
    </w:p>
    <w:p>
      <w:pPr>
        <w:jc w:val="both"/>
        <w:ind w:left="120" w:right="240" w:firstLine="987"/>
        <w:spacing w:after="0" w:line="268" w:lineRule="auto"/>
        <w:tabs>
          <w:tab w:leader="none" w:pos="1376"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Unit Awards. </w:t>
      </w:r>
      <w:r>
        <w:rPr>
          <w:rFonts w:ascii="Times New Roman" w:cs="Times New Roman" w:eastAsia="Times New Roman" w:hAnsi="Times New Roman"/>
          <w:sz w:val="18"/>
          <w:szCs w:val="18"/>
          <w:color w:val="auto"/>
        </w:rPr>
        <w:t>Each Restricted Stock Unit Award Agreement will be in such form and will contain such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as the Board will deem appropriate. The terms and conditions of Restricted Stock Unit Award Agreements may change from time to time, and the terms and conditions of separate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58" w:lineRule="exact"/>
        <w:rPr>
          <w:sz w:val="20"/>
          <w:szCs w:val="20"/>
          <w:color w:val="auto"/>
        </w:rPr>
      </w:pPr>
    </w:p>
    <w:p>
      <w:pPr>
        <w:ind w:left="120" w:right="60" w:firstLine="1428"/>
        <w:spacing w:after="0" w:line="262" w:lineRule="auto"/>
        <w:tabs>
          <w:tab w:leader="none" w:pos="1767"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At the time of grant of a Restricted Stock Unit Award, the Board will determine the consideration, if any,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6" w:lineRule="exact"/>
        <w:rPr>
          <w:rFonts w:ascii="Times New Roman" w:cs="Times New Roman" w:eastAsia="Times New Roman" w:hAnsi="Times New Roman"/>
          <w:sz w:val="18"/>
          <w:szCs w:val="18"/>
          <w:b w:val="1"/>
          <w:bCs w:val="1"/>
          <w:color w:val="auto"/>
        </w:rPr>
      </w:pPr>
    </w:p>
    <w:p>
      <w:pPr>
        <w:ind w:left="120" w:right="220" w:firstLine="1428"/>
        <w:spacing w:after="0" w:line="286" w:lineRule="auto"/>
        <w:tabs>
          <w:tab w:leader="none" w:pos="1817"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At the time of the grant of a Restricted Stock Unit Award, the Board may impose such restrictions on or conditions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vesting of the Restricted Stock Unit Award as it, in its sole discretion, deems appropriate.</w:t>
      </w:r>
    </w:p>
    <w:p>
      <w:pPr>
        <w:spacing w:after="0" w:line="154" w:lineRule="exact"/>
        <w:rPr>
          <w:rFonts w:ascii="Times New Roman" w:cs="Times New Roman" w:eastAsia="Times New Roman" w:hAnsi="Times New Roman"/>
          <w:sz w:val="18"/>
          <w:szCs w:val="18"/>
          <w:b w:val="1"/>
          <w:bCs w:val="1"/>
          <w:color w:val="auto"/>
        </w:rPr>
      </w:pPr>
    </w:p>
    <w:p>
      <w:pPr>
        <w:ind w:left="120" w:right="80" w:firstLine="1428"/>
        <w:spacing w:after="0" w:line="317" w:lineRule="auto"/>
        <w:tabs>
          <w:tab w:leader="none" w:pos="1867" w:val="left"/>
        </w:tabs>
        <w:numPr>
          <w:ilvl w:val="1"/>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w:t>
      </w:r>
      <w:r>
        <w:rPr>
          <w:rFonts w:ascii="Times New Roman" w:cs="Times New Roman" w:eastAsia="Times New Roman" w:hAnsi="Times New Roman"/>
          <w:sz w:val="17"/>
          <w:szCs w:val="17"/>
          <w:color w:val="auto"/>
        </w:rPr>
        <w:t>. A Restricted Stock Unit Award may be settled by the delivery of shares of Common Stock, their cash equivalent,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combination thereof or in any other form of consideration, as determined by the Board and contained in the Restricted Stock Unit Award Agreement.</w:t>
      </w:r>
    </w:p>
    <w:p>
      <w:pPr>
        <w:spacing w:after="0" w:line="131" w:lineRule="exact"/>
        <w:rPr>
          <w:rFonts w:ascii="Times New Roman" w:cs="Times New Roman" w:eastAsia="Times New Roman" w:hAnsi="Times New Roman"/>
          <w:sz w:val="17"/>
          <w:szCs w:val="17"/>
          <w:b w:val="1"/>
          <w:bCs w:val="1"/>
          <w:color w:val="auto"/>
        </w:rPr>
      </w:pPr>
    </w:p>
    <w:p>
      <w:pPr>
        <w:ind w:left="120" w:right="20" w:firstLine="1428"/>
        <w:spacing w:after="0" w:line="268" w:lineRule="auto"/>
        <w:tabs>
          <w:tab w:leader="none" w:pos="1857"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Restrictions. </w:t>
      </w:r>
      <w:r>
        <w:rPr>
          <w:rFonts w:ascii="Times New Roman" w:cs="Times New Roman" w:eastAsia="Times New Roman" w:hAnsi="Times New Roman"/>
          <w:sz w:val="18"/>
          <w:szCs w:val="18"/>
          <w:color w:val="auto"/>
        </w:rPr>
        <w:t>At the time of the grant of a Restricted Stock Unit Award, the Board, as it deems appropriate,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impose such restrictions or conditions that delay the delivery of the shares of Common Stock (or their cash equivalent) subject to a Restricted Stock Unit Award to a time after the vesting of such Restricted Stock Unit Award.</w:t>
      </w:r>
    </w:p>
    <w:p>
      <w:pPr>
        <w:spacing w:after="0" w:line="170" w:lineRule="exact"/>
        <w:rPr>
          <w:rFonts w:ascii="Times New Roman" w:cs="Times New Roman" w:eastAsia="Times New Roman" w:hAnsi="Times New Roman"/>
          <w:sz w:val="18"/>
          <w:szCs w:val="18"/>
          <w:b w:val="1"/>
          <w:bCs w:val="1"/>
          <w:color w:val="auto"/>
        </w:rPr>
      </w:pPr>
    </w:p>
    <w:p>
      <w:pPr>
        <w:ind w:left="120" w:right="220" w:firstLine="1428"/>
        <w:spacing w:after="0" w:line="259" w:lineRule="auto"/>
        <w:tabs>
          <w:tab w:leader="none" w:pos="1807"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 Equivalents. </w:t>
      </w:r>
      <w:r>
        <w:rPr>
          <w:rFonts w:ascii="Times New Roman" w:cs="Times New Roman" w:eastAsia="Times New Roman" w:hAnsi="Times New Roman"/>
          <w:sz w:val="18"/>
          <w:szCs w:val="18"/>
          <w:color w:val="auto"/>
        </w:rPr>
        <w:t>Dividend equivalents may be credited in respect of shares of Common Stock covered by a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79" w:lineRule="exact"/>
        <w:rPr>
          <w:rFonts w:ascii="Times New Roman" w:cs="Times New Roman" w:eastAsia="Times New Roman" w:hAnsi="Times New Roman"/>
          <w:sz w:val="18"/>
          <w:szCs w:val="18"/>
          <w:b w:val="1"/>
          <w:bCs w:val="1"/>
          <w:color w:val="auto"/>
        </w:rPr>
      </w:pPr>
    </w:p>
    <w:p>
      <w:pPr>
        <w:ind w:left="120" w:firstLine="1428"/>
        <w:spacing w:after="0" w:line="268" w:lineRule="auto"/>
        <w:tabs>
          <w:tab w:leader="none" w:pos="1857"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Participant’s Continuous Service. </w:t>
      </w:r>
      <w:r>
        <w:rPr>
          <w:rFonts w:ascii="Times New Roman" w:cs="Times New Roman" w:eastAsia="Times New Roman" w:hAnsi="Times New Roman"/>
          <w:sz w:val="18"/>
          <w:szCs w:val="18"/>
          <w:color w:val="auto"/>
        </w:rPr>
        <w:t>Except as otherwise provided in the applicable Restricted Stock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such portion of the Restricted Stock Unit Award that has not vested will be forfeited upon the Participant’s termination of Continuous Service.</w:t>
      </w:r>
    </w:p>
    <w:p>
      <w:pPr>
        <w:spacing w:after="0" w:line="278"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120" w:right="40" w:firstLine="1428"/>
        <w:spacing w:after="0" w:line="257" w:lineRule="auto"/>
        <w:tabs>
          <w:tab w:leader="none" w:pos="1767"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Stock Awards</w:t>
      </w:r>
      <w:r>
        <w:rPr>
          <w:rFonts w:ascii="Times New Roman" w:cs="Times New Roman" w:eastAsia="Times New Roman" w:hAnsi="Times New Roman"/>
          <w:sz w:val="18"/>
          <w:szCs w:val="18"/>
          <w:color w:val="auto"/>
        </w:rPr>
        <w:t>. A Performance Stock Award is a Stock Award that is payable (including that may be granted,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(or Committee, as the case may be) may determine that cash may be used in payment of Performance Stock Awards.</w:t>
      </w:r>
    </w:p>
    <w:p>
      <w:pPr>
        <w:spacing w:after="0" w:line="182" w:lineRule="exact"/>
        <w:rPr>
          <w:rFonts w:ascii="Times New Roman" w:cs="Times New Roman" w:eastAsia="Times New Roman" w:hAnsi="Times New Roman"/>
          <w:sz w:val="18"/>
          <w:szCs w:val="18"/>
          <w:b w:val="1"/>
          <w:bCs w:val="1"/>
          <w:color w:val="auto"/>
        </w:rPr>
      </w:pPr>
    </w:p>
    <w:p>
      <w:pPr>
        <w:ind w:left="120" w:right="20" w:firstLine="1428"/>
        <w:spacing w:after="0" w:line="262" w:lineRule="auto"/>
        <w:tabs>
          <w:tab w:leader="none" w:pos="1817"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Cash Awards</w:t>
      </w:r>
      <w:r>
        <w:rPr>
          <w:rFonts w:ascii="Times New Roman" w:cs="Times New Roman" w:eastAsia="Times New Roman" w:hAnsi="Times New Roman"/>
          <w:sz w:val="18"/>
          <w:szCs w:val="18"/>
          <w:color w:val="auto"/>
        </w:rPr>
        <w:t>. A Performance Cash Award is a cash award that is payable contingent upon the attainment during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attained will be conclusively determined by the Board or Committee, in its sole discretion. The Board (or Committee, as the case may be) may specify the form of payment of Performance Cash Awards, which may be cash or other property, or may provide for a Participant to have the option for his or her Performance Cash Award, or such portion thereof as the Board (or Committee, as the case may be) may specify, to be paid in whole or in part in cash or other property.</w:t>
      </w:r>
    </w:p>
    <w:p>
      <w:pPr>
        <w:spacing w:after="0" w:line="176" w:lineRule="exact"/>
        <w:rPr>
          <w:sz w:val="20"/>
          <w:szCs w:val="20"/>
          <w:color w:val="auto"/>
        </w:rPr>
      </w:pPr>
    </w:p>
    <w:p>
      <w:pPr>
        <w:ind w:left="120" w:right="100" w:firstLine="1428"/>
        <w:spacing w:after="0" w:line="262" w:lineRule="auto"/>
        <w:tabs>
          <w:tab w:leader="none" w:pos="1867" w:val="left"/>
        </w:tabs>
        <w:numPr>
          <w:ilvl w:val="2"/>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Discretion</w:t>
      </w:r>
      <w:r>
        <w:rPr>
          <w:rFonts w:ascii="Times New Roman" w:cs="Times New Roman" w:eastAsia="Times New Roman" w:hAnsi="Times New Roman"/>
          <w:sz w:val="18"/>
          <w:szCs w:val="18"/>
          <w:color w:val="auto"/>
        </w:rPr>
        <w:t>. The Board (or Committee, as the case may be) retains the discretion to adjust or eliminate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economic 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spacing w:after="0" w:line="176" w:lineRule="exact"/>
        <w:rPr>
          <w:rFonts w:ascii="Times New Roman" w:cs="Times New Roman" w:eastAsia="Times New Roman" w:hAnsi="Times New Roman"/>
          <w:sz w:val="18"/>
          <w:szCs w:val="18"/>
          <w:b w:val="1"/>
          <w:bCs w:val="1"/>
          <w:color w:val="auto"/>
        </w:rPr>
      </w:pPr>
    </w:p>
    <w:p>
      <w:pPr>
        <w:ind w:left="120" w:right="20" w:firstLine="987"/>
        <w:spacing w:after="0" w:line="257" w:lineRule="auto"/>
        <w:tabs>
          <w:tab w:leader="none" w:pos="1376"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Stock Awards</w:t>
      </w:r>
      <w:r>
        <w:rPr>
          <w:rFonts w:ascii="Times New Roman" w:cs="Times New Roman" w:eastAsia="Times New Roman" w:hAnsi="Times New Roman"/>
          <w:sz w:val="18"/>
          <w:szCs w:val="18"/>
          <w:color w:val="auto"/>
        </w:rPr>
        <w:t>. Other forms of Stock Awards valued in whole or in part by reference to, or otherwise based on,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330"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COMPANY.</w:t>
      </w:r>
    </w:p>
    <w:p>
      <w:pPr>
        <w:spacing w:after="0" w:line="117" w:lineRule="exact"/>
        <w:rPr>
          <w:rFonts w:ascii="Times New Roman" w:cs="Times New Roman" w:eastAsia="Times New Roman" w:hAnsi="Times New Roman"/>
          <w:sz w:val="18"/>
          <w:szCs w:val="18"/>
          <w:b w:val="1"/>
          <w:bCs w:val="1"/>
          <w:color w:val="auto"/>
        </w:rPr>
      </w:pPr>
    </w:p>
    <w:p>
      <w:pPr>
        <w:ind w:left="120" w:right="220" w:firstLine="987"/>
        <w:spacing w:after="0" w:line="286" w:lineRule="auto"/>
        <w:tabs>
          <w:tab w:leader="none" w:pos="1366"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Availability of Shares. </w:t>
      </w:r>
      <w:r>
        <w:rPr>
          <w:rFonts w:ascii="Times New Roman" w:cs="Times New Roman" w:eastAsia="Times New Roman" w:hAnsi="Times New Roman"/>
          <w:sz w:val="18"/>
          <w:szCs w:val="18"/>
          <w:color w:val="auto"/>
        </w:rPr>
        <w:t>The Company will keep available at all times the number of shares of Common Stock reasonably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then-outstanding Awards.</w:t>
      </w:r>
    </w:p>
    <w:p>
      <w:pPr>
        <w:spacing w:after="0" w:line="154" w:lineRule="exact"/>
        <w:rPr>
          <w:rFonts w:ascii="Times New Roman" w:cs="Times New Roman" w:eastAsia="Times New Roman" w:hAnsi="Times New Roman"/>
          <w:sz w:val="18"/>
          <w:szCs w:val="18"/>
          <w:b w:val="1"/>
          <w:bCs w:val="1"/>
          <w:color w:val="auto"/>
        </w:rPr>
      </w:pPr>
    </w:p>
    <w:p>
      <w:pPr>
        <w:ind w:left="120" w:right="40" w:firstLine="987"/>
        <w:spacing w:after="0" w:line="254" w:lineRule="auto"/>
        <w:tabs>
          <w:tab w:leader="none" w:pos="1376"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The Company will seek to obtain from each regulatory commission or agency, as necessary,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authority as may be required to grant Stock Awards and to issue and sell shares of Common Stock upon exercise or vesting of the Stock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will not require the Company to register under the Securities Act or other securities or applicable laws,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Stock Awards unless and until such authority is obtained. A Participant will not be eligible for the grant of an Award or the subsequent issuance of cash or Common Stock pursuant to the Award if such grant or issuance would be in violation of any applicable law.</w:t>
      </w:r>
    </w:p>
    <w:p>
      <w:pPr>
        <w:spacing w:after="0" w:line="188" w:lineRule="exact"/>
        <w:rPr>
          <w:rFonts w:ascii="Times New Roman" w:cs="Times New Roman" w:eastAsia="Times New Roman" w:hAnsi="Times New Roman"/>
          <w:sz w:val="18"/>
          <w:szCs w:val="18"/>
          <w:b w:val="1"/>
          <w:bCs w:val="1"/>
          <w:color w:val="auto"/>
        </w:rPr>
      </w:pPr>
    </w:p>
    <w:p>
      <w:pPr>
        <w:ind w:left="120" w:right="60" w:firstLine="987"/>
        <w:spacing w:after="0" w:line="262" w:lineRule="auto"/>
        <w:tabs>
          <w:tab w:leader="none" w:pos="1356"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w:t>
      </w:r>
      <w:r>
        <w:rPr>
          <w:rFonts w:ascii="Times New Roman" w:cs="Times New Roman" w:eastAsia="Times New Roman" w:hAnsi="Times New Roman"/>
          <w:sz w:val="18"/>
          <w:szCs w:val="18"/>
          <w:color w:val="auto"/>
        </w:rPr>
        <w:t>The Company will have no duty or obligation to any Participant to advise such holder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tax treatment or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324"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17" w:lineRule="exact"/>
        <w:rPr>
          <w:rFonts w:ascii="Times New Roman" w:cs="Times New Roman" w:eastAsia="Times New Roman" w:hAnsi="Times New Roman"/>
          <w:sz w:val="18"/>
          <w:szCs w:val="18"/>
          <w:b w:val="1"/>
          <w:bCs w:val="1"/>
          <w:color w:val="auto"/>
        </w:rPr>
      </w:pPr>
    </w:p>
    <w:p>
      <w:pPr>
        <w:ind w:left="120" w:right="760" w:firstLine="987"/>
        <w:spacing w:after="0" w:line="286" w:lineRule="auto"/>
        <w:tabs>
          <w:tab w:leader="none" w:pos="1366"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general funds of the Company.</w:t>
      </w:r>
    </w:p>
    <w:p>
      <w:pPr>
        <w:spacing w:after="0" w:line="154" w:lineRule="exact"/>
        <w:rPr>
          <w:rFonts w:ascii="Times New Roman" w:cs="Times New Roman" w:eastAsia="Times New Roman" w:hAnsi="Times New Roman"/>
          <w:sz w:val="18"/>
          <w:szCs w:val="18"/>
          <w:b w:val="1"/>
          <w:bCs w:val="1"/>
          <w:color w:val="auto"/>
        </w:rPr>
      </w:pPr>
    </w:p>
    <w:p>
      <w:pPr>
        <w:jc w:val="both"/>
        <w:ind w:left="120" w:right="680" w:firstLine="987"/>
        <w:spacing w:after="0" w:line="268" w:lineRule="auto"/>
        <w:tabs>
          <w:tab w:leader="none" w:pos="1376"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will be deemed completed as of the date of such corporate action, unless otherwise determined by the Board, regardless of when the instrument, certificate, or letter evidencing the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79" w:lineRule="exact"/>
        <w:rPr>
          <w:sz w:val="20"/>
          <w:szCs w:val="20"/>
          <w:color w:val="auto"/>
        </w:rPr>
      </w:pPr>
    </w:p>
    <w:p>
      <w:pPr>
        <w:ind w:left="120" w:right="60" w:firstLine="987"/>
        <w:spacing w:after="0" w:line="262" w:lineRule="auto"/>
        <w:tabs>
          <w:tab w:leader="none" w:pos="1356"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176" w:lineRule="exact"/>
        <w:rPr>
          <w:rFonts w:ascii="Times New Roman" w:cs="Times New Roman" w:eastAsia="Times New Roman" w:hAnsi="Times New Roman"/>
          <w:sz w:val="18"/>
          <w:szCs w:val="18"/>
          <w:b w:val="1"/>
          <w:bCs w:val="1"/>
          <w:color w:val="auto"/>
        </w:rPr>
      </w:pPr>
    </w:p>
    <w:p>
      <w:pPr>
        <w:ind w:left="120" w:firstLine="987"/>
        <w:spacing w:after="0" w:line="257" w:lineRule="auto"/>
        <w:tabs>
          <w:tab w:leader="none" w:pos="1376"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w:t>
      </w:r>
    </w:p>
    <w:p>
      <w:pPr>
        <w:spacing w:after="0" w:line="182" w:lineRule="exact"/>
        <w:rPr>
          <w:rFonts w:ascii="Times New Roman" w:cs="Times New Roman" w:eastAsia="Times New Roman" w:hAnsi="Times New Roman"/>
          <w:sz w:val="18"/>
          <w:szCs w:val="18"/>
          <w:b w:val="1"/>
          <w:bCs w:val="1"/>
          <w:color w:val="auto"/>
        </w:rPr>
      </w:pPr>
    </w:p>
    <w:p>
      <w:pPr>
        <w:ind w:left="120" w:firstLine="987"/>
        <w:spacing w:after="0" w:line="256" w:lineRule="auto"/>
        <w:tabs>
          <w:tab w:leader="none" w:pos="1356"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ind w:left="120" w:right="80" w:firstLine="987"/>
        <w:spacing w:after="0" w:line="278" w:lineRule="auto"/>
        <w:tabs>
          <w:tab w:leader="none" w:pos="1336"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Incentive Stock Option Limitations. </w:t>
      </w:r>
      <w:r>
        <w:rPr>
          <w:rFonts w:ascii="Times New Roman" w:cs="Times New Roman" w:eastAsia="Times New Roman" w:hAnsi="Times New Roman"/>
          <w:sz w:val="17"/>
          <w:szCs w:val="17"/>
          <w:color w:val="auto"/>
        </w:rPr>
        <w:t>To the extent that the aggregate Fair Market Value (determined at the time of grant) of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63" w:lineRule="exact"/>
        <w:rPr>
          <w:rFonts w:ascii="Times New Roman" w:cs="Times New Roman" w:eastAsia="Times New Roman" w:hAnsi="Times New Roman"/>
          <w:sz w:val="17"/>
          <w:szCs w:val="17"/>
          <w:b w:val="1"/>
          <w:bCs w:val="1"/>
          <w:color w:val="auto"/>
        </w:rPr>
      </w:pPr>
    </w:p>
    <w:p>
      <w:pPr>
        <w:ind w:left="120" w:right="100" w:firstLine="987"/>
        <w:spacing w:after="0" w:line="254" w:lineRule="auto"/>
        <w:tabs>
          <w:tab w:leader="none" w:pos="1366"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Assurances. </w:t>
      </w:r>
      <w:r>
        <w:rPr>
          <w:rFonts w:ascii="Times New Roman" w:cs="Times New Roman" w:eastAsia="Times New Roman" w:hAnsi="Times New Roman"/>
          <w:sz w:val="18"/>
          <w:szCs w:val="18"/>
          <w:color w:val="auto"/>
        </w:rPr>
        <w:t>The Company may require a Participant, as a condition of exercising or acquiring Common Stock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72" w:lineRule="exact"/>
        <w:rPr>
          <w:sz w:val="20"/>
          <w:szCs w:val="20"/>
          <w:color w:val="auto"/>
        </w:rPr>
      </w:pPr>
    </w:p>
    <w:p>
      <w:pPr>
        <w:ind w:left="120" w:firstLine="987"/>
        <w:spacing w:after="0" w:line="255" w:lineRule="auto"/>
        <w:tabs>
          <w:tab w:leader="none" w:pos="1376"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Obligations. </w:t>
      </w:r>
      <w:r>
        <w:rPr>
          <w:rFonts w:ascii="Times New Roman" w:cs="Times New Roman" w:eastAsia="Times New Roman" w:hAnsi="Times New Roman"/>
          <w:sz w:val="18"/>
          <w:szCs w:val="18"/>
          <w:color w:val="auto"/>
        </w:rPr>
        <w:t>The Company may, in its sole discretion, satisfy any Tax-Related Items withholding obligation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Award by any of the following means or by a combination of such means: (i) causing the Participant to tender a cash payment; (ii) withholding shares of Common Stock from the shares of Common Stock issued or otherwise issuable to the Participant in connection with the Award (provided that for tax purposes, the Participant will be deemed to have been issued the full number of shares subject to the Award, notwithstanding that a number of the shares is held back solely for the purpose of paying the Tax-Related Items); (iii) withholding cash from an Award settled in cash; (iv) withholding payment from any amounts otherwise payable to the Participant; or (v) by such other method as may be set forth in the Award Agreement. The Company and/or its Affiliate may withhold or account for Tax-Related Items by considering statutory or other withholding rates, including minimum or maximum rates applicable in a Participant’s jurisdiction.</w:t>
      </w:r>
    </w:p>
    <w:p>
      <w:pPr>
        <w:spacing w:after="0" w:line="184" w:lineRule="exact"/>
        <w:rPr>
          <w:rFonts w:ascii="Times New Roman" w:cs="Times New Roman" w:eastAsia="Times New Roman" w:hAnsi="Times New Roman"/>
          <w:sz w:val="18"/>
          <w:szCs w:val="18"/>
          <w:b w:val="1"/>
          <w:bCs w:val="1"/>
          <w:color w:val="auto"/>
        </w:rPr>
      </w:pPr>
    </w:p>
    <w:p>
      <w:pPr>
        <w:ind w:left="120" w:right="60" w:firstLine="987"/>
        <w:spacing w:after="0" w:line="268" w:lineRule="auto"/>
        <w:tabs>
          <w:tab w:leader="none" w:pos="1326"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Any reference herein to a “written” agreement or document will include any agreement or document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filed publicly at www.sec.gov (or any successor website thereto) or posted on the Company’s intranet (or other shared electronic medium controlled by the Company to which the Participant has access).</w:t>
      </w:r>
    </w:p>
    <w:p>
      <w:pPr>
        <w:spacing w:after="0" w:line="170" w:lineRule="exact"/>
        <w:rPr>
          <w:rFonts w:ascii="Times New Roman" w:cs="Times New Roman" w:eastAsia="Times New Roman" w:hAnsi="Times New Roman"/>
          <w:sz w:val="18"/>
          <w:szCs w:val="18"/>
          <w:b w:val="1"/>
          <w:bCs w:val="1"/>
          <w:color w:val="auto"/>
        </w:rPr>
      </w:pPr>
    </w:p>
    <w:p>
      <w:pPr>
        <w:ind w:left="120" w:right="80" w:firstLine="987"/>
        <w:spacing w:after="0" w:line="256" w:lineRule="auto"/>
        <w:tabs>
          <w:tab w:leader="none" w:pos="1336"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82" w:lineRule="exact"/>
        <w:rPr>
          <w:rFonts w:ascii="Times New Roman" w:cs="Times New Roman" w:eastAsia="Times New Roman" w:hAnsi="Times New Roman"/>
          <w:sz w:val="18"/>
          <w:szCs w:val="18"/>
          <w:b w:val="1"/>
          <w:bCs w:val="1"/>
          <w:color w:val="auto"/>
        </w:rPr>
      </w:pPr>
    </w:p>
    <w:p>
      <w:pPr>
        <w:ind w:left="120" w:firstLine="987"/>
        <w:spacing w:after="0" w:line="253" w:lineRule="auto"/>
        <w:tabs>
          <w:tab w:leader="none" w:pos="1376"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Section 409A of the Code. </w:t>
      </w:r>
      <w:r>
        <w:rPr>
          <w:rFonts w:ascii="Times New Roman" w:cs="Times New Roman" w:eastAsia="Times New Roman" w:hAnsi="Times New Roman"/>
          <w:sz w:val="18"/>
          <w:szCs w:val="18"/>
          <w:color w:val="auto"/>
        </w:rPr>
        <w:t>Unless otherwise expressly provided for in an Award Agreement, the Plan and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87" w:lineRule="exact"/>
        <w:rPr>
          <w:rFonts w:ascii="Times New Roman" w:cs="Times New Roman" w:eastAsia="Times New Roman" w:hAnsi="Times New Roman"/>
          <w:sz w:val="18"/>
          <w:szCs w:val="18"/>
          <w:b w:val="1"/>
          <w:bCs w:val="1"/>
          <w:color w:val="auto"/>
        </w:rPr>
      </w:pPr>
    </w:p>
    <w:p>
      <w:pPr>
        <w:ind w:left="120" w:firstLine="987"/>
        <w:spacing w:after="0" w:line="268" w:lineRule="auto"/>
        <w:tabs>
          <w:tab w:leader="none" w:pos="1326"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Clawback/Recovery</w:t>
      </w:r>
      <w:r>
        <w:rPr>
          <w:rFonts w:ascii="Times New Roman" w:cs="Times New Roman" w:eastAsia="Times New Roman" w:hAnsi="Times New Roman"/>
          <w:sz w:val="18"/>
          <w:szCs w:val="18"/>
          <w:color w:val="auto"/>
        </w:rPr>
        <w:t>. 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In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324"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UPON CHANGES IN COMMON STOCK; OTHER CORPORATE EVENTS.</w:t>
      </w:r>
    </w:p>
    <w:p>
      <w:pPr>
        <w:spacing w:after="0" w:line="117" w:lineRule="exact"/>
        <w:rPr>
          <w:sz w:val="20"/>
          <w:szCs w:val="20"/>
          <w:color w:val="auto"/>
        </w:rPr>
      </w:pPr>
    </w:p>
    <w:p>
      <w:pPr>
        <w:ind w:left="1360" w:hanging="253"/>
        <w:spacing w:after="0"/>
        <w:tabs>
          <w:tab w:leader="none" w:pos="1360"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will appropriately and proportionately adjust:</w:t>
      </w:r>
    </w:p>
    <w:p>
      <w:pPr>
        <w:spacing w:after="0" w:line="31" w:lineRule="exact"/>
        <w:rPr>
          <w:rFonts w:ascii="Times New Roman" w:cs="Times New Roman" w:eastAsia="Times New Roman" w:hAnsi="Times New Roman"/>
          <w:sz w:val="18"/>
          <w:szCs w:val="18"/>
          <w:b w:val="1"/>
          <w:bCs w:val="1"/>
          <w:color w:val="auto"/>
        </w:rPr>
      </w:pPr>
    </w:p>
    <w:p>
      <w:pPr>
        <w:ind w:left="120" w:hanging="4"/>
        <w:spacing w:after="0" w:line="253" w:lineRule="auto"/>
        <w:tabs>
          <w:tab w:leader="none" w:pos="3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class(es) and maximum number of securities subject to the Plan pursuant to Section 3(a), (ii) the class(es) of securities by which the share reserve is to increase automatically each year pursuant to Section 3(a), (iii) the class(es) and maximum number of securities that may be issued pursuant to the exercise of Incentive Stock Options pursuant to Section 3(c) and (iv) the class(es) and number of securities and price per share of stock subject to outstanding Stock Awards. The Board will make such adjustments, and its determination will be final, binding and conclusive.</w:t>
      </w:r>
    </w:p>
    <w:p>
      <w:pPr>
        <w:spacing w:after="0" w:line="184"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76"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w:t>
      </w:r>
      <w:r>
        <w:rPr>
          <w:rFonts w:ascii="Times New Roman" w:cs="Times New Roman" w:eastAsia="Times New Roman" w:hAnsi="Times New Roman"/>
          <w:sz w:val="18"/>
          <w:szCs w:val="18"/>
          <w:color w:val="auto"/>
        </w:rPr>
        <w:t>. Except as otherwise provided in the Stock Award Agreement, in the event of a Dissolution of the Company,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outstanding Stock Awards (other than Stock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ind w:left="120" w:right="200" w:firstLine="987"/>
        <w:spacing w:after="0" w:line="259" w:lineRule="auto"/>
        <w:tabs>
          <w:tab w:leader="none" w:pos="1356"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Transaction. </w:t>
      </w:r>
      <w:r>
        <w:rPr>
          <w:rFonts w:ascii="Times New Roman" w:cs="Times New Roman" w:eastAsia="Times New Roman" w:hAnsi="Times New Roman"/>
          <w:sz w:val="18"/>
          <w:szCs w:val="18"/>
          <w:color w:val="auto"/>
        </w:rPr>
        <w:t>The following provisions shall apply to Stock Awards in the event of a Transaction unless otherwise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shall take one or more of the following actions with respect to Stock Awards, contingent upon the closing or completion of the Transaction:</w:t>
      </w:r>
    </w:p>
    <w:p>
      <w:pPr>
        <w:spacing w:after="0" w:line="183" w:lineRule="exact"/>
        <w:rPr>
          <w:rFonts w:ascii="Times New Roman" w:cs="Times New Roman" w:eastAsia="Times New Roman" w:hAnsi="Times New Roman"/>
          <w:sz w:val="18"/>
          <w:szCs w:val="18"/>
          <w:b w:val="1"/>
          <w:bCs w:val="1"/>
          <w:color w:val="auto"/>
        </w:rPr>
      </w:pPr>
    </w:p>
    <w:p>
      <w:pPr>
        <w:jc w:val="both"/>
        <w:ind w:left="120" w:right="240" w:firstLine="1428"/>
        <w:spacing w:after="0" w:line="266" w:lineRule="auto"/>
        <w:tabs>
          <w:tab w:leader="none" w:pos="1767" w:val="left"/>
        </w:tabs>
        <w:numPr>
          <w:ilvl w:val="2"/>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75" w:lineRule="exact"/>
        <w:rPr>
          <w:rFonts w:ascii="Times New Roman" w:cs="Times New Roman" w:eastAsia="Times New Roman" w:hAnsi="Times New Roman"/>
          <w:sz w:val="18"/>
          <w:szCs w:val="18"/>
          <w:b w:val="1"/>
          <w:bCs w:val="1"/>
          <w:color w:val="auto"/>
        </w:rPr>
      </w:pPr>
    </w:p>
    <w:p>
      <w:pPr>
        <w:ind w:left="120" w:right="200" w:firstLine="1428"/>
        <w:spacing w:after="0" w:line="312" w:lineRule="auto"/>
        <w:tabs>
          <w:tab w:leader="none" w:pos="1817" w:val="left"/>
        </w:tabs>
        <w:numPr>
          <w:ilvl w:val="2"/>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39" w:lineRule="exact"/>
        <w:rPr>
          <w:rFonts w:ascii="Times New Roman" w:cs="Times New Roman" w:eastAsia="Times New Roman" w:hAnsi="Times New Roman"/>
          <w:sz w:val="17"/>
          <w:szCs w:val="17"/>
          <w:b w:val="1"/>
          <w:bCs w:val="1"/>
          <w:color w:val="auto"/>
        </w:rPr>
      </w:pPr>
    </w:p>
    <w:p>
      <w:pPr>
        <w:ind w:left="120" w:right="140" w:firstLine="1428"/>
        <w:spacing w:after="0" w:line="261" w:lineRule="auto"/>
        <w:tabs>
          <w:tab w:leader="none" w:pos="1867" w:val="left"/>
        </w:tabs>
        <w:numPr>
          <w:ilvl w:val="2"/>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accelerate the vesting, in whole or in part, of the Stock Award (and, if applicable, the time at which the Stock Award may be exercised) to a date prior to the effective time of such Transaction as the Board shall determine (or, if the Board shall not determine such a date, to the date that is five days prior to the effective date of the Transaction), with such Stock Award terminating if not exercised (if applicable) at or prior to the effective time of the Transaction;</w:t>
      </w:r>
    </w:p>
    <w:p>
      <w:pPr>
        <w:spacing w:after="0" w:line="179" w:lineRule="exact"/>
        <w:rPr>
          <w:rFonts w:ascii="Times New Roman" w:cs="Times New Roman" w:eastAsia="Times New Roman" w:hAnsi="Times New Roman"/>
          <w:sz w:val="18"/>
          <w:szCs w:val="18"/>
          <w:b w:val="1"/>
          <w:bCs w:val="1"/>
          <w:color w:val="auto"/>
        </w:rPr>
      </w:pPr>
    </w:p>
    <w:p>
      <w:pPr>
        <w:ind w:left="1860" w:hanging="312"/>
        <w:spacing w:after="0"/>
        <w:tabs>
          <w:tab w:leader="none" w:pos="1860" w:val="left"/>
        </w:tabs>
        <w:numPr>
          <w:ilvl w:val="2"/>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lapse, in whole or in part, of any reacquisition or repurchase rights held by the Company with respect to the</w:t>
      </w:r>
    </w:p>
    <w:p>
      <w:pPr>
        <w:spacing w:after="0" w:line="2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Award;</w:t>
      </w:r>
    </w:p>
    <w:p>
      <w:pPr>
        <w:spacing w:after="0" w:line="206" w:lineRule="exact"/>
        <w:rPr>
          <w:rFonts w:ascii="Times New Roman" w:cs="Times New Roman" w:eastAsia="Times New Roman" w:hAnsi="Times New Roman"/>
          <w:sz w:val="18"/>
          <w:szCs w:val="18"/>
          <w:b w:val="1"/>
          <w:bCs w:val="1"/>
          <w:color w:val="auto"/>
        </w:rPr>
      </w:pPr>
    </w:p>
    <w:p>
      <w:pPr>
        <w:ind w:left="120" w:right="120" w:firstLine="1428"/>
        <w:spacing w:after="0" w:line="282" w:lineRule="auto"/>
        <w:tabs>
          <w:tab w:leader="none" w:pos="1807" w:val="left"/>
        </w:tabs>
        <w:numPr>
          <w:ilvl w:val="2"/>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060"/>
          </w:cols>
          <w:pgMar w:left="320" w:top="455" w:right="5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1428"/>
        <w:spacing w:after="0" w:line="258" w:lineRule="auto"/>
        <w:tabs>
          <w:tab w:leader="none" w:pos="1857"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extesnt that payment of consideration to the holders of Common Stock in connection with the Transaction is delayed as a result of escrows, earn outs, holdbacks or other contingencies.</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Board need not take the same action or actions with respect to all Stock Awards or portions thereof or with respect to all Participants.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may take different actions with respect to the vested and unvested portions of a Stock Award.</w:t>
      </w:r>
    </w:p>
    <w:p>
      <w:pPr>
        <w:spacing w:after="0" w:line="207" w:lineRule="exact"/>
        <w:rPr>
          <w:sz w:val="20"/>
          <w:szCs w:val="20"/>
          <w:color w:val="auto"/>
        </w:rPr>
      </w:pPr>
    </w:p>
    <w:p>
      <w:pPr>
        <w:ind w:left="120" w:right="140" w:firstLine="991"/>
        <w:spacing w:after="0" w:line="253" w:lineRule="auto"/>
        <w:rPr>
          <w:sz w:val="20"/>
          <w:szCs w:val="20"/>
          <w:color w:val="auto"/>
        </w:rPr>
      </w:pPr>
      <w:r>
        <w:rPr>
          <w:rFonts w:ascii="Times New Roman" w:cs="Times New Roman" w:eastAsia="Times New Roman" w:hAnsi="Times New Roman"/>
          <w:sz w:val="18"/>
          <w:szCs w:val="18"/>
          <w:color w:val="auto"/>
        </w:rPr>
        <w:t>In the event of a Transaction in which the surviving corporation or acquiring corporation (or its parent company) does not assume or continue such outstanding Stock Awards or substitute similar awards for such outstanding Stock Awards, then with respect to Stock Awards that have not been assumed, continued or substituted and that are held by Participants whose Continuous Service has not terminated prior to the effective time of the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Stock Awards (and, with respect to Options and Stock Appreciation Rights, the time when such Stock Awards may be exercised) will be accelerated in full to a date prior to the effective time of such Transaction (contingent upon the effectiveness of the Transaction) as the Board determines (or, if the Board does not determine such a date, to the date that is five</w:t>
      </w:r>
    </w:p>
    <w:p>
      <w:pPr>
        <w:spacing w:after="0" w:line="5" w:lineRule="exact"/>
        <w:rPr>
          <w:sz w:val="20"/>
          <w:szCs w:val="20"/>
          <w:color w:val="auto"/>
        </w:rPr>
      </w:pPr>
    </w:p>
    <w:p>
      <w:pPr>
        <w:ind w:left="120" w:right="40" w:hanging="4"/>
        <w:spacing w:after="0" w:line="265" w:lineRule="auto"/>
        <w:tabs>
          <w:tab w:leader="none" w:pos="37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prior to the effective time of the Transaction), and such Stock Awards will terminate if not exercised (if applicable) at or prior to the effective time of the Transaction, and any reacquisition or repurchase rights held by the Company with respect to such Stock Awards will lapse (contingent upon the effectiveness of the Transaction). With respect to the vesting of Performance Stock Awards that will accelerate upon the occurrence of a Transaction pursuant to this paragraph and that have multiple vesting levels depending on the level of performance, unless otherwise provided in the Stock Award Agreement or unless otherwise provided by the Board, the vesting of such Performance Stock Awards will accelerate at 100% of the target level upon the occurrence of the Transaction in which the Stock Awards are not assumed or continued or for which substitute awards are issued. With respect to the vesting of Stock Awards that will accelerate upon the occurrence of a Transaction pursuant to this paragraph and are settled in the form of a cash payment, such cash payment will be made no later than 30 days following the occurrence of the Transaction or such later date as required by</w:t>
      </w:r>
    </w:p>
    <w:p>
      <w:pPr>
        <w:spacing w:after="0" w:line="1"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409A of the Code.</w:t>
      </w:r>
    </w:p>
    <w:p>
      <w:pPr>
        <w:spacing w:after="0" w:line="207"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In the event of a Transaction in which the surviving corporation or acquiring corporation (or its parent company) does not assume or continue such outstanding Stock Awards or substitute similar awards for such outstanding Awards, then with respect to Stock Awards that have not been assumed, continued or substituted and that are held by persons other than Current Participants, such Stock Awards will terminate if not exercised (if applicable) prior to the occurrence of the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reacquisition or repurchase rights held by the Company with respect to such Stock Awards will not terminate and may continue to be exercised notwithstanding the Transaction.</w:t>
      </w:r>
    </w:p>
    <w:p>
      <w:pPr>
        <w:spacing w:after="0" w:line="179" w:lineRule="exact"/>
        <w:rPr>
          <w:sz w:val="20"/>
          <w:szCs w:val="20"/>
          <w:color w:val="auto"/>
        </w:rPr>
      </w:pPr>
    </w:p>
    <w:p>
      <w:pPr>
        <w:ind w:left="120" w:right="180" w:firstLine="987"/>
        <w:spacing w:after="0" w:line="268" w:lineRule="auto"/>
        <w:tabs>
          <w:tab w:leader="none" w:pos="1376"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A Stock Award may be subject to additional acceleration of vesting and exercisability upon or after a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as may be provided in the Stock Award Agreement for such Stock Award or as may be provided in any other written agreement between the Company or any Affiliate and the Participant.</w:t>
      </w:r>
    </w:p>
    <w:p>
      <w:pPr>
        <w:spacing w:after="0" w:line="319"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 EARLIER TERMINATION OR SUSPENSION OF THE PLAN.</w:t>
      </w:r>
    </w:p>
    <w:p>
      <w:pPr>
        <w:spacing w:after="0" w:line="121"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 (i) the date the Plan is adopted by the Board (the “</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or (ii) the Initial Effective Date. No Awards may be granted under the Plan while the Plan is suspended or after it is terminated.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EXISTENCE OF THE PLAN; TIMING OF FIRST GRANT OR EXERCISE.</w:t>
      </w:r>
    </w:p>
    <w:p>
      <w:pPr>
        <w:spacing w:after="0" w:line="119" w:lineRule="exact"/>
        <w:rPr>
          <w:sz w:val="20"/>
          <w:szCs w:val="20"/>
          <w:color w:val="auto"/>
        </w:rPr>
      </w:pPr>
    </w:p>
    <w:p>
      <w:pPr>
        <w:ind w:left="120" w:right="300" w:firstLine="991"/>
        <w:spacing w:after="0" w:line="281" w:lineRule="auto"/>
        <w:rPr>
          <w:sz w:val="20"/>
          <w:szCs w:val="20"/>
          <w:color w:val="auto"/>
        </w:rPr>
      </w:pPr>
      <w:r>
        <w:rPr>
          <w:rFonts w:ascii="Times New Roman" w:cs="Times New Roman" w:eastAsia="Times New Roman" w:hAnsi="Times New Roman"/>
          <w:sz w:val="17"/>
          <w:szCs w:val="17"/>
          <w:color w:val="auto"/>
        </w:rPr>
        <w:t xml:space="preserve">The Plan will come into existence on the Adoption Date;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Stock Award may be granted prior to the Effective Date. In addition, no Stock Award will be exercised (or, in the case of a Restricted Stock Award, Restricted Stock Unit Award, Performance Stock Award, or Other Stock Award, no Stock Award will be granted) and no Performance Cash Award will be settled unless and until the Plan has been approved by the stockholders of the Company, which approval will be within 12 months after the date the Plan is adopted by the Board.</w:t>
      </w:r>
    </w:p>
    <w:p>
      <w:pPr>
        <w:spacing w:after="0" w:line="311" w:lineRule="exact"/>
        <w:rPr>
          <w:sz w:val="20"/>
          <w:szCs w:val="20"/>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CHOICE OF LAW.</w:t>
      </w:r>
    </w:p>
    <w:p>
      <w:pPr>
        <w:spacing w:after="0" w:line="121" w:lineRule="exact"/>
        <w:rPr>
          <w:sz w:val="20"/>
          <w:szCs w:val="20"/>
          <w:color w:val="auto"/>
        </w:rPr>
      </w:pPr>
    </w:p>
    <w:p>
      <w:pPr>
        <w:ind w:left="120" w:right="320" w:firstLine="991"/>
        <w:spacing w:after="0" w:line="282" w:lineRule="auto"/>
        <w:rPr>
          <w:sz w:val="20"/>
          <w:szCs w:val="20"/>
          <w:color w:val="auto"/>
        </w:rPr>
      </w:pPr>
      <w:r>
        <w:rPr>
          <w:rFonts w:ascii="Times New Roman" w:cs="Times New Roman" w:eastAsia="Times New Roman" w:hAnsi="Times New Roman"/>
          <w:sz w:val="18"/>
          <w:szCs w:val="18"/>
          <w:color w:val="auto"/>
        </w:rPr>
        <w:t>The law of the State of Delaware will govern all questions concerning the construction, validity and interpretation of this Plan, without regard to that state’s conflict of laws rules.</w:t>
      </w:r>
    </w:p>
    <w:p>
      <w:pPr>
        <w:spacing w:after="0" w:line="185" w:lineRule="exact"/>
        <w:rPr>
          <w:sz w:val="20"/>
          <w:szCs w:val="20"/>
          <w:color w:val="auto"/>
        </w:rPr>
      </w:pPr>
    </w:p>
    <w:p>
      <w:pPr>
        <w:ind w:left="540" w:hanging="424"/>
        <w:spacing w:after="0"/>
        <w:tabs>
          <w:tab w:leader="none" w:pos="5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25" w:lineRule="exact"/>
        <w:rPr>
          <w:rFonts w:ascii="Times New Roman" w:cs="Times New Roman" w:eastAsia="Times New Roman" w:hAnsi="Times New Roman"/>
          <w:sz w:val="18"/>
          <w:szCs w:val="18"/>
          <w:b w:val="1"/>
          <w:bCs w:val="1"/>
          <w:color w:val="auto"/>
        </w:rPr>
      </w:pPr>
    </w:p>
    <w:p>
      <w:pPr>
        <w:ind w:left="120" w:right="120" w:firstLine="987"/>
        <w:spacing w:after="0" w:line="268" w:lineRule="auto"/>
        <w:tabs>
          <w:tab w:leader="none" w:pos="1366"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 Stock Award or a Performance Cash Award.</w:t>
      </w:r>
    </w:p>
    <w:p>
      <w:pPr>
        <w:spacing w:after="0" w:line="225"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Award.</w:t>
      </w:r>
    </w:p>
    <w:p>
      <w:pPr>
        <w:spacing w:after="0" w:line="202"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each and every class of common stock of the Company, regardless of the number of votes per share.</w:t>
      </w:r>
    </w:p>
    <w:p>
      <w:pPr>
        <w:spacing w:after="0" w:line="225" w:lineRule="exact"/>
        <w:rPr>
          <w:rFonts w:ascii="Times New Roman" w:cs="Times New Roman" w:eastAsia="Times New Roman" w:hAnsi="Times New Roman"/>
          <w:sz w:val="18"/>
          <w:szCs w:val="18"/>
          <w:b w:val="1"/>
          <w:bCs w:val="1"/>
          <w:color w:val="auto"/>
        </w:rPr>
      </w:pPr>
    </w:p>
    <w:p>
      <w:pPr>
        <w:ind w:left="120" w:firstLine="987"/>
        <w:spacing w:after="0" w:line="257" w:lineRule="auto"/>
        <w:tabs>
          <w:tab w:leader="none" w:pos="1336"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2" w:lineRule="exact"/>
        <w:rPr>
          <w:rFonts w:ascii="Times New Roman" w:cs="Times New Roman" w:eastAsia="Times New Roman" w:hAnsi="Times New Roman"/>
          <w:sz w:val="18"/>
          <w:szCs w:val="18"/>
          <w:b w:val="1"/>
          <w:bCs w:val="1"/>
          <w:color w:val="auto"/>
        </w:rPr>
      </w:pPr>
    </w:p>
    <w:p>
      <w:pPr>
        <w:ind w:left="120" w:right="20" w:firstLine="987"/>
        <w:spacing w:after="0" w:line="254" w:lineRule="auto"/>
        <w:tabs>
          <w:tab w:leader="none" w:pos="1366"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ascribed to such term in any written agreement between the Participant and the Company defining such term and, in the absence of such agreement, such term means the termination of a Participant’s Continuous Service with the Company and its subsidiaries due to (i) such Participant’s commission of any felony or any crime involving fraud, dishonesty or moral turpitude under the laws of the United States or any state thereof; (ii) such Participant’s attempted commission of, or participation in, a fraud or act of dishonesty against the Company and/or its subsidiaries; (iii) such Participant’s material violation of (A) any contract or agreement between the Participant and the Company and/or a subsidiary of the Company or (B) any statutory duty owed to the Company and/or its subsidiaries; (iv) such Participant’s unauthorized use or disclosure of confidential information or trade secrets of the Company and/or its subsidiaries; or (v) such Participant’s gross negligence or willful misconduct in the performance of the Participant’s duties. The determination that a termination of the Participant’s Continuous Service is either for Cause or without Cause (within the meaning of the preceding clauses (i) through (v))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380" w:hanging="273"/>
        <w:spacing w:after="0"/>
        <w:tabs>
          <w:tab w:leader="none" w:pos="13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the occurrence, in a single transaction or in a series of related transactions, of any one or more of the</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events:</w:t>
      </w:r>
    </w:p>
    <w:p>
      <w:pPr>
        <w:spacing w:after="0" w:line="206" w:lineRule="exact"/>
        <w:rPr>
          <w:rFonts w:ascii="Times New Roman" w:cs="Times New Roman" w:eastAsia="Times New Roman" w:hAnsi="Times New Roman"/>
          <w:sz w:val="18"/>
          <w:szCs w:val="18"/>
          <w:b w:val="1"/>
          <w:bCs w:val="1"/>
          <w:color w:val="auto"/>
        </w:rPr>
      </w:pPr>
    </w:p>
    <w:p>
      <w:pPr>
        <w:ind w:left="120" w:firstLine="1428"/>
        <w:spacing w:after="0" w:line="253" w:lineRule="auto"/>
        <w:tabs>
          <w:tab w:leader="none" w:pos="1767"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b w:val="1"/>
          <w:bCs w:val="1"/>
          <w:i w:val="1"/>
          <w:iCs w:val="1"/>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91" w:lineRule="exact"/>
        <w:rPr>
          <w:rFonts w:ascii="Times New Roman" w:cs="Times New Roman" w:eastAsia="Times New Roman" w:hAnsi="Times New Roman"/>
          <w:sz w:val="18"/>
          <w:szCs w:val="18"/>
          <w:b w:val="1"/>
          <w:bCs w:val="1"/>
          <w:color w:val="auto"/>
        </w:rPr>
      </w:pPr>
    </w:p>
    <w:p>
      <w:pPr>
        <w:ind w:left="120" w:right="40" w:firstLine="1428"/>
        <w:spacing w:after="0" w:line="256" w:lineRule="auto"/>
        <w:tabs>
          <w:tab w:leader="none" w:pos="1817"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7" w:lineRule="exact"/>
        <w:rPr>
          <w:rFonts w:ascii="Times New Roman" w:cs="Times New Roman" w:eastAsia="Times New Roman" w:hAnsi="Times New Roman"/>
          <w:sz w:val="18"/>
          <w:szCs w:val="18"/>
          <w:b w:val="1"/>
          <w:bCs w:val="1"/>
          <w:color w:val="auto"/>
        </w:rPr>
      </w:pPr>
    </w:p>
    <w:p>
      <w:pPr>
        <w:ind w:left="120" w:right="20" w:firstLine="1428"/>
        <w:spacing w:after="0" w:line="258" w:lineRule="auto"/>
        <w:tabs>
          <w:tab w:leader="none" w:pos="1867"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83" w:lineRule="exact"/>
        <w:rPr>
          <w:rFonts w:ascii="Times New Roman" w:cs="Times New Roman" w:eastAsia="Times New Roman" w:hAnsi="Times New Roman"/>
          <w:sz w:val="18"/>
          <w:szCs w:val="18"/>
          <w:b w:val="1"/>
          <w:bCs w:val="1"/>
          <w:color w:val="auto"/>
        </w:rPr>
      </w:pPr>
    </w:p>
    <w:p>
      <w:pPr>
        <w:ind w:left="120" w:right="160" w:firstLine="1428"/>
        <w:spacing w:after="0" w:line="282" w:lineRule="auto"/>
        <w:tabs>
          <w:tab w:leader="none" w:pos="1857"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stockholders of the Company approve or the Board approves a plan of complete dissolution or liquidation of the Company, or a complete dissolution or liquidation of the Company will otherwise occur, except for a liquidation into a parent corporation; or</w:t>
      </w:r>
    </w:p>
    <w:p>
      <w:pPr>
        <w:spacing w:after="0" w:line="157" w:lineRule="exact"/>
        <w:rPr>
          <w:rFonts w:ascii="Times New Roman" w:cs="Times New Roman" w:eastAsia="Times New Roman" w:hAnsi="Times New Roman"/>
          <w:sz w:val="18"/>
          <w:szCs w:val="18"/>
          <w:b w:val="1"/>
          <w:bCs w:val="1"/>
          <w:color w:val="auto"/>
        </w:rPr>
      </w:pPr>
    </w:p>
    <w:p>
      <w:pPr>
        <w:ind w:left="120" w:right="40" w:firstLine="1428"/>
        <w:spacing w:after="0" w:line="262" w:lineRule="auto"/>
        <w:tabs>
          <w:tab w:leader="none" w:pos="1807"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xml:space="preserve">”) cease for any reason to constitute at least a majority of the members of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0" w:lineRule="exact"/>
        <w:rPr>
          <w:sz w:val="20"/>
          <w:szCs w:val="20"/>
          <w:color w:val="auto"/>
        </w:rPr>
      </w:pPr>
    </w:p>
    <w:p>
      <w:pPr>
        <w:ind w:left="120"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no definition of Change in Control or any analogous term is set forth in such an individual written agreement, the foregoing definition will apply.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991"/>
        <w:spacing w:after="0" w:line="261" w:lineRule="auto"/>
        <w:rPr>
          <w:sz w:val="20"/>
          <w:szCs w:val="20"/>
          <w:color w:val="auto"/>
        </w:rPr>
      </w:pPr>
      <w:r>
        <w:rPr>
          <w:rFonts w:ascii="Times New Roman" w:cs="Times New Roman" w:eastAsia="Times New Roman" w:hAnsi="Times New Roman"/>
          <w:sz w:val="18"/>
          <w:szCs w:val="18"/>
          <w:color w:val="auto"/>
        </w:rPr>
        <w:t>If required for compliance with Section 409A of the Code, in no event will an event be deemed a Change in Control if such event is not also a “change in the ownership of” the Company, a “change in the effective control of” the Company or a “change in the ownership of a substantial portion of the assets of” the Company, each as determined under Treasury Regulations Section 1.409A-3(i)(5) (without regard to any alternative definition thereunder).</w:t>
      </w:r>
    </w:p>
    <w:p>
      <w:pPr>
        <w:spacing w:after="0" w:line="176" w:lineRule="exact"/>
        <w:rPr>
          <w:sz w:val="20"/>
          <w:szCs w:val="20"/>
          <w:color w:val="auto"/>
        </w:rPr>
      </w:pPr>
    </w:p>
    <w:p>
      <w:pPr>
        <w:ind w:left="1320" w:hanging="213"/>
        <w:spacing w:after="0"/>
        <w:tabs>
          <w:tab w:leader="none" w:pos="13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left="1340" w:hanging="233"/>
        <w:spacing w:after="0"/>
        <w:tabs>
          <w:tab w:leader="none" w:pos="1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Directors to whom authority has been delegated by the Board in accordance with</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2(c).</w:t>
      </w:r>
    </w:p>
    <w:p>
      <w:pPr>
        <w:spacing w:after="0" w:line="203" w:lineRule="exact"/>
        <w:rPr>
          <w:sz w:val="20"/>
          <w:szCs w:val="20"/>
          <w:color w:val="auto"/>
        </w:rPr>
      </w:pPr>
    </w:p>
    <w:p>
      <w:pPr>
        <w:ind w:left="1380" w:hanging="273"/>
        <w:spacing w:after="0"/>
        <w:tabs>
          <w:tab w:leader="none" w:pos="13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 having one vote per share.</w:t>
      </w:r>
    </w:p>
    <w:p>
      <w:pPr>
        <w:spacing w:after="0" w:line="225" w:lineRule="exact"/>
        <w:rPr>
          <w:rFonts w:ascii="Times New Roman" w:cs="Times New Roman" w:eastAsia="Times New Roman" w:hAnsi="Times New Roman"/>
          <w:sz w:val="18"/>
          <w:szCs w:val="18"/>
          <w:b w:val="1"/>
          <w:bCs w:val="1"/>
          <w:color w:val="auto"/>
        </w:rPr>
      </w:pPr>
    </w:p>
    <w:p>
      <w:pPr>
        <w:ind w:left="1320" w:hanging="213"/>
        <w:spacing w:after="0"/>
        <w:tabs>
          <w:tab w:leader="none" w:pos="13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Tempest Therapeutics, Inc., a Delaware corporation, and successor to Millendo Therapeutics, Inc.</w:t>
      </w:r>
    </w:p>
    <w:p>
      <w:pPr>
        <w:spacing w:after="0" w:line="225" w:lineRule="exact"/>
        <w:rPr>
          <w:rFonts w:ascii="Times New Roman" w:cs="Times New Roman" w:eastAsia="Times New Roman" w:hAnsi="Times New Roman"/>
          <w:sz w:val="18"/>
          <w:szCs w:val="18"/>
          <w:b w:val="1"/>
          <w:bCs w:val="1"/>
          <w:color w:val="auto"/>
        </w:rPr>
      </w:pPr>
    </w:p>
    <w:p>
      <w:pPr>
        <w:ind w:left="120" w:right="80" w:firstLine="987"/>
        <w:spacing w:after="0" w:line="259" w:lineRule="auto"/>
        <w:tabs>
          <w:tab w:leader="none" w:pos="142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9" w:lineRule="exact"/>
        <w:rPr>
          <w:rFonts w:ascii="Times New Roman" w:cs="Times New Roman" w:eastAsia="Times New Roman" w:hAnsi="Times New Roman"/>
          <w:sz w:val="18"/>
          <w:szCs w:val="18"/>
          <w:b w:val="1"/>
          <w:bCs w:val="1"/>
          <w:color w:val="auto"/>
        </w:rPr>
      </w:pPr>
    </w:p>
    <w:p>
      <w:pPr>
        <w:ind w:left="120" w:firstLine="987"/>
        <w:spacing w:after="0" w:line="254" w:lineRule="auto"/>
        <w:tabs>
          <w:tab w:leader="none" w:pos="137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182" w:lineRule="exact"/>
        <w:rPr>
          <w:rFonts w:ascii="Times New Roman" w:cs="Times New Roman" w:eastAsia="Times New Roman" w:hAnsi="Times New Roman"/>
          <w:sz w:val="18"/>
          <w:szCs w:val="18"/>
          <w:b w:val="1"/>
          <w:bCs w:val="1"/>
          <w:color w:val="auto"/>
        </w:rPr>
      </w:pPr>
    </w:p>
    <w:p>
      <w:pPr>
        <w:ind w:left="120" w:right="140" w:firstLine="987"/>
        <w:spacing w:after="0" w:line="286" w:lineRule="auto"/>
        <w:tabs>
          <w:tab w:leader="none" w:pos="136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58" w:lineRule="exact"/>
        <w:rPr>
          <w:rFonts w:ascii="Times New Roman" w:cs="Times New Roman" w:eastAsia="Times New Roman" w:hAnsi="Times New Roman"/>
          <w:sz w:val="18"/>
          <w:szCs w:val="18"/>
          <w:b w:val="1"/>
          <w:bCs w:val="1"/>
          <w:color w:val="auto"/>
        </w:rPr>
      </w:pPr>
    </w:p>
    <w:p>
      <w:pPr>
        <w:ind w:left="120" w:right="20" w:firstLine="1428"/>
        <w:spacing w:after="0" w:line="282" w:lineRule="auto"/>
        <w:tabs>
          <w:tab w:leader="none" w:pos="1767"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61" w:lineRule="exact"/>
        <w:rPr>
          <w:rFonts w:ascii="Times New Roman" w:cs="Times New Roman" w:eastAsia="Times New Roman" w:hAnsi="Times New Roman"/>
          <w:sz w:val="18"/>
          <w:szCs w:val="18"/>
          <w:b w:val="1"/>
          <w:bCs w:val="1"/>
          <w:color w:val="auto"/>
        </w:rPr>
      </w:pPr>
    </w:p>
    <w:p>
      <w:pPr>
        <w:ind w:left="1820" w:hanging="272"/>
        <w:spacing w:after="0"/>
        <w:tabs>
          <w:tab w:leader="none" w:pos="1820"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860" w:hanging="312"/>
        <w:spacing w:after="0"/>
        <w:tabs>
          <w:tab w:leader="none" w:pos="1860"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1428"/>
        <w:spacing w:after="0" w:line="266" w:lineRule="auto"/>
        <w:tabs>
          <w:tab w:leader="none" w:pos="1857" w:val="left"/>
        </w:tabs>
        <w:numPr>
          <w:ilvl w:val="2"/>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120" w:firstLine="987"/>
        <w:spacing w:after="0" w:line="262" w:lineRule="auto"/>
        <w:tabs>
          <w:tab w:leader="none" w:pos="1376"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left="120" w:right="120" w:firstLine="987"/>
        <w:spacing w:after="0" w:line="268" w:lineRule="auto"/>
        <w:tabs>
          <w:tab w:leader="none" w:pos="1356"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Dissolution</w:t>
      </w:r>
      <w:r>
        <w:rPr>
          <w:rFonts w:ascii="Times New Roman" w:cs="Times New Roman" w:eastAsia="Times New Roman" w:hAnsi="Times New Roman"/>
          <w:sz w:val="18"/>
          <w:szCs w:val="18"/>
          <w:color w:val="auto"/>
        </w:rPr>
        <w:t>” means when the Company, after having executed a certificate of dissolution with the State of Delaware (or other applicable state), has completely wound up its affairs. Conversion of the Company into a Limited Liability Company (or any other pass-through entity) will not be considered a “Dissolution” for purposes of the Plan.</w:t>
      </w:r>
    </w:p>
    <w:p>
      <w:pPr>
        <w:spacing w:after="0" w:line="170" w:lineRule="exact"/>
        <w:rPr>
          <w:rFonts w:ascii="Times New Roman" w:cs="Times New Roman" w:eastAsia="Times New Roman" w:hAnsi="Times New Roman"/>
          <w:sz w:val="18"/>
          <w:szCs w:val="18"/>
          <w:b w:val="1"/>
          <w:bCs w:val="1"/>
          <w:color w:val="auto"/>
        </w:rPr>
      </w:pPr>
    </w:p>
    <w:p>
      <w:pPr>
        <w:ind w:left="120" w:right="900" w:firstLine="987"/>
        <w:spacing w:after="0" w:line="286" w:lineRule="auto"/>
        <w:tabs>
          <w:tab w:leader="none" w:pos="1346"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of the Company shareholders approve this Plan, which is the date of the annual meeting of shareholders of the Company held on June 17, 2022, provided this Plan is approved by the Company’s shareholders at such meeting.</w:t>
      </w:r>
    </w:p>
    <w:p>
      <w:pPr>
        <w:spacing w:after="0" w:line="154" w:lineRule="exact"/>
        <w:rPr>
          <w:rFonts w:ascii="Times New Roman" w:cs="Times New Roman" w:eastAsia="Times New Roman" w:hAnsi="Times New Roman"/>
          <w:sz w:val="18"/>
          <w:szCs w:val="18"/>
          <w:b w:val="1"/>
          <w:bCs w:val="1"/>
          <w:color w:val="auto"/>
        </w:rPr>
      </w:pPr>
    </w:p>
    <w:p>
      <w:pPr>
        <w:ind w:left="120" w:firstLine="987"/>
        <w:spacing w:after="0" w:line="286" w:lineRule="auto"/>
        <w:tabs>
          <w:tab w:leader="none" w:pos="1336"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left="120" w:right="60" w:firstLine="987"/>
        <w:spacing w:after="0" w:line="270" w:lineRule="auto"/>
        <w:tabs>
          <w:tab w:leader="none" w:pos="1406" w:val="left"/>
        </w:tabs>
        <w:numPr>
          <w:ilvl w:val="1"/>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 Person</w:t>
      </w:r>
      <w:r>
        <w:rPr>
          <w:rFonts w:ascii="Times New Roman" w:cs="Times New Roman" w:eastAsia="Times New Roman" w:hAnsi="Times New Roman"/>
          <w:sz w:val="17"/>
          <w:szCs w:val="17"/>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w:t>
      </w:r>
    </w:p>
    <w:p>
      <w:pPr>
        <w:spacing w:after="0" w:line="2" w:lineRule="exact"/>
        <w:rPr>
          <w:rFonts w:ascii="Times New Roman" w:cs="Times New Roman" w:eastAsia="Times New Roman" w:hAnsi="Times New Roman"/>
          <w:sz w:val="17"/>
          <w:szCs w:val="17"/>
          <w:b w:val="1"/>
          <w:bCs w:val="1"/>
          <w:color w:val="auto"/>
        </w:rPr>
      </w:pPr>
    </w:p>
    <w:p>
      <w:pPr>
        <w:ind w:left="120" w:hanging="4"/>
        <w:spacing w:after="0" w:line="255" w:lineRule="auto"/>
        <w:tabs>
          <w:tab w:leader="none" w:pos="3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229" w:lineRule="exact"/>
        <w:rPr>
          <w:rFonts w:ascii="Times New Roman" w:cs="Times New Roman" w:eastAsia="Times New Roman" w:hAnsi="Times New Roman"/>
          <w:sz w:val="18"/>
          <w:szCs w:val="18"/>
          <w:b w:val="1"/>
          <w:bCs w:val="1"/>
          <w:color w:val="auto"/>
        </w:rPr>
      </w:pPr>
    </w:p>
    <w:p>
      <w:pPr>
        <w:jc w:val="both"/>
        <w:ind w:left="120" w:right="80" w:firstLine="1428"/>
        <w:spacing w:after="0" w:line="261" w:lineRule="auto"/>
        <w:tabs>
          <w:tab w:leader="none" w:pos="1767" w:val="left"/>
        </w:tabs>
        <w:numPr>
          <w:ilvl w:val="2"/>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79" w:lineRule="exact"/>
        <w:rPr>
          <w:rFonts w:ascii="Times New Roman" w:cs="Times New Roman" w:eastAsia="Times New Roman" w:hAnsi="Times New Roman"/>
          <w:sz w:val="18"/>
          <w:szCs w:val="18"/>
          <w:b w:val="1"/>
          <w:bCs w:val="1"/>
          <w:color w:val="auto"/>
        </w:rPr>
      </w:pPr>
    </w:p>
    <w:p>
      <w:pPr>
        <w:ind w:left="120" w:right="240" w:firstLine="1428"/>
        <w:spacing w:after="0" w:line="282" w:lineRule="auto"/>
        <w:tabs>
          <w:tab w:leader="none" w:pos="1817" w:val="left"/>
        </w:tabs>
        <w:numPr>
          <w:ilvl w:val="2"/>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1428"/>
        <w:spacing w:after="0" w:line="282" w:lineRule="auto"/>
        <w:tabs>
          <w:tab w:leader="none" w:pos="1867"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and in a manner that complies with Sections 409A and 422 of the Code.</w:t>
      </w:r>
    </w:p>
    <w:p>
      <w:pPr>
        <w:spacing w:after="0" w:line="157" w:lineRule="exact"/>
        <w:rPr>
          <w:rFonts w:ascii="Times New Roman" w:cs="Times New Roman" w:eastAsia="Times New Roman" w:hAnsi="Times New Roman"/>
          <w:sz w:val="18"/>
          <w:szCs w:val="18"/>
          <w:b w:val="1"/>
          <w:bCs w:val="1"/>
          <w:color w:val="auto"/>
        </w:rPr>
      </w:pPr>
    </w:p>
    <w:p>
      <w:pPr>
        <w:ind w:left="120" w:right="700" w:firstLine="987"/>
        <w:spacing w:after="0" w:line="286" w:lineRule="auto"/>
        <w:tabs>
          <w:tab w:leader="none" w:pos="1366"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5 of the Plan that is intended to be, and qualifies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ind w:left="120" w:right="500" w:firstLine="987"/>
        <w:spacing w:after="0" w:line="286" w:lineRule="auto"/>
        <w:tabs>
          <w:tab w:leader="none" w:pos="1356"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Effective Date</w:t>
      </w:r>
      <w:r>
        <w:rPr>
          <w:rFonts w:ascii="Times New Roman" w:cs="Times New Roman" w:eastAsia="Times New Roman" w:hAnsi="Times New Roman"/>
          <w:sz w:val="18"/>
          <w:szCs w:val="18"/>
          <w:color w:val="auto"/>
        </w:rPr>
        <w:t>” means the date the Company shareholders approved this Plan, which is the date of the annual meeting of shareholders of the Company held on June 11, 2019.</w:t>
      </w:r>
    </w:p>
    <w:p>
      <w:pPr>
        <w:spacing w:after="0" w:line="155" w:lineRule="exact"/>
        <w:rPr>
          <w:sz w:val="20"/>
          <w:szCs w:val="20"/>
          <w:color w:val="auto"/>
        </w:rPr>
      </w:pPr>
    </w:p>
    <w:p>
      <w:pPr>
        <w:ind w:left="120" w:right="80" w:firstLine="987"/>
        <w:spacing w:after="0" w:line="255" w:lineRule="auto"/>
        <w:tabs>
          <w:tab w:leader="none" w:pos="1456"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2" w:lineRule="exact"/>
        <w:rPr>
          <w:rFonts w:ascii="Times New Roman" w:cs="Times New Roman" w:eastAsia="Times New Roman" w:hAnsi="Times New Roman"/>
          <w:sz w:val="18"/>
          <w:szCs w:val="18"/>
          <w:b w:val="1"/>
          <w:bCs w:val="1"/>
          <w:color w:val="auto"/>
        </w:rPr>
      </w:pPr>
    </w:p>
    <w:p>
      <w:pPr>
        <w:ind w:left="380" w:hanging="264"/>
        <w:spacing w:after="0"/>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considered a “non-employee director” for purposes of Rule 16b-3.</w:t>
      </w:r>
    </w:p>
    <w:p>
      <w:pPr>
        <w:spacing w:after="0" w:line="202" w:lineRule="exact"/>
        <w:rPr>
          <w:rFonts w:ascii="Times New Roman" w:cs="Times New Roman" w:eastAsia="Times New Roman" w:hAnsi="Times New Roman"/>
          <w:sz w:val="18"/>
          <w:szCs w:val="18"/>
          <w:color w:val="auto"/>
        </w:rPr>
      </w:pPr>
    </w:p>
    <w:p>
      <w:pPr>
        <w:ind w:left="1480" w:hanging="373"/>
        <w:spacing w:after="0"/>
        <w:tabs>
          <w:tab w:leader="none" w:pos="1480"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5 of the Plan that does not qualify as an Incentive Stock</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w:t>
      </w:r>
    </w:p>
    <w:p>
      <w:pPr>
        <w:spacing w:after="0" w:line="202" w:lineRule="exact"/>
        <w:rPr>
          <w:rFonts w:ascii="Times New Roman" w:cs="Times New Roman" w:eastAsia="Times New Roman" w:hAnsi="Times New Roman"/>
          <w:sz w:val="18"/>
          <w:szCs w:val="18"/>
          <w:b w:val="1"/>
          <w:bCs w:val="1"/>
          <w:color w:val="auto"/>
        </w:rPr>
      </w:pPr>
    </w:p>
    <w:p>
      <w:pPr>
        <w:ind w:left="1440" w:hanging="333"/>
        <w:spacing w:after="0"/>
        <w:tabs>
          <w:tab w:leader="none" w:pos="1440"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1480" w:hanging="373"/>
        <w:spacing w:after="0"/>
        <w:tabs>
          <w:tab w:leader="none" w:pos="1480"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w:t>
      </w:r>
    </w:p>
    <w:p>
      <w:pPr>
        <w:spacing w:after="0" w:line="202" w:lineRule="exact"/>
        <w:rPr>
          <w:rFonts w:ascii="Times New Roman" w:cs="Times New Roman" w:eastAsia="Times New Roman" w:hAnsi="Times New Roman"/>
          <w:sz w:val="18"/>
          <w:szCs w:val="18"/>
          <w:b w:val="1"/>
          <w:bCs w:val="1"/>
          <w:color w:val="auto"/>
        </w:rPr>
      </w:pPr>
    </w:p>
    <w:p>
      <w:pPr>
        <w:ind w:left="120" w:right="200" w:firstLine="987"/>
        <w:spacing w:after="0" w:line="286" w:lineRule="auto"/>
        <w:tabs>
          <w:tab w:leader="none" w:pos="1436"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left="120" w:right="240" w:firstLine="987"/>
        <w:spacing w:after="0" w:line="286" w:lineRule="auto"/>
        <w:tabs>
          <w:tab w:leader="none" w:pos="1396"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4" w:lineRule="exact"/>
        <w:rPr>
          <w:rFonts w:ascii="Times New Roman" w:cs="Times New Roman" w:eastAsia="Times New Roman" w:hAnsi="Times New Roman"/>
          <w:sz w:val="18"/>
          <w:szCs w:val="18"/>
          <w:b w:val="1"/>
          <w:bCs w:val="1"/>
          <w:color w:val="auto"/>
        </w:rPr>
      </w:pPr>
    </w:p>
    <w:p>
      <w:pPr>
        <w:ind w:left="120" w:right="180" w:firstLine="987"/>
        <w:spacing w:after="0" w:line="286" w:lineRule="auto"/>
        <w:tabs>
          <w:tab w:leader="none" w:pos="1456"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6(d).</w:t>
      </w:r>
    </w:p>
    <w:p>
      <w:pPr>
        <w:spacing w:after="0" w:line="154" w:lineRule="exact"/>
        <w:rPr>
          <w:rFonts w:ascii="Times New Roman" w:cs="Times New Roman" w:eastAsia="Times New Roman" w:hAnsi="Times New Roman"/>
          <w:sz w:val="18"/>
          <w:szCs w:val="18"/>
          <w:b w:val="1"/>
          <w:bCs w:val="1"/>
          <w:color w:val="auto"/>
        </w:rPr>
      </w:pPr>
    </w:p>
    <w:p>
      <w:pPr>
        <w:ind w:left="120" w:firstLine="987"/>
        <w:spacing w:after="0" w:line="317" w:lineRule="auto"/>
        <w:tabs>
          <w:tab w:leader="none" w:pos="1476" w:val="left"/>
        </w:tabs>
        <w:numPr>
          <w:ilvl w:val="1"/>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Other Stock Award Agreement</w:t>
      </w:r>
      <w:r>
        <w:rPr>
          <w:rFonts w:ascii="Times New Roman" w:cs="Times New Roman" w:eastAsia="Times New Roman" w:hAnsi="Times New Roman"/>
          <w:sz w:val="17"/>
          <w:szCs w:val="17"/>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31" w:lineRule="exact"/>
        <w:rPr>
          <w:rFonts w:ascii="Times New Roman" w:cs="Times New Roman" w:eastAsia="Times New Roman" w:hAnsi="Times New Roman"/>
          <w:sz w:val="17"/>
          <w:szCs w:val="17"/>
          <w:b w:val="1"/>
          <w:bCs w:val="1"/>
          <w:color w:val="auto"/>
        </w:rPr>
      </w:pPr>
    </w:p>
    <w:p>
      <w:pPr>
        <w:ind w:left="120" w:right="220" w:firstLine="987"/>
        <w:spacing w:after="0" w:line="291" w:lineRule="auto"/>
        <w:tabs>
          <w:tab w:leader="none" w:pos="1376" w:val="left"/>
        </w:tabs>
        <w:numPr>
          <w:ilvl w:val="1"/>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Own,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Owned,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Owner,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Ownership</w:t>
      </w:r>
      <w:r>
        <w:rPr>
          <w:rFonts w:ascii="Times New Roman" w:cs="Times New Roman" w:eastAsia="Times New Roman" w:hAnsi="Times New Roman"/>
          <w:sz w:val="17"/>
          <w:szCs w:val="17"/>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52" w:lineRule="exact"/>
        <w:rPr>
          <w:rFonts w:ascii="Times New Roman" w:cs="Times New Roman" w:eastAsia="Times New Roman" w:hAnsi="Times New Roman"/>
          <w:sz w:val="17"/>
          <w:szCs w:val="17"/>
          <w:b w:val="1"/>
          <w:bCs w:val="1"/>
          <w:color w:val="auto"/>
        </w:rPr>
      </w:pPr>
    </w:p>
    <w:p>
      <w:pPr>
        <w:ind w:left="120" w:right="420" w:firstLine="987"/>
        <w:spacing w:after="0" w:line="286" w:lineRule="auto"/>
        <w:tabs>
          <w:tab w:leader="none" w:pos="1396"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to whom an Award is granted pursuant to the Plan or, if applicable, such other person who holds an outstanding Stock Award.</w:t>
      </w:r>
    </w:p>
    <w:p>
      <w:pPr>
        <w:spacing w:after="0" w:line="154" w:lineRule="exact"/>
        <w:rPr>
          <w:rFonts w:ascii="Times New Roman" w:cs="Times New Roman" w:eastAsia="Times New Roman" w:hAnsi="Times New Roman"/>
          <w:sz w:val="18"/>
          <w:szCs w:val="18"/>
          <w:b w:val="1"/>
          <w:bCs w:val="1"/>
          <w:color w:val="auto"/>
        </w:rPr>
      </w:pPr>
    </w:p>
    <w:p>
      <w:pPr>
        <w:ind w:left="1480" w:hanging="373"/>
        <w:spacing w:after="0"/>
        <w:tabs>
          <w:tab w:leader="none" w:pos="1480"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Cash Award</w:t>
      </w:r>
      <w:r>
        <w:rPr>
          <w:rFonts w:ascii="Times New Roman" w:cs="Times New Roman" w:eastAsia="Times New Roman" w:hAnsi="Times New Roman"/>
          <w:sz w:val="18"/>
          <w:szCs w:val="18"/>
          <w:color w:val="auto"/>
        </w:rPr>
        <w:t>” means an award of cash granted pursuant to the terms and conditions of Section 6(c)(ii).</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987"/>
        <w:spacing w:after="0" w:line="253" w:lineRule="auto"/>
        <w:tabs>
          <w:tab w:leader="none" w:pos="1376"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or Committee (as applicable) will select for purposes of establishing the Performance Goals for a Performance Period. The Performance Criteria that will be used to establish such Performance Goals may be based on any one of, or combination of, the following as determined by the Board or Committee: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(xviii) economic value added (or an equivalent metric); (xix) market share; (xx) cash flow; (xxi) cash flow per share; (xxii) share price performance; (xxiii) debt reduction; (xxiv) customer satisfaction; (xxv) stockholders’ equity; (xxvi) capital expenditures;</w:t>
      </w:r>
    </w:p>
    <w:p>
      <w:pPr>
        <w:spacing w:after="0" w:line="2"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levels; (xxviii) operating profit or net operating profit; (xxix) workforce diversity; (xxx) growth of net income or operating income;</w:t>
      </w:r>
    </w:p>
    <w:p>
      <w:pPr>
        <w:spacing w:after="0" w:line="9" w:lineRule="exact"/>
        <w:rPr>
          <w:sz w:val="20"/>
          <w:szCs w:val="20"/>
          <w:color w:val="auto"/>
        </w:rPr>
      </w:pPr>
    </w:p>
    <w:p>
      <w:pPr>
        <w:ind w:left="120" w:right="140" w:hanging="4"/>
        <w:spacing w:after="0" w:line="265" w:lineRule="auto"/>
        <w:tabs>
          <w:tab w:leader="none" w:pos="60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billings; (xxxii) pre-clinical development related compound goals; (xxxiii) financing; (xxxiv) regulatory milestones, including approval of a compound; (xxxv) stockholder liquidity; (xxvi) corporate governance and compliance; (xxxvii) product commercialization; (xxxviii) intellectual property; (xxxix) personnel matters; (xl) progress of internal research or clinical programs; (xli) progress of partnered programs; (xlii) partner satisfaction; (xliii) budget management; (xliv) clinical achievements; (xlv) completing phases of a clinical study (including the treatment phase); (xlvi) announcing or presenting preliminary or final data from clinical studies; in each case, whether on particular timelines or generally; (xlvii) timely completion of clinical trials; (xlviii) submission of INDs and NDAs and other regulatory achievements; (xlix) partner or collaborator achievements;</w:t>
      </w: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 internal controls, including those related to the Sarbanes-Oxley Act of 2002; (li) research progress, including the development of programs;</w:t>
      </w:r>
    </w:p>
    <w:p>
      <w:pPr>
        <w:spacing w:after="0" w:line="9" w:lineRule="exact"/>
        <w:rPr>
          <w:rFonts w:ascii="Times New Roman" w:cs="Times New Roman" w:eastAsia="Times New Roman" w:hAnsi="Times New Roman"/>
          <w:sz w:val="17"/>
          <w:szCs w:val="17"/>
          <w:color w:val="auto"/>
        </w:rPr>
      </w:pPr>
    </w:p>
    <w:p>
      <w:pPr>
        <w:ind w:left="120" w:right="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(lii) investor relations, analysts and communication; (liii) manufacturing achievements (including obtaining particular yields from manufacturing runs and other measurable objectives related to process development activities); (liv) strategic partnerships or transactions (including in-licensing and out-licensing of intellectual property; (lv) establishing relationships with commercial entities with respect to the marketing, distribution and sale of the Company’s products (including with group purchasing organizations, distributors and other vendors); (lvi) supply chain achievements (including establishing relationships with manufacturers or suppliers of active pharmaceutical ingredients and other component materials and manufacturers of the Company’s products); (lvii) co-development, co-marketing, profit sharing, joint venture or other similar arrangements; (lviii) individual performance goals; (lix) corporate development and planning goals; and (lx) other measures of performance selected by the Board or Committee.</w:t>
      </w:r>
    </w:p>
    <w:p>
      <w:pPr>
        <w:spacing w:after="0" w:line="184" w:lineRule="exact"/>
        <w:rPr>
          <w:rFonts w:ascii="Times New Roman" w:cs="Times New Roman" w:eastAsia="Times New Roman" w:hAnsi="Times New Roman"/>
          <w:sz w:val="17"/>
          <w:szCs w:val="17"/>
          <w:color w:val="auto"/>
        </w:rPr>
      </w:pPr>
    </w:p>
    <w:p>
      <w:pPr>
        <w:ind w:left="120" w:firstLine="987"/>
        <w:spacing w:after="0" w:line="253" w:lineRule="auto"/>
        <w:tabs>
          <w:tab w:leader="none" w:pos="1576"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or Committee (as applicable)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the Board or Committee (as applicable) retains the discretion to adjust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85" w:lineRule="exact"/>
        <w:rPr>
          <w:sz w:val="20"/>
          <w:szCs w:val="20"/>
          <w:color w:val="auto"/>
        </w:rPr>
      </w:pPr>
    </w:p>
    <w:p>
      <w:pPr>
        <w:jc w:val="both"/>
        <w:ind w:left="120" w:firstLine="987"/>
        <w:spacing w:after="0" w:line="268" w:lineRule="auto"/>
        <w:tabs>
          <w:tab w:leader="none" w:pos="1476"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or Committee (as applicable)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 or Committee.</w:t>
      </w:r>
    </w:p>
    <w:p>
      <w:pPr>
        <w:spacing w:after="0" w:line="170" w:lineRule="exact"/>
        <w:rPr>
          <w:rFonts w:ascii="Times New Roman" w:cs="Times New Roman" w:eastAsia="Times New Roman" w:hAnsi="Times New Roman"/>
          <w:sz w:val="18"/>
          <w:szCs w:val="18"/>
          <w:b w:val="1"/>
          <w:bCs w:val="1"/>
          <w:color w:val="auto"/>
        </w:rPr>
      </w:pPr>
    </w:p>
    <w:p>
      <w:pPr>
        <w:ind w:left="1460" w:hanging="353"/>
        <w:spacing w:after="0"/>
        <w:tabs>
          <w:tab w:leader="none" w:pos="14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Stock Award</w:t>
      </w:r>
      <w:r>
        <w:rPr>
          <w:rFonts w:ascii="Times New Roman" w:cs="Times New Roman" w:eastAsia="Times New Roman" w:hAnsi="Times New Roman"/>
          <w:sz w:val="18"/>
          <w:szCs w:val="18"/>
          <w:color w:val="auto"/>
        </w:rPr>
        <w:t>” means a Stock Award granted under the terms and conditions of Section 6(c)(i).</w:t>
      </w:r>
    </w:p>
    <w:p>
      <w:pPr>
        <w:spacing w:after="0" w:line="225" w:lineRule="exact"/>
        <w:rPr>
          <w:rFonts w:ascii="Times New Roman" w:cs="Times New Roman" w:eastAsia="Times New Roman" w:hAnsi="Times New Roman"/>
          <w:sz w:val="18"/>
          <w:szCs w:val="18"/>
          <w:b w:val="1"/>
          <w:bCs w:val="1"/>
          <w:color w:val="auto"/>
        </w:rPr>
      </w:pPr>
    </w:p>
    <w:p>
      <w:pPr>
        <w:ind w:left="1480" w:hanging="373"/>
        <w:spacing w:after="0"/>
        <w:tabs>
          <w:tab w:leader="none" w:pos="14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Tempest Therapeutics, Inc. Amended and Restated 2019 Equity Incentive Plan.</w:t>
      </w:r>
    </w:p>
    <w:p>
      <w:pPr>
        <w:spacing w:after="0" w:line="225" w:lineRule="exact"/>
        <w:rPr>
          <w:rFonts w:ascii="Times New Roman" w:cs="Times New Roman" w:eastAsia="Times New Roman" w:hAnsi="Times New Roman"/>
          <w:sz w:val="18"/>
          <w:szCs w:val="18"/>
          <w:b w:val="1"/>
          <w:bCs w:val="1"/>
          <w:color w:val="auto"/>
        </w:rPr>
      </w:pPr>
    </w:p>
    <w:p>
      <w:pPr>
        <w:ind w:left="1480" w:hanging="373"/>
        <w:spacing w:after="0"/>
        <w:tabs>
          <w:tab w:leader="none" w:pos="14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of shares of Common Stock which is granted pursuant to the terms and conditions of</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6(a).</w:t>
      </w:r>
    </w:p>
    <w:p>
      <w:pPr>
        <w:spacing w:after="0" w:line="202" w:lineRule="exact"/>
        <w:rPr>
          <w:rFonts w:ascii="Times New Roman" w:cs="Times New Roman" w:eastAsia="Times New Roman" w:hAnsi="Times New Roman"/>
          <w:sz w:val="18"/>
          <w:szCs w:val="18"/>
          <w:b w:val="1"/>
          <w:bCs w:val="1"/>
          <w:color w:val="auto"/>
        </w:rPr>
      </w:pPr>
    </w:p>
    <w:p>
      <w:pPr>
        <w:ind w:left="120" w:right="320" w:firstLine="987"/>
        <w:spacing w:after="0" w:line="268" w:lineRule="auto"/>
        <w:tabs>
          <w:tab w:leader="none" w:pos="1436"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120" w:right="740" w:firstLine="987"/>
        <w:spacing w:after="0" w:line="286" w:lineRule="auto"/>
        <w:tabs>
          <w:tab w:leader="none" w:pos="1416"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w:t>
      </w:r>
      <w:r>
        <w:rPr>
          <w:rFonts w:ascii="Times New Roman" w:cs="Times New Roman" w:eastAsia="Times New Roman" w:hAnsi="Times New Roman"/>
          <w:sz w:val="18"/>
          <w:szCs w:val="18"/>
          <w:color w:val="auto"/>
        </w:rPr>
        <w:t>” means a right to receive shares of Common Stock which is granted pursuant to the terms and conditions of Section 6(b).</w:t>
      </w:r>
    </w:p>
    <w:p>
      <w:pPr>
        <w:spacing w:after="0" w:line="154" w:lineRule="exact"/>
        <w:rPr>
          <w:rFonts w:ascii="Times New Roman" w:cs="Times New Roman" w:eastAsia="Times New Roman" w:hAnsi="Times New Roman"/>
          <w:sz w:val="18"/>
          <w:szCs w:val="18"/>
          <w:b w:val="1"/>
          <w:bCs w:val="1"/>
          <w:color w:val="auto"/>
        </w:rPr>
      </w:pPr>
    </w:p>
    <w:p>
      <w:pPr>
        <w:jc w:val="both"/>
        <w:ind w:left="120" w:right="100" w:firstLine="987"/>
        <w:spacing w:after="0" w:line="268" w:lineRule="auto"/>
        <w:tabs>
          <w:tab w:leader="none" w:pos="1396"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 Agreement</w:t>
      </w:r>
      <w:r>
        <w:rPr>
          <w:rFonts w:ascii="Times New Roman" w:cs="Times New Roman" w:eastAsia="Times New Roman" w:hAnsi="Times New Roman"/>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1480" w:hanging="373"/>
        <w:spacing w:after="0"/>
        <w:tabs>
          <w:tab w:leader="none" w:pos="14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rFonts w:ascii="Times New Roman" w:cs="Times New Roman" w:eastAsia="Times New Roman" w:hAnsi="Times New Roman"/>
          <w:sz w:val="18"/>
          <w:szCs w:val="18"/>
          <w:b w:val="1"/>
          <w:bCs w:val="1"/>
          <w:color w:val="auto"/>
        </w:rPr>
      </w:pPr>
    </w:p>
    <w:p>
      <w:pPr>
        <w:ind w:left="1460" w:hanging="353"/>
        <w:spacing w:after="0"/>
        <w:tabs>
          <w:tab w:leader="none" w:pos="14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120" w:right="280" w:firstLine="987"/>
        <w:spacing w:after="0" w:line="286" w:lineRule="auto"/>
        <w:tabs>
          <w:tab w:leader="none" w:pos="1536"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5.</w:t>
      </w:r>
    </w:p>
    <w:p>
      <w:pPr>
        <w:spacing w:after="0" w:line="154" w:lineRule="exact"/>
        <w:rPr>
          <w:rFonts w:ascii="Times New Roman" w:cs="Times New Roman" w:eastAsia="Times New Roman" w:hAnsi="Times New Roman"/>
          <w:sz w:val="18"/>
          <w:szCs w:val="18"/>
          <w:b w:val="1"/>
          <w:bCs w:val="1"/>
          <w:color w:val="auto"/>
        </w:rPr>
      </w:pPr>
    </w:p>
    <w:p>
      <w:pPr>
        <w:ind w:left="120" w:right="20" w:firstLine="987"/>
        <w:spacing w:after="0" w:line="268" w:lineRule="auto"/>
        <w:tabs>
          <w:tab w:leader="none" w:pos="1456"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 Agreement</w:t>
      </w:r>
      <w:r>
        <w:rPr>
          <w:rFonts w:ascii="Times New Roman" w:cs="Times New Roman" w:eastAsia="Times New Roman" w:hAnsi="Times New Roman"/>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120" w:right="200" w:firstLine="987"/>
        <w:spacing w:after="0" w:line="268" w:lineRule="auto"/>
        <w:tabs>
          <w:tab w:leader="none" w:pos="1456"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w:t>
      </w:r>
      <w:r>
        <w:rPr>
          <w:rFonts w:ascii="Times New Roman" w:cs="Times New Roman" w:eastAsia="Times New Roman" w:hAnsi="Times New Roman"/>
          <w:sz w:val="18"/>
          <w:szCs w:val="18"/>
          <w:color w:val="auto"/>
        </w:rPr>
        <w:t>” means any right to receive Common Stock granted under the Plan, including an Incentive Stock Option, a Nonstatutory Stock Option, a Restricted Stock Award, a Restricted Stock Unit Award, a Stock Appreciation Right, a Performance Stock Award or any Other Stock Award.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987"/>
        <w:spacing w:after="0" w:line="286" w:lineRule="auto"/>
        <w:tabs>
          <w:tab w:leader="none" w:pos="1436"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 Agreement</w:t>
      </w:r>
      <w:r>
        <w:rPr>
          <w:rFonts w:ascii="Times New Roman" w:cs="Times New Roman" w:eastAsia="Times New Roman" w:hAnsi="Times New Roman"/>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155" w:lineRule="exact"/>
        <w:rPr>
          <w:sz w:val="20"/>
          <w:szCs w:val="20"/>
          <w:color w:val="auto"/>
        </w:rPr>
      </w:pPr>
    </w:p>
    <w:p>
      <w:pPr>
        <w:ind w:left="120" w:right="300" w:firstLine="987"/>
        <w:spacing w:after="0" w:line="259" w:lineRule="auto"/>
        <w:tabs>
          <w:tab w:leader="none" w:pos="1546"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left="120" w:firstLine="987"/>
        <w:spacing w:after="0" w:line="286" w:lineRule="auto"/>
        <w:tabs>
          <w:tab w:leader="none" w:pos="1576"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out of or in relation to a Participant’s participation in the Plan and legally applicable or deemed applicable to the Participant.</w:t>
      </w:r>
    </w:p>
    <w:p>
      <w:pPr>
        <w:spacing w:after="0" w:line="154" w:lineRule="exact"/>
        <w:rPr>
          <w:rFonts w:ascii="Times New Roman" w:cs="Times New Roman" w:eastAsia="Times New Roman" w:hAnsi="Times New Roman"/>
          <w:sz w:val="18"/>
          <w:szCs w:val="18"/>
          <w:b w:val="1"/>
          <w:bCs w:val="1"/>
          <w:color w:val="auto"/>
        </w:rPr>
      </w:pPr>
    </w:p>
    <w:p>
      <w:pPr>
        <w:ind w:left="120" w:right="700" w:firstLine="987"/>
        <w:spacing w:after="0" w:line="286" w:lineRule="auto"/>
        <w:tabs>
          <w:tab w:leader="none" w:pos="1516"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possessing more than 10% of the total combined voting power of all classes of stock of the Company or any Affiliate.</w:t>
      </w:r>
    </w:p>
    <w:p>
      <w:pPr>
        <w:spacing w:after="0" w:line="154" w:lineRule="exact"/>
        <w:rPr>
          <w:rFonts w:ascii="Times New Roman" w:cs="Times New Roman" w:eastAsia="Times New Roman" w:hAnsi="Times New Roman"/>
          <w:sz w:val="18"/>
          <w:szCs w:val="18"/>
          <w:b w:val="1"/>
          <w:bCs w:val="1"/>
          <w:color w:val="auto"/>
        </w:rPr>
      </w:pPr>
    </w:p>
    <w:p>
      <w:pPr>
        <w:ind w:left="1580" w:hanging="473"/>
        <w:spacing w:after="0"/>
        <w:tabs>
          <w:tab w:leader="none" w:pos="15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means a Corporate Transaction or a Change in Control.</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APPENDIX 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Stock Options—Sub-Plan for French Residents</w:t>
      </w:r>
    </w:p>
    <w:p>
      <w:pPr>
        <w:spacing w:after="0" w:line="207" w:lineRule="exact"/>
        <w:rPr>
          <w:sz w:val="20"/>
          <w:szCs w:val="20"/>
          <w:color w:val="auto"/>
        </w:rPr>
      </w:pPr>
    </w:p>
    <w:p>
      <w:pPr>
        <w:ind w:left="120" w:right="140" w:firstLine="991"/>
        <w:spacing w:after="0" w:line="289" w:lineRule="auto"/>
        <w:rPr>
          <w:sz w:val="20"/>
          <w:szCs w:val="20"/>
          <w:color w:val="auto"/>
        </w:rPr>
      </w:pPr>
      <w:r>
        <w:rPr>
          <w:rFonts w:ascii="Times New Roman" w:cs="Times New Roman" w:eastAsia="Times New Roman" w:hAnsi="Times New Roman"/>
          <w:sz w:val="17"/>
          <w:szCs w:val="17"/>
          <w:color w:val="auto"/>
        </w:rPr>
        <w:t>Options granted under this French Sub-plan (also referred to as the “SO French Sub-Plan”) to an employee who is a French resident taxpayer and/or subject to the French social security scheme in France shall comply with the terms of this SO French Sub-plan. The purpose of the SO French Sub-plan is to grant Options that qualify for favorable income tax and social security tax treatment under French law (the “French Options”).</w:t>
      </w:r>
    </w:p>
    <w:p>
      <w:pPr>
        <w:spacing w:after="0" w:line="158" w:lineRule="exact"/>
        <w:rPr>
          <w:sz w:val="20"/>
          <w:szCs w:val="20"/>
          <w:color w:val="auto"/>
        </w:rPr>
      </w:pPr>
    </w:p>
    <w:p>
      <w:pPr>
        <w:jc w:val="both"/>
        <w:ind w:left="120" w:right="260" w:firstLine="991"/>
        <w:spacing w:after="0" w:line="266" w:lineRule="auto"/>
        <w:rPr>
          <w:sz w:val="20"/>
          <w:szCs w:val="20"/>
          <w:color w:val="auto"/>
        </w:rPr>
      </w:pPr>
      <w:r>
        <w:rPr>
          <w:rFonts w:ascii="Times New Roman" w:cs="Times New Roman" w:eastAsia="Times New Roman" w:hAnsi="Times New Roman"/>
          <w:sz w:val="18"/>
          <w:szCs w:val="18"/>
          <w:color w:val="auto"/>
        </w:rPr>
        <w:t>As a matter of principle, any provision included in the Plan or any other document evidencing the terms and conditions of the Plan that would contravene any substantive principle set out in Articles L. 225-177 to L. 225-186 of the French Code de Commerce shall not be applicable to Participant who are residents of France and employed or providing services in France.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1: Administration</w:t>
      </w:r>
    </w:p>
    <w:p>
      <w:pPr>
        <w:spacing w:after="0" w:line="119" w:lineRule="exact"/>
        <w:rPr>
          <w:sz w:val="20"/>
          <w:szCs w:val="20"/>
          <w:color w:val="auto"/>
        </w:rPr>
      </w:pPr>
    </w:p>
    <w:p>
      <w:pPr>
        <w:ind w:left="120" w:right="400"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unless otherwise agreed by the Board, French Options will be exercisable under the vesting schedule set out in the Plan or in the Stock Option Agreement for employees subject to taxation under the laws of France.</w:t>
      </w:r>
    </w:p>
    <w:p>
      <w:pPr>
        <w:spacing w:after="0" w:line="162"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the Board is authorized to unilaterally accelerate, reduce, lift or cancel vesting of any option granted under this SO French Sub-Plan, as may be necessary or desirable to comply with the French applicable social or tax laws.</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Notwithstanding any other provision of the Plan, the exercise price shall remain unchanged.</w:t>
      </w:r>
    </w:p>
    <w:p>
      <w:pPr>
        <w:spacing w:after="0" w:line="225" w:lineRule="exact"/>
        <w:rPr>
          <w:sz w:val="20"/>
          <w:szCs w:val="20"/>
          <w:color w:val="auto"/>
        </w:rPr>
      </w:pPr>
    </w:p>
    <w:p>
      <w:pPr>
        <w:ind w:left="120" w:right="160" w:firstLine="991"/>
        <w:spacing w:after="0" w:line="258" w:lineRule="auto"/>
        <w:rPr>
          <w:sz w:val="20"/>
          <w:szCs w:val="20"/>
          <w:color w:val="auto"/>
        </w:rPr>
      </w:pPr>
      <w:r>
        <w:rPr>
          <w:rFonts w:ascii="Times New Roman" w:cs="Times New Roman" w:eastAsia="Times New Roman" w:hAnsi="Times New Roman"/>
          <w:sz w:val="18"/>
          <w:szCs w:val="18"/>
          <w:color w:val="auto"/>
        </w:rPr>
        <w:t>Where there is an increase or change in the Company’s share capital, and more generally where one of the events provided for under Article L.225-181 of the French Commercial Code occurs, an adjustment shall be made to the number and/or purchase price of Shares, in accordance with the provisions of Article R.225-137 of the French Commercial Code. Notification of said adjustment shall be made to the Participant. In addition the total number of options granted and remaining unexercised (outstanding options) will never cover a number of shares exceeding one-third of the share capital of the Company.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2: Eligibility</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French Options may be granted only to an employee who is a French resident taxpayer and/or subject to the French social security scheme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France.</w:t>
      </w:r>
    </w:p>
    <w:p>
      <w:pPr>
        <w:spacing w:after="0" w:line="207"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For purposes of this SO French Sub-Plan, the Company is the granting Company or a Related Entity whose at least ten percent (10%) of the capital is held, directly or indirectly, by the granting Company.</w:t>
      </w:r>
    </w:p>
    <w:p>
      <w:pPr>
        <w:spacing w:after="0" w:line="162"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French Options may not be granted under this SO French Sub-Plan to Participant owning, upon the date of grant, more than ten percent (10%) of the Company’s capital shares, except as permitted under Article L. 225-185 of the French Commercial Code.</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Notwithstanding any other provision of the Plan, French Options may only be granted to individuals:</w:t>
      </w:r>
    </w:p>
    <w:p>
      <w:pPr>
        <w:spacing w:after="0" w:line="131" w:lineRule="exact"/>
        <w:rPr>
          <w:sz w:val="20"/>
          <w:szCs w:val="20"/>
          <w:color w:val="auto"/>
        </w:rPr>
      </w:pPr>
    </w:p>
    <w:p>
      <w:pPr>
        <w:ind w:left="1740" w:right="580" w:hanging="315"/>
        <w:spacing w:after="0" w:line="282" w:lineRule="auto"/>
        <w:tabs>
          <w:tab w:leader="none" w:pos="17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considered as a French tax resident subject to taxation in France and having an employment contract either with the granting Company or one of its Related Entity upon the date of grant; and/or</w:t>
      </w:r>
    </w:p>
    <w:p>
      <w:pPr>
        <w:spacing w:after="0" w:line="67" w:lineRule="exact"/>
        <w:rPr>
          <w:rFonts w:ascii="Times New Roman" w:cs="Times New Roman" w:eastAsia="Times New Roman" w:hAnsi="Times New Roman"/>
          <w:sz w:val="18"/>
          <w:szCs w:val="18"/>
          <w:color w:val="auto"/>
        </w:rPr>
      </w:pPr>
    </w:p>
    <w:p>
      <w:pPr>
        <w:ind w:left="1740" w:right="660" w:hanging="315"/>
        <w:spacing w:after="0" w:line="282" w:lineRule="auto"/>
        <w:tabs>
          <w:tab w:leader="none" w:pos="17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non-employed directors having a management function (the “président-directeur général,” the “directeur-général,” the “directeur général délégué,” the “members of the “directoire”) of a Related Entity, upon the date of grant.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080"/>
          </w:cols>
          <w:pgMar w:left="320" w:top="455"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991"/>
        <w:spacing w:after="0" w:line="312" w:lineRule="auto"/>
        <w:rPr>
          <w:sz w:val="20"/>
          <w:szCs w:val="20"/>
          <w:color w:val="auto"/>
        </w:rPr>
      </w:pPr>
      <w:r>
        <w:rPr>
          <w:rFonts w:ascii="Times New Roman" w:cs="Times New Roman" w:eastAsia="Times New Roman" w:hAnsi="Times New Roman"/>
          <w:sz w:val="17"/>
          <w:szCs w:val="17"/>
          <w:color w:val="auto"/>
        </w:rPr>
        <w:t>French Options granting the right to subscribe securities which are not admitted to trading on a regulated market may be granted only to the employees of the company granting these options or to those of the companies mentioned in Article L. 225-180, 1° of the French Commercial Code.</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3: Limitations on Grant under the SO French Sub-Plan</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the shares of the Company are admitted to trading on a regulated market:</w:t>
      </w:r>
    </w:p>
    <w:p>
      <w:pPr>
        <w:spacing w:after="0" w:line="131" w:lineRule="exact"/>
        <w:rPr>
          <w:sz w:val="20"/>
          <w:szCs w:val="20"/>
          <w:color w:val="auto"/>
        </w:rPr>
      </w:pPr>
    </w:p>
    <w:p>
      <w:pPr>
        <w:ind w:left="1540" w:hanging="331"/>
        <w:spacing w:after="0"/>
        <w:tabs>
          <w:tab w:leader="none" w:pos="1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may not be less than 80% of the average market price over the last twenty trading days preceding that day,</w:t>
      </w:r>
    </w:p>
    <w:p>
      <w:pPr>
        <w:spacing w:after="0" w:line="130"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 may be granted less than twenty trading sessions after the detachment of the shares of a coupon giving right to a dividend or a capital increase.</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Company shall not grant French Options during the closed periods required under Section L.225-177 of the French Commercial Code.</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a result, notwithstanding any other provision of the Plan, French Options cannot be granted:</w:t>
      </w:r>
    </w:p>
    <w:p>
      <w:pPr>
        <w:spacing w:after="0" w:line="131" w:lineRule="exact"/>
        <w:rPr>
          <w:sz w:val="20"/>
          <w:szCs w:val="20"/>
          <w:color w:val="auto"/>
        </w:rPr>
      </w:pPr>
    </w:p>
    <w:p>
      <w:pPr>
        <w:ind w:left="1740" w:right="480" w:hanging="315"/>
        <w:spacing w:after="0" w:line="282" w:lineRule="auto"/>
        <w:tabs>
          <w:tab w:leader="none" w:pos="17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ten (10) trading days preceding and following the date on which the consolidated accounts, or, if unavailable, the annual accounts, are made public;</w:t>
      </w:r>
    </w:p>
    <w:p>
      <w:pPr>
        <w:spacing w:after="0" w:line="67" w:lineRule="exact"/>
        <w:rPr>
          <w:rFonts w:ascii="Times New Roman" w:cs="Times New Roman" w:eastAsia="Times New Roman" w:hAnsi="Times New Roman"/>
          <w:sz w:val="18"/>
          <w:szCs w:val="18"/>
          <w:color w:val="auto"/>
        </w:rPr>
      </w:pPr>
    </w:p>
    <w:p>
      <w:pPr>
        <w:jc w:val="both"/>
        <w:ind w:left="1740" w:right="380" w:hanging="315"/>
        <w:spacing w:after="0" w:line="266" w:lineRule="auto"/>
        <w:tabs>
          <w:tab w:leader="none" w:pos="17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between the date on which the Company’s governing bodies (i.e., the Board of Directors) become aware of information which, if made public, could have a material impact on the price of the Shares, and the date ten (10) trading days after such information is made public.</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4: Restrictions on Transfer</w:t>
      </w:r>
    </w:p>
    <w:p>
      <w:pPr>
        <w:spacing w:after="0" w:line="119" w:lineRule="exact"/>
        <w:rPr>
          <w:sz w:val="20"/>
          <w:szCs w:val="20"/>
          <w:color w:val="auto"/>
        </w:rPr>
      </w:pPr>
    </w:p>
    <w:p>
      <w:pPr>
        <w:ind w:left="120" w:right="540" w:firstLine="991"/>
        <w:spacing w:after="0" w:line="282" w:lineRule="auto"/>
        <w:rPr>
          <w:sz w:val="20"/>
          <w:szCs w:val="20"/>
          <w:color w:val="auto"/>
        </w:rPr>
      </w:pPr>
      <w:r>
        <w:rPr>
          <w:rFonts w:ascii="Times New Roman" w:cs="Times New Roman" w:eastAsia="Times New Roman" w:hAnsi="Times New Roman"/>
          <w:sz w:val="18"/>
          <w:szCs w:val="18"/>
          <w:color w:val="auto"/>
        </w:rPr>
        <w:t>This Agreement is personal to the Participant and is not transferable by the Participant in any manner other than by inheritance. The French Options may be exercised during the Participant’s lifetime only by the Participant.</w:t>
      </w:r>
    </w:p>
    <w:p>
      <w:pPr>
        <w:spacing w:after="0" w:line="162" w:lineRule="exact"/>
        <w:rPr>
          <w:sz w:val="20"/>
          <w:szCs w:val="20"/>
          <w:color w:val="auto"/>
        </w:rPr>
      </w:pPr>
    </w:p>
    <w:p>
      <w:pPr>
        <w:ind w:left="120" w:right="240" w:firstLine="991"/>
        <w:spacing w:after="0" w:line="282" w:lineRule="auto"/>
        <w:rPr>
          <w:sz w:val="20"/>
          <w:szCs w:val="20"/>
          <w:color w:val="auto"/>
        </w:rPr>
      </w:pPr>
      <w:r>
        <w:rPr>
          <w:rFonts w:ascii="Times New Roman" w:cs="Times New Roman" w:eastAsia="Times New Roman" w:hAnsi="Times New Roman"/>
          <w:sz w:val="18"/>
          <w:szCs w:val="18"/>
          <w:color w:val="auto"/>
        </w:rPr>
        <w:t>In the event of death of the beneficiary during the exercise period of the French Options, the beneficiary’s heirs will have a period of six (6) months following the date of death, to exercise the option. Upon expiry of this period the option will be null and void.</w:t>
      </w:r>
    </w:p>
    <w:p>
      <w:pPr>
        <w:spacing w:after="0" w:line="162" w:lineRule="exact"/>
        <w:rPr>
          <w:sz w:val="20"/>
          <w:szCs w:val="20"/>
          <w:color w:val="auto"/>
        </w:rPr>
      </w:pPr>
    </w:p>
    <w:p>
      <w:pPr>
        <w:ind w:left="120" w:right="280" w:firstLine="991"/>
        <w:spacing w:after="0" w:line="261" w:lineRule="auto"/>
        <w:rPr>
          <w:sz w:val="20"/>
          <w:szCs w:val="20"/>
          <w:color w:val="auto"/>
        </w:rPr>
      </w:pPr>
      <w:r>
        <w:rPr>
          <w:rFonts w:ascii="Times New Roman" w:cs="Times New Roman" w:eastAsia="Times New Roman" w:hAnsi="Times New Roman"/>
          <w:sz w:val="18"/>
          <w:szCs w:val="18"/>
          <w:color w:val="auto"/>
        </w:rPr>
        <w:t>Moreover, at the time of the grant of French Options, the Board shall, if any of the Participant is an officer or director of the Company, either decide that such officer or director cannot sell the shares of Common Stock received upon Vesting or exercise of the French Options before the end of his or her functions, or determine the number of shares of Common Stock received upon Vesting of such French Options that such officer or director shall keep up to the end of his or her functions.</w:t>
      </w:r>
    </w:p>
    <w:p>
      <w:pPr>
        <w:spacing w:after="0" w:line="180" w:lineRule="exact"/>
        <w:rPr>
          <w:sz w:val="20"/>
          <w:szCs w:val="20"/>
          <w:color w:val="auto"/>
        </w:rPr>
      </w:pPr>
    </w:p>
    <w:p>
      <w:pPr>
        <w:ind w:left="120" w:right="760" w:firstLine="991"/>
        <w:spacing w:after="0" w:line="282" w:lineRule="auto"/>
        <w:rPr>
          <w:sz w:val="20"/>
          <w:szCs w:val="20"/>
          <w:color w:val="auto"/>
        </w:rPr>
      </w:pPr>
      <w:r>
        <w:rPr>
          <w:rFonts w:ascii="Times New Roman" w:cs="Times New Roman" w:eastAsia="Times New Roman" w:hAnsi="Times New Roman"/>
          <w:sz w:val="18"/>
          <w:szCs w:val="18"/>
          <w:color w:val="auto"/>
        </w:rPr>
        <w:t>The shares acquired upon exercise of the French Options shall also be subject to certain transfer restrictions and other limitations including, without limitation, the provisions contained in the present Plan.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5: Other Compliance with French Tax and Social Security Law</w:t>
      </w:r>
    </w:p>
    <w:p>
      <w:pPr>
        <w:spacing w:after="0" w:line="119"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French Options granted under the SO French Sub-plan must also comply with any other requirements set forth by the French tax and social security law as interpreted and supplemented by the French tax and social security guidelines in effect at the date of grant of such options.</w:t>
      </w:r>
    </w:p>
    <w:p>
      <w:pPr>
        <w:spacing w:after="0" w:line="162"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Except as the Company and Participant agree in writing, the Company shall not modify the terms of a French Award agreement (or this SO French Sub-plan) in such a manner as to cause the recipient to no longer benefit from the favorable tax and social contribution regimes provided by articles 80 quaterdecies and 200 A of the French Tax Code (</w:t>
      </w:r>
      <w:r>
        <w:rPr>
          <w:rFonts w:ascii="Times New Roman" w:cs="Times New Roman" w:eastAsia="Times New Roman" w:hAnsi="Times New Roman"/>
          <w:sz w:val="18"/>
          <w:szCs w:val="18"/>
          <w:i w:val="1"/>
          <w:iCs w:val="1"/>
          <w:color w:val="auto"/>
        </w:rPr>
        <w:t>Code Général des Impôts</w:t>
      </w:r>
      <w:r>
        <w:rPr>
          <w:rFonts w:ascii="Times New Roman" w:cs="Times New Roman" w:eastAsia="Times New Roman" w:hAnsi="Times New Roman"/>
          <w:sz w:val="18"/>
          <w:szCs w:val="18"/>
          <w:color w:val="auto"/>
        </w:rPr>
        <w:t>) and article L.242-1 and L.242-14 of the French Social Security Code (</w:t>
      </w:r>
      <w:r>
        <w:rPr>
          <w:rFonts w:ascii="Times New Roman" w:cs="Times New Roman" w:eastAsia="Times New Roman" w:hAnsi="Times New Roman"/>
          <w:sz w:val="18"/>
          <w:szCs w:val="18"/>
          <w:i w:val="1"/>
          <w:iCs w:val="1"/>
          <w:color w:val="auto"/>
        </w:rPr>
        <w:t>Code de la Sécurité Sociale</w:t>
      </w:r>
      <w:r>
        <w:rPr>
          <w:rFonts w:ascii="Times New Roman" w:cs="Times New Roman" w:eastAsia="Times New Roman" w:hAnsi="Times New Roman"/>
          <w:sz w:val="18"/>
          <w:szCs w:val="18"/>
          <w:color w:val="auto"/>
        </w:rPr>
        <w:t>) in connection with the grant and settlement of Award and the disposition of the shares received upon the Vesting pursuant to the Stock Option agreement, this SO French Sub-plan, and the Plan.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6: No Rights as a Shareholder</w:t>
      </w:r>
    </w:p>
    <w:p>
      <w:pPr>
        <w:spacing w:after="0" w:line="119"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The holder of a French Option shall not have any rights as a shareholder of the Company unless and until shares are issued to the holder with respect to the option.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7: Amendment or Termination of the Plan</w:t>
      </w:r>
    </w:p>
    <w:p>
      <w:pPr>
        <w:spacing w:after="0" w:line="119" w:lineRule="exact"/>
        <w:rPr>
          <w:sz w:val="20"/>
          <w:szCs w:val="20"/>
          <w:color w:val="auto"/>
        </w:rPr>
      </w:pPr>
    </w:p>
    <w:p>
      <w:pPr>
        <w:jc w:val="both"/>
        <w:ind w:left="120" w:right="200" w:firstLine="991"/>
        <w:spacing w:after="0" w:line="282" w:lineRule="auto"/>
        <w:rPr>
          <w:sz w:val="20"/>
          <w:szCs w:val="20"/>
          <w:color w:val="auto"/>
        </w:rPr>
      </w:pPr>
      <w:r>
        <w:rPr>
          <w:rFonts w:ascii="Times New Roman" w:cs="Times New Roman" w:eastAsia="Times New Roman" w:hAnsi="Times New Roman"/>
          <w:sz w:val="18"/>
          <w:szCs w:val="18"/>
          <w:color w:val="auto"/>
        </w:rPr>
        <w:t>Subject to the terms of the Plan, the Board reserves the right to amend or terminate this SO French Sub-Plan at any time, without any retroactive effect.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8: Data Protection</w:t>
      </w:r>
    </w:p>
    <w:p>
      <w:pPr>
        <w:spacing w:after="0" w:line="119" w:lineRule="exact"/>
        <w:rPr>
          <w:sz w:val="20"/>
          <w:szCs w:val="20"/>
          <w:color w:val="auto"/>
        </w:rPr>
      </w:pPr>
    </w:p>
    <w:p>
      <w:pPr>
        <w:jc w:val="both"/>
        <w:ind w:left="120" w:right="220" w:firstLine="991"/>
        <w:spacing w:after="0" w:line="266" w:lineRule="auto"/>
        <w:rPr>
          <w:sz w:val="20"/>
          <w:szCs w:val="20"/>
          <w:color w:val="auto"/>
        </w:rPr>
      </w:pPr>
      <w:r>
        <w:rPr>
          <w:rFonts w:ascii="Times New Roman" w:cs="Times New Roman" w:eastAsia="Times New Roman" w:hAnsi="Times New Roman"/>
          <w:sz w:val="18"/>
          <w:szCs w:val="18"/>
          <w:color w:val="auto"/>
        </w:rPr>
        <w:t>The Company will satisfy any notification, application or prior authorization required under applicable laws in order to comply with French and European Union data protection legislation or regulations, including but not limited to the Generation Data Protection Regulation (EU) 2016/679.</w:t>
      </w:r>
    </w:p>
    <w:p>
      <w:pPr>
        <w:spacing w:after="0" w:line="1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0900"/>
          </w:cols>
          <w:pgMar w:left="320" w:top="455" w:right="6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APPENDIX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Restricted Stock Units—Sub-Plan for French Residents</w:t>
      </w:r>
    </w:p>
    <w:p>
      <w:pPr>
        <w:spacing w:after="0" w:line="207" w:lineRule="exact"/>
        <w:rPr>
          <w:sz w:val="20"/>
          <w:szCs w:val="20"/>
          <w:color w:val="auto"/>
        </w:rPr>
      </w:pPr>
    </w:p>
    <w:p>
      <w:pPr>
        <w:ind w:left="120" w:right="260" w:firstLine="991"/>
        <w:spacing w:after="0" w:line="261" w:lineRule="auto"/>
        <w:rPr>
          <w:sz w:val="20"/>
          <w:szCs w:val="20"/>
          <w:color w:val="auto"/>
        </w:rPr>
      </w:pPr>
      <w:r>
        <w:rPr>
          <w:rFonts w:ascii="Times New Roman" w:cs="Times New Roman" w:eastAsia="Times New Roman" w:hAnsi="Times New Roman"/>
          <w:sz w:val="18"/>
          <w:szCs w:val="18"/>
          <w:color w:val="auto"/>
        </w:rPr>
        <w:t>Restricted Stock Units granted under this French Sub-plan (also referred to as the “RSU French Sub-Plan”) to an employee who is a French resident taxpayer and/or subject to the French social security scheme in France shall comply with the terms of this RSU French Sub-plan. The purpose of the RSU French Sub-plan is to grant Restricted Stock Units that qualify for favorable income tax and social security tax treatment under French law.</w:t>
      </w:r>
    </w:p>
    <w:p>
      <w:pPr>
        <w:spacing w:after="0" w:line="180"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As a matter of principle, any provision included in the Plan or any other document evidencing the terms and conditions of the Plan that would contravene any substantive principle set out in Articles L.225-197-1 to L.225-197-6 of the French Code de Commerce shall not be applicable to Participant who are residents of France and employed or providing services in France.</w:t>
      </w:r>
    </w:p>
    <w:p>
      <w:pPr>
        <w:spacing w:after="0" w:line="176"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Provided that he or she complies with the provisions of the RSU French Sub-Plan, Participants will benefit from the favorable tax and social contribution regimes provided by articles 80 quaterdecies and 200 A of the French Tax Code (</w:t>
      </w:r>
      <w:r>
        <w:rPr>
          <w:rFonts w:ascii="Times New Roman" w:cs="Times New Roman" w:eastAsia="Times New Roman" w:hAnsi="Times New Roman"/>
          <w:sz w:val="18"/>
          <w:szCs w:val="18"/>
          <w:i w:val="1"/>
          <w:iCs w:val="1"/>
          <w:color w:val="auto"/>
        </w:rPr>
        <w:t>Code Général des Impôts</w:t>
      </w:r>
      <w:r>
        <w:rPr>
          <w:rFonts w:ascii="Times New Roman" w:cs="Times New Roman" w:eastAsia="Times New Roman" w:hAnsi="Times New Roman"/>
          <w:sz w:val="18"/>
          <w:szCs w:val="18"/>
          <w:color w:val="auto"/>
        </w:rPr>
        <w:t>) and article L.242-1 of the French Social Security Code (</w:t>
      </w:r>
      <w:r>
        <w:rPr>
          <w:rFonts w:ascii="Times New Roman" w:cs="Times New Roman" w:eastAsia="Times New Roman" w:hAnsi="Times New Roman"/>
          <w:sz w:val="18"/>
          <w:szCs w:val="18"/>
          <w:i w:val="1"/>
          <w:iCs w:val="1"/>
          <w:color w:val="auto"/>
        </w:rPr>
        <w:t>Code de la Sécurité Sociale</w:t>
      </w:r>
      <w:r>
        <w:rPr>
          <w:rFonts w:ascii="Times New Roman" w:cs="Times New Roman" w:eastAsia="Times New Roman" w:hAnsi="Times New Roman"/>
          <w:sz w:val="18"/>
          <w:szCs w:val="18"/>
          <w:color w:val="auto"/>
        </w:rPr>
        <w:t>) in connection with the grant and settlement of Restricted Stock Units and the disposition of the shares received upon Vesting of the Restricted Stock Units pursuant to the Plan.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1: Definitions</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terms shall have the following meanings for purposes of this RSU French Sub-plan:</w:t>
      </w:r>
    </w:p>
    <w:p>
      <w:pPr>
        <w:spacing w:after="0" w:line="225"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“French Award or Award” means, individually or collectively, any Award granted under this RSU French Sub-Plan to Participant who are French resident taxpayers and/or subject to the French social security scheme in France.</w:t>
      </w:r>
    </w:p>
    <w:p>
      <w:pPr>
        <w:spacing w:after="0" w:line="162"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“Disability” means a physical or mental condition corresponding to the classification in the second or third categories laid down in Article L. 341-4 of the French Social Security Code (</w:t>
      </w:r>
      <w:r>
        <w:rPr>
          <w:rFonts w:ascii="Times New Roman" w:cs="Times New Roman" w:eastAsia="Times New Roman" w:hAnsi="Times New Roman"/>
          <w:sz w:val="18"/>
          <w:szCs w:val="18"/>
          <w:i w:val="1"/>
          <w:iCs w:val="1"/>
          <w:color w:val="auto"/>
        </w:rPr>
        <w:t>Code de la Sécurité Sociale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0" w:firstLine="991"/>
        <w:spacing w:after="0" w:line="289" w:lineRule="auto"/>
        <w:rPr>
          <w:sz w:val="20"/>
          <w:szCs w:val="20"/>
          <w:color w:val="auto"/>
        </w:rPr>
      </w:pPr>
      <w:r>
        <w:rPr>
          <w:rFonts w:ascii="Times New Roman" w:cs="Times New Roman" w:eastAsia="Times New Roman" w:hAnsi="Times New Roman"/>
          <w:sz w:val="17"/>
          <w:szCs w:val="17"/>
          <w:color w:val="auto"/>
        </w:rPr>
        <w:t>“Grant Date” means the date on which the Committee both (i) designates the Participant, and (ii) specifies the material terms and conditions of the Award including the number of Shares subject to each Award, the method for determining the exercise price of the Award (if any), the conditions for the vesting Award, the conditions for exercising the Award and any restrictions on the transfer or sale of the Shares subject to each Award.</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“Vesting Period” means, with respect to any French Award, the vesting period described in Section 4 below.</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“Holding Period” means, with respect to any French Award, the holding period described in Section 5 below</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2: Eligibility</w:t>
      </w:r>
    </w:p>
    <w:p>
      <w:pPr>
        <w:spacing w:after="0" w:line="133" w:lineRule="exact"/>
        <w:rPr>
          <w:sz w:val="20"/>
          <w:szCs w:val="20"/>
          <w:color w:val="auto"/>
        </w:rPr>
      </w:pPr>
    </w:p>
    <w:p>
      <w:pPr>
        <w:ind w:left="1540" w:right="100" w:hanging="331"/>
        <w:spacing w:after="0" w:line="276" w:lineRule="auto"/>
        <w:tabs>
          <w:tab w:leader="none" w:pos="15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Sections 2(b), 2(c) and 3 below, the following persons shall be eligible to receive Awards, provided that he or she also satisfies the eligibility conditions of the Plan: any Participant who, on the Grant Date and to the extent required under French law, is</w:t>
      </w:r>
    </w:p>
    <w:p>
      <w:pPr>
        <w:ind w:left="1540" w:right="1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employed under the terms and conditions of an employment contract (“contrat de travail”) with a French Entity or (2) while the Shares are traded on a regulated exchange market, a corporate officer having a management function in the French Entity, as specified under the French Commercial Code.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40" w:hanging="331"/>
        <w:spacing w:after="0" w:line="258" w:lineRule="auto"/>
        <w:tabs>
          <w:tab w:leader="none" w:pos="1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not be granted to corporate officers (as specified under the French Commercial Code) of a French Entity, other than the chairman of the board of directors (président du conseil d’administration), the chief executive officer (directeur général), the deputy chief executive officer (directeur général délégué), the members of the management board (membres du directoire) and the manager of a joint-stock company (gérant d’une société par actions), unless the officer is employed under the terms and conditions of an employment contract (“contrat de travail”) with a French Entity, as defined by French law.</w:t>
      </w:r>
    </w:p>
    <w:p>
      <w:pPr>
        <w:spacing w:after="0" w:line="88"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French Award under the RSU French Sub-plan may be granted only to a Participant who is a French resident taxpayer and/or subject to the French social security scheme in France.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3: Limitations on Grant under the RSU French Sub-Plan</w:t>
      </w:r>
    </w:p>
    <w:p>
      <w:pPr>
        <w:spacing w:after="0" w:line="119"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French Awards may not be granted to a Participant who holds more than 10% of the Company’s outstanding shares at the date of grant or a Participant who would hold more than 10% of the Company’s outstanding shares following the French Award grant.</w:t>
      </w:r>
    </w:p>
    <w:p>
      <w:pPr>
        <w:spacing w:after="0" w:line="162"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Any share of Common Stock granted in violation of this rule shall not be deemed to have been granted. Settlement of French Awards shall only be in shares; there shall be no settlement of French Awards in cash.</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aggregate number of shares underlying the Awards will not exceed 10% of the Company’s share capital.</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4: Vesting Period</w:t>
      </w:r>
    </w:p>
    <w:p>
      <w:pPr>
        <w:spacing w:after="0" w:line="119"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Except in the case of the death or Disability of the Participant, no portion of any French Award may Vest (whether such Vesting results from the achievement of one or more goals relating to the completion of service by the French Award holder and/or the achievement of performance or other objectives) until at least the first anniversary of the date of grant of such French Award.</w:t>
      </w:r>
    </w:p>
    <w:p>
      <w:pPr>
        <w:spacing w:after="0" w:line="176"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The holder of a French Award shall be 100% Vested in such French Award in the event his or her Employment is terminated by reason of death or Disability, provided, however, that if the Vesting of such French Award is based, at least in part, on performance conditions, the acceleration, if any, of such performance-based Vesting upon such death of Disability shall be determined as set forth in the applicable award agreement. In the event of death or Disability, the remaining shares subject to the Award that have not been issued as of the date the Award holder’s service relationship with the Company (and its subsidiaries) so terminates will be issued to the holder or, in the case of death, his or her heirs upon their request as provided under applicable law. In such event (either death or Disability), the Company shall issue the shares within six months of such termination, and the Holding Period, if any, will not apply to such shares, but the blackout restrictions on sale described in Section 6 will continue to apply.</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5: Holding Period</w:t>
      </w:r>
    </w:p>
    <w:p>
      <w:pPr>
        <w:spacing w:after="0" w:line="119" w:lineRule="exact"/>
        <w:rPr>
          <w:sz w:val="20"/>
          <w:szCs w:val="20"/>
          <w:color w:val="auto"/>
        </w:rPr>
      </w:pPr>
    </w:p>
    <w:p>
      <w:pPr>
        <w:ind w:left="120" w:right="40" w:firstLine="991"/>
        <w:spacing w:after="0" w:line="282" w:lineRule="auto"/>
        <w:rPr>
          <w:sz w:val="20"/>
          <w:szCs w:val="20"/>
          <w:color w:val="auto"/>
        </w:rPr>
      </w:pPr>
      <w:r>
        <w:rPr>
          <w:rFonts w:ascii="Times New Roman" w:cs="Times New Roman" w:eastAsia="Times New Roman" w:hAnsi="Times New Roman"/>
          <w:sz w:val="18"/>
          <w:szCs w:val="18"/>
          <w:color w:val="auto"/>
        </w:rPr>
        <w:t>With respect to each French Award, if the Vesting Period is shorter than two years, there shall be a one-year period following each Vesting date applicable to such French Award so that the cumulated Vesting Period and Holding Period will be at least equal to two years.</w:t>
      </w:r>
    </w:p>
    <w:p>
      <w:pPr>
        <w:spacing w:after="0" w:line="162" w:lineRule="exact"/>
        <w:rPr>
          <w:sz w:val="20"/>
          <w:szCs w:val="20"/>
          <w:color w:val="auto"/>
        </w:rPr>
      </w:pPr>
    </w:p>
    <w:p>
      <w:pPr>
        <w:jc w:val="center"/>
        <w:ind w:left="440" w:right="980"/>
        <w:spacing w:after="0" w:line="454" w:lineRule="auto"/>
        <w:rPr>
          <w:sz w:val="20"/>
          <w:szCs w:val="20"/>
          <w:color w:val="auto"/>
        </w:rPr>
      </w:pPr>
      <w:r>
        <w:rPr>
          <w:rFonts w:ascii="Times New Roman" w:cs="Times New Roman" w:eastAsia="Times New Roman" w:hAnsi="Times New Roman"/>
          <w:sz w:val="18"/>
          <w:szCs w:val="18"/>
          <w:color w:val="auto"/>
        </w:rPr>
        <w:t>During the Holding Period the Participant issued such French Award may not sell or loan any shares issued upon the Vesting. A-27</w:t>
      </w:r>
    </w:p>
    <w:p>
      <w:pPr>
        <w:sectPr>
          <w:pgSz w:w="11900" w:h="16838" w:orient="portrait"/>
          <w:cols w:equalWidth="0" w:num="1">
            <w:col w:w="11100"/>
          </w:cols>
          <w:pgMar w:left="320" w:top="455"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6: Restrictions on Sale—Black Out Periods</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Following the expiration of the Vesting and/or Holding Periods described Sections 4 and 5, shares of Common Stock issued may not be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sold:</w:t>
      </w:r>
    </w:p>
    <w:p>
      <w:pPr>
        <w:spacing w:after="0" w:line="112" w:lineRule="exact"/>
        <w:rPr>
          <w:sz w:val="20"/>
          <w:szCs w:val="20"/>
          <w:color w:val="auto"/>
        </w:rPr>
      </w:pPr>
    </w:p>
    <w:p>
      <w:pPr>
        <w:ind w:left="1540" w:hanging="331"/>
        <w:spacing w:after="0"/>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ten existing blackout periods established by the Company, which are hereby made applicable to all French Awards;</w:t>
      </w:r>
    </w:p>
    <w:p>
      <w:pPr>
        <w:spacing w:after="0" w:line="130" w:lineRule="exact"/>
        <w:rPr>
          <w:rFonts w:ascii="Times New Roman" w:cs="Times New Roman" w:eastAsia="Times New Roman" w:hAnsi="Times New Roman"/>
          <w:sz w:val="18"/>
          <w:szCs w:val="18"/>
          <w:color w:val="auto"/>
        </w:rPr>
      </w:pPr>
    </w:p>
    <w:p>
      <w:pPr>
        <w:ind w:left="1540" w:right="360" w:hanging="331"/>
        <w:spacing w:after="0" w:line="282" w:lineRule="auto"/>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ten stock exchange trading days preceding and following the date on which the Company’s consolidated accounts are made public, or failing that, the annual accounts are published;</w:t>
      </w:r>
    </w:p>
    <w:p>
      <w:pPr>
        <w:spacing w:after="0" w:line="67" w:lineRule="exact"/>
        <w:rPr>
          <w:rFonts w:ascii="Times New Roman" w:cs="Times New Roman" w:eastAsia="Times New Roman" w:hAnsi="Times New Roman"/>
          <w:sz w:val="18"/>
          <w:szCs w:val="18"/>
          <w:color w:val="auto"/>
        </w:rPr>
      </w:pPr>
    </w:p>
    <w:p>
      <w:pPr>
        <w:ind w:left="1540" w:right="40" w:hanging="331"/>
        <w:spacing w:after="0" w:line="266" w:lineRule="auto"/>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(i) the date on which the Company’s management bodies have knowledge of information which, if made public, could have a significant impact on the share price of the Common Stock; and (ii) ten stock exchange trading days following the date on which this information is published; and</w:t>
      </w:r>
    </w:p>
    <w:p>
      <w:pPr>
        <w:spacing w:after="0" w:line="81"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has nonpublic material information about the Company and such sale would violate any applicable securities laws of the United States of America or France.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7: Restrictions on Sale for Officers and Directors</w:t>
      </w:r>
    </w:p>
    <w:p>
      <w:pPr>
        <w:spacing w:after="0" w:line="119"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At the time of the grant of French Awards, the Committee shall, if any of the Participants is an officer or director of the Company, either decide that such officer or director cannot sell the shares of Common Stock received upon Vesting or exercise of the French Award before the end of his or her functions, or determine the number of shares of Common Stock received upon Vesting of such French Award that such officer or director shall keep up to the end of his or her functions.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8: Restrictions on Transfer</w:t>
      </w:r>
    </w:p>
    <w:p>
      <w:pPr>
        <w:spacing w:after="0" w:line="119" w:lineRule="exact"/>
        <w:rPr>
          <w:sz w:val="20"/>
          <w:szCs w:val="20"/>
          <w:color w:val="auto"/>
        </w:rPr>
      </w:pPr>
    </w:p>
    <w:p>
      <w:pPr>
        <w:ind w:left="120" w:right="260" w:firstLine="991"/>
        <w:spacing w:after="0" w:line="282" w:lineRule="auto"/>
        <w:rPr>
          <w:sz w:val="20"/>
          <w:szCs w:val="20"/>
          <w:color w:val="auto"/>
        </w:rPr>
      </w:pPr>
      <w:r>
        <w:rPr>
          <w:rFonts w:ascii="Times New Roman" w:cs="Times New Roman" w:eastAsia="Times New Roman" w:hAnsi="Times New Roman"/>
          <w:sz w:val="18"/>
          <w:szCs w:val="18"/>
          <w:color w:val="auto"/>
        </w:rPr>
        <w:t>Shares of Common Stock subject to French Awards may not be transferred, assigned, pledged or hypothecated in any manner until they have Vested in accordance with this RSU French Sub-plan.</w:t>
      </w:r>
    </w:p>
    <w:p>
      <w:pPr>
        <w:spacing w:after="0" w:line="162" w:lineRule="exact"/>
        <w:rPr>
          <w:sz w:val="20"/>
          <w:szCs w:val="20"/>
          <w:color w:val="auto"/>
        </w:rPr>
      </w:pPr>
    </w:p>
    <w:p>
      <w:pPr>
        <w:ind w:left="120" w:right="40" w:firstLine="991"/>
        <w:spacing w:after="0" w:line="282" w:lineRule="auto"/>
        <w:rPr>
          <w:sz w:val="20"/>
          <w:szCs w:val="20"/>
          <w:color w:val="auto"/>
        </w:rPr>
      </w:pPr>
      <w:r>
        <w:rPr>
          <w:rFonts w:ascii="Times New Roman" w:cs="Times New Roman" w:eastAsia="Times New Roman" w:hAnsi="Times New Roman"/>
          <w:sz w:val="18"/>
          <w:szCs w:val="18"/>
          <w:color w:val="auto"/>
        </w:rPr>
        <w:t>Rights granted under the RSU French Sub-plan shall not be transferable by the recipient of such grants other than by will or by the laws of descent and distribution.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9: Other Compliance with French Tax and Social Security Law</w:t>
      </w:r>
    </w:p>
    <w:p>
      <w:pPr>
        <w:spacing w:after="0" w:line="119" w:lineRule="exact"/>
        <w:rPr>
          <w:sz w:val="20"/>
          <w:szCs w:val="20"/>
          <w:color w:val="auto"/>
        </w:rPr>
      </w:pPr>
    </w:p>
    <w:p>
      <w:pPr>
        <w:ind w:left="120" w:right="360" w:firstLine="991"/>
        <w:spacing w:after="0" w:line="312" w:lineRule="auto"/>
        <w:rPr>
          <w:sz w:val="20"/>
          <w:szCs w:val="20"/>
          <w:color w:val="auto"/>
        </w:rPr>
      </w:pPr>
      <w:r>
        <w:rPr>
          <w:rFonts w:ascii="Times New Roman" w:cs="Times New Roman" w:eastAsia="Times New Roman" w:hAnsi="Times New Roman"/>
          <w:sz w:val="17"/>
          <w:szCs w:val="17"/>
          <w:color w:val="auto"/>
        </w:rPr>
        <w:t>French Awards granted under the RSU French Sub-plan must also comply with any other requirements set forth by the French tax and social security law as interpreted and supplemented by the French tax and social security guidelines in effect at the date of grant of such Awards.</w:t>
      </w:r>
    </w:p>
    <w:p>
      <w:pPr>
        <w:spacing w:after="0" w:line="140"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Except as the Company and Participant agree in writing, the Company shall not modify the terms of a French Award agreement (or this RSU French Sub-plan) in such a manner as to cause the recipient to no longer benefit from the favorable tax and social contribution regimes provided by articles 80 quaterdecies and 200 A of the French Tax Code (</w:t>
      </w:r>
      <w:r>
        <w:rPr>
          <w:rFonts w:ascii="Times New Roman" w:cs="Times New Roman" w:eastAsia="Times New Roman" w:hAnsi="Times New Roman"/>
          <w:sz w:val="18"/>
          <w:szCs w:val="18"/>
          <w:i w:val="1"/>
          <w:iCs w:val="1"/>
          <w:color w:val="auto"/>
        </w:rPr>
        <w:t>Code Général des Impôts</w:t>
      </w:r>
      <w:r>
        <w:rPr>
          <w:rFonts w:ascii="Times New Roman" w:cs="Times New Roman" w:eastAsia="Times New Roman" w:hAnsi="Times New Roman"/>
          <w:sz w:val="18"/>
          <w:szCs w:val="18"/>
          <w:color w:val="auto"/>
        </w:rPr>
        <w:t>) and article L.242-1 and L.242-14 of the French Social Security Code (</w:t>
      </w:r>
      <w:r>
        <w:rPr>
          <w:rFonts w:ascii="Times New Roman" w:cs="Times New Roman" w:eastAsia="Times New Roman" w:hAnsi="Times New Roman"/>
          <w:sz w:val="18"/>
          <w:szCs w:val="18"/>
          <w:i w:val="1"/>
          <w:iCs w:val="1"/>
          <w:color w:val="auto"/>
        </w:rPr>
        <w:t>Code de la Sécurité Sociale</w:t>
      </w:r>
      <w:r>
        <w:rPr>
          <w:rFonts w:ascii="Times New Roman" w:cs="Times New Roman" w:eastAsia="Times New Roman" w:hAnsi="Times New Roman"/>
          <w:sz w:val="18"/>
          <w:szCs w:val="18"/>
          <w:color w:val="auto"/>
        </w:rPr>
        <w:t>) in connection with the grant and settlement of Award and the disposition of the shares received upon the Vesting pursuant to the Award agreement, this RSU French Sub-plan, and the Plan.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10: No Rights as a Shareholder</w:t>
      </w:r>
    </w:p>
    <w:p>
      <w:pPr>
        <w:spacing w:after="0" w:line="119" w:lineRule="exact"/>
        <w:rPr>
          <w:sz w:val="20"/>
          <w:szCs w:val="20"/>
          <w:color w:val="auto"/>
        </w:rPr>
      </w:pPr>
    </w:p>
    <w:p>
      <w:pPr>
        <w:ind w:left="120" w:right="260" w:firstLine="991"/>
        <w:spacing w:after="0" w:line="282" w:lineRule="auto"/>
        <w:rPr>
          <w:sz w:val="20"/>
          <w:szCs w:val="20"/>
          <w:color w:val="auto"/>
        </w:rPr>
      </w:pPr>
      <w:r>
        <w:rPr>
          <w:rFonts w:ascii="Times New Roman" w:cs="Times New Roman" w:eastAsia="Times New Roman" w:hAnsi="Times New Roman"/>
          <w:sz w:val="18"/>
          <w:szCs w:val="18"/>
          <w:color w:val="auto"/>
        </w:rPr>
        <w:t>The holder of a French Award shall not have any rights as a shareholder of the Company unless and until shares are issued to the holder with respect to the Award.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12: Amendment or Termination of the Plan</w:t>
      </w:r>
    </w:p>
    <w:p>
      <w:pPr>
        <w:spacing w:after="0" w:line="119" w:lineRule="exact"/>
        <w:rPr>
          <w:sz w:val="20"/>
          <w:szCs w:val="20"/>
          <w:color w:val="auto"/>
        </w:rPr>
      </w:pPr>
    </w:p>
    <w:p>
      <w:pPr>
        <w:ind w:left="120" w:right="260" w:firstLine="991"/>
        <w:spacing w:after="0" w:line="282" w:lineRule="auto"/>
        <w:rPr>
          <w:sz w:val="20"/>
          <w:szCs w:val="20"/>
          <w:color w:val="auto"/>
        </w:rPr>
      </w:pPr>
      <w:r>
        <w:rPr>
          <w:rFonts w:ascii="Times New Roman" w:cs="Times New Roman" w:eastAsia="Times New Roman" w:hAnsi="Times New Roman"/>
          <w:sz w:val="18"/>
          <w:szCs w:val="18"/>
          <w:color w:val="auto"/>
        </w:rPr>
        <w:t>Subject to the terms of the Plan, the Committee reserves the right to amend or terminate this RSU French Sub-Plan at any time, without any retroactive effect.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13: Modification of the Share Capital</w:t>
      </w:r>
    </w:p>
    <w:p>
      <w:pPr>
        <w:spacing w:after="0" w:line="119"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If the share capital of the Company is modified during the Vesting or Holding Periods, the Awards may be adjusted in order for this change to be neutral for the Participants, provided that such adjustment has the sole purpose and consequence of preserving the rights of the Participants and that additional shares which could be issued as a result remain subject to the same requirements (including the Vesting Period and the Holding Period requirement) as those applying to the original Award.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Article 14: Data Protection</w:t>
      </w:r>
    </w:p>
    <w:p>
      <w:pPr>
        <w:spacing w:after="0" w:line="119" w:lineRule="exact"/>
        <w:rPr>
          <w:sz w:val="20"/>
          <w:szCs w:val="20"/>
          <w:color w:val="auto"/>
        </w:rPr>
      </w:pPr>
    </w:p>
    <w:p>
      <w:pPr>
        <w:jc w:val="both"/>
        <w:ind w:left="120" w:right="440" w:firstLine="991"/>
        <w:spacing w:after="0" w:line="266" w:lineRule="auto"/>
        <w:rPr>
          <w:sz w:val="20"/>
          <w:szCs w:val="20"/>
          <w:color w:val="auto"/>
        </w:rPr>
      </w:pPr>
      <w:r>
        <w:rPr>
          <w:rFonts w:ascii="Times New Roman" w:cs="Times New Roman" w:eastAsia="Times New Roman" w:hAnsi="Times New Roman"/>
          <w:sz w:val="18"/>
          <w:szCs w:val="18"/>
          <w:color w:val="auto"/>
        </w:rPr>
        <w:t>The Company will satisfy any notification, application or prior authorization required under applicable laws in order to comply with French and European Union data protection legislation or regulations, including but not limited to the Generation Data Protection Regulation (EU) 2016/679.</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 2019 EMPLOYEE STOCK PURCHASE PLAN</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AMENDED AND RESTATED BY THE BOARD OF DIRECTORS: APRIL 22, 2022</w:t>
      </w:r>
    </w:p>
    <w:p>
      <w:pPr>
        <w:spacing w:after="0" w:line="31" w:lineRule="exact"/>
        <w:rPr>
          <w:sz w:val="20"/>
          <w:szCs w:val="20"/>
          <w:color w:val="auto"/>
        </w:rPr>
      </w:pPr>
    </w:p>
    <w:p>
      <w:pPr>
        <w:jc w:val="center"/>
        <w:ind w:right="-119"/>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APPROVED BY THE STOCKHOLDERS: JUNE</w:t>
      </w:r>
      <w:r>
        <w:rPr>
          <w:sz w:val="20"/>
          <w:szCs w:val="20"/>
          <w:color w:val="auto"/>
        </w:rPr>
        <w:tab/>
      </w:r>
      <w:r>
        <w:rPr>
          <w:rFonts w:ascii="Times New Roman" w:cs="Times New Roman" w:eastAsia="Times New Roman" w:hAnsi="Times New Roman"/>
          <w:sz w:val="17"/>
          <w:szCs w:val="17"/>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-19050</wp:posOffset>
            </wp:positionV>
            <wp:extent cx="1143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31" w:lineRule="exact"/>
        <w:rPr>
          <w:sz w:val="20"/>
          <w:szCs w:val="20"/>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PURPOSE.</w:t>
      </w:r>
    </w:p>
    <w:p>
      <w:pPr>
        <w:spacing w:after="0" w:line="121" w:lineRule="exact"/>
        <w:rPr>
          <w:rFonts w:ascii="Times New Roman" w:cs="Times New Roman" w:eastAsia="Times New Roman" w:hAnsi="Times New Roman"/>
          <w:sz w:val="18"/>
          <w:szCs w:val="18"/>
          <w:b w:val="1"/>
          <w:bCs w:val="1"/>
          <w:color w:val="auto"/>
        </w:rPr>
      </w:pPr>
    </w:p>
    <w:p>
      <w:pPr>
        <w:ind w:left="120" w:firstLine="987"/>
        <w:spacing w:after="0" w:line="261" w:lineRule="auto"/>
        <w:tabs>
          <w:tab w:leader="none" w:pos="1366"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provides a means by which Eligible Employees of the Company and certain designated Related Corporations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179" w:lineRule="exact"/>
        <w:rPr>
          <w:rFonts w:ascii="Times New Roman" w:cs="Times New Roman" w:eastAsia="Times New Roman" w:hAnsi="Times New Roman"/>
          <w:sz w:val="18"/>
          <w:szCs w:val="18"/>
          <w:b w:val="1"/>
          <w:bCs w:val="1"/>
          <w:color w:val="auto"/>
        </w:rPr>
      </w:pPr>
    </w:p>
    <w:p>
      <w:pPr>
        <w:jc w:val="both"/>
        <w:ind w:left="120" w:right="20" w:firstLine="987"/>
        <w:spacing w:after="0" w:line="261" w:lineRule="auto"/>
        <w:tabs>
          <w:tab w:leader="none" w:pos="1376"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Except as otherwise provided in the Plan or determined by the Board, the Non-423 Component will operate and be administered in the same manner as the 423 Component.</w:t>
      </w:r>
    </w:p>
    <w:p>
      <w:pPr>
        <w:spacing w:after="0" w:line="179" w:lineRule="exact"/>
        <w:rPr>
          <w:rFonts w:ascii="Times New Roman" w:cs="Times New Roman" w:eastAsia="Times New Roman" w:hAnsi="Times New Roman"/>
          <w:sz w:val="18"/>
          <w:szCs w:val="18"/>
          <w:b w:val="1"/>
          <w:bCs w:val="1"/>
          <w:color w:val="auto"/>
        </w:rPr>
      </w:pPr>
    </w:p>
    <w:p>
      <w:pPr>
        <w:jc w:val="both"/>
        <w:ind w:left="120" w:right="800" w:firstLine="987"/>
        <w:spacing w:after="0" w:line="312" w:lineRule="auto"/>
        <w:tabs>
          <w:tab w:leader="none" w:pos="1356" w:val="left"/>
        </w:tabs>
        <w:numPr>
          <w:ilvl w:val="1"/>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139" w:lineRule="exact"/>
        <w:rPr>
          <w:rFonts w:ascii="Times New Roman" w:cs="Times New Roman" w:eastAsia="Times New Roman" w:hAnsi="Times New Roman"/>
          <w:sz w:val="17"/>
          <w:szCs w:val="17"/>
          <w:b w:val="1"/>
          <w:bCs w:val="1"/>
          <w:color w:val="auto"/>
        </w:rPr>
      </w:pPr>
    </w:p>
    <w:p>
      <w:pPr>
        <w:ind w:left="120" w:firstLine="987"/>
        <w:spacing w:after="0" w:line="261" w:lineRule="auto"/>
        <w:tabs>
          <w:tab w:leader="none" w:pos="136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adopted by the Company as the successor to and replacement of the Millendo Therapeutics, Inc. 2019 Employee Stock Purchase Plan (the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and amends and restates the Prior Plan in its entirety. Effective as of the approval of the Plan by the stockholders of the Company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the Prior Plan shall be terminated. Notwithstanding the foregoing, ongoing Offerings under the Prior Plan on the Effective Date will continue.</w:t>
      </w:r>
    </w:p>
    <w:p>
      <w:pPr>
        <w:spacing w:after="0" w:line="32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21" w:lineRule="exact"/>
        <w:rPr>
          <w:rFonts w:ascii="Times New Roman" w:cs="Times New Roman" w:eastAsia="Times New Roman" w:hAnsi="Times New Roman"/>
          <w:sz w:val="18"/>
          <w:szCs w:val="18"/>
          <w:b w:val="1"/>
          <w:bCs w:val="1"/>
          <w:color w:val="auto"/>
        </w:rPr>
      </w:pPr>
    </w:p>
    <w:p>
      <w:pPr>
        <w:ind w:left="120" w:right="20" w:firstLine="987"/>
        <w:spacing w:after="0" w:line="282" w:lineRule="auto"/>
        <w:tabs>
          <w:tab w:leader="none" w:pos="1366"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or the Committee will administer the Plan. References herein to the Board shall be deemed to refer to the Committee except where context dictates otherwise.</w:t>
      </w:r>
    </w:p>
    <w:p>
      <w:pPr>
        <w:spacing w:after="0" w:line="161"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5" w:lineRule="exact"/>
        <w:rPr>
          <w:rFonts w:ascii="Times New Roman" w:cs="Times New Roman" w:eastAsia="Times New Roman" w:hAnsi="Times New Roman"/>
          <w:sz w:val="18"/>
          <w:szCs w:val="18"/>
          <w:b w:val="1"/>
          <w:bCs w:val="1"/>
          <w:color w:val="auto"/>
        </w:rPr>
      </w:pPr>
    </w:p>
    <w:p>
      <w:pPr>
        <w:ind w:left="1760" w:hanging="212"/>
        <w:spacing w:after="0"/>
        <w:tabs>
          <w:tab w:leader="none" w:pos="1760"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how and when Purchase Rights will be granted and the provisions of each Offering (which need not be identical).</w:t>
      </w:r>
    </w:p>
    <w:p>
      <w:pPr>
        <w:spacing w:after="0" w:line="225" w:lineRule="exact"/>
        <w:rPr>
          <w:rFonts w:ascii="Times New Roman" w:cs="Times New Roman" w:eastAsia="Times New Roman" w:hAnsi="Times New Roman"/>
          <w:sz w:val="18"/>
          <w:szCs w:val="18"/>
          <w:b w:val="1"/>
          <w:bCs w:val="1"/>
          <w:color w:val="auto"/>
        </w:rPr>
      </w:pPr>
    </w:p>
    <w:p>
      <w:pPr>
        <w:ind w:left="1820" w:hanging="272"/>
        <w:spacing w:after="0"/>
        <w:tabs>
          <w:tab w:leader="none" w:pos="1820"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designate from time to time (A) which Related Corporations of the Company will be eligible to participate in the Plan,</w:t>
      </w:r>
    </w:p>
    <w:p>
      <w:pPr>
        <w:spacing w:after="0" w:line="27" w:lineRule="exact"/>
        <w:rPr>
          <w:sz w:val="20"/>
          <w:szCs w:val="20"/>
          <w:color w:val="auto"/>
        </w:rPr>
      </w:pPr>
    </w:p>
    <w:p>
      <w:pPr>
        <w:ind w:left="120" w:right="480" w:hanging="4"/>
        <w:spacing w:after="0" w:line="290" w:lineRule="auto"/>
        <w:tabs>
          <w:tab w:leader="none" w:pos="405"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such Related Corporations will participate in the 423 Component or the Non-423 Component, and (C) to the extent that the Company makes separate Offerings under the 423 Component, in which Offering the Related Corporations in the 423 Component will participate.</w:t>
      </w:r>
    </w:p>
    <w:p>
      <w:pPr>
        <w:spacing w:after="0" w:line="157" w:lineRule="exact"/>
        <w:rPr>
          <w:rFonts w:ascii="Times New Roman" w:cs="Times New Roman" w:eastAsia="Times New Roman" w:hAnsi="Times New Roman"/>
          <w:sz w:val="17"/>
          <w:szCs w:val="17"/>
          <w:color w:val="auto"/>
        </w:rPr>
      </w:pPr>
    </w:p>
    <w:p>
      <w:pPr>
        <w:ind w:left="120" w:right="160" w:firstLine="1428"/>
        <w:spacing w:after="0" w:line="266" w:lineRule="auto"/>
        <w:tabs>
          <w:tab w:leader="none" w:pos="1867"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860" w:hanging="312"/>
        <w:spacing w:after="0"/>
        <w:tabs>
          <w:tab w:leader="none" w:pos="1860"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Purchase Rights granted under the Plan.</w:t>
      </w:r>
    </w:p>
    <w:p>
      <w:pPr>
        <w:spacing w:after="0" w:line="225" w:lineRule="exact"/>
        <w:rPr>
          <w:rFonts w:ascii="Times New Roman" w:cs="Times New Roman" w:eastAsia="Times New Roman" w:hAnsi="Times New Roman"/>
          <w:sz w:val="18"/>
          <w:szCs w:val="18"/>
          <w:b w:val="1"/>
          <w:bCs w:val="1"/>
          <w:color w:val="auto"/>
        </w:rPr>
      </w:pPr>
    </w:p>
    <w:p>
      <w:pPr>
        <w:ind w:left="1800" w:hanging="252"/>
        <w:spacing w:after="0"/>
        <w:tabs>
          <w:tab w:leader="none" w:pos="1800"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as provided in Section 12.</w:t>
      </w:r>
    </w:p>
    <w:p>
      <w:pPr>
        <w:spacing w:after="0" w:line="225" w:lineRule="exact"/>
        <w:rPr>
          <w:rFonts w:ascii="Times New Roman" w:cs="Times New Roman" w:eastAsia="Times New Roman" w:hAnsi="Times New Roman"/>
          <w:sz w:val="18"/>
          <w:szCs w:val="18"/>
          <w:b w:val="1"/>
          <w:bCs w:val="1"/>
          <w:color w:val="auto"/>
        </w:rPr>
      </w:pPr>
    </w:p>
    <w:p>
      <w:pPr>
        <w:ind w:left="1860" w:hanging="312"/>
        <w:spacing w:after="0"/>
        <w:tabs>
          <w:tab w:leader="none" w:pos="1860"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at any time as provided in Section 12.</w:t>
      </w:r>
    </w:p>
    <w:p>
      <w:pPr>
        <w:spacing w:after="0" w:line="225" w:lineRule="exact"/>
        <w:rPr>
          <w:rFonts w:ascii="Times New Roman" w:cs="Times New Roman" w:eastAsia="Times New Roman" w:hAnsi="Times New Roman"/>
          <w:sz w:val="18"/>
          <w:szCs w:val="18"/>
          <w:b w:val="1"/>
          <w:bCs w:val="1"/>
          <w:color w:val="auto"/>
        </w:rPr>
      </w:pPr>
    </w:p>
    <w:p>
      <w:pPr>
        <w:ind w:left="120" w:right="100" w:firstLine="1428"/>
        <w:spacing w:after="0" w:line="276" w:lineRule="auto"/>
        <w:tabs>
          <w:tab w:leader="none" w:pos="1907" w:val="left"/>
        </w:tabs>
        <w:numPr>
          <w:ilvl w:val="2"/>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w:t>
      </w:r>
    </w:p>
    <w:p>
      <w:pPr>
        <w:ind w:left="440" w:hanging="324"/>
        <w:spacing w:after="0"/>
        <w:tabs>
          <w:tab w:leader="none" w:pos="4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w:t>
      </w:r>
    </w:p>
    <w:p>
      <w:pPr>
        <w:spacing w:after="0" w:line="206" w:lineRule="exact"/>
        <w:rPr>
          <w:rFonts w:ascii="Times New Roman" w:cs="Times New Roman" w:eastAsia="Times New Roman" w:hAnsi="Times New Roman"/>
          <w:sz w:val="18"/>
          <w:szCs w:val="18"/>
          <w:color w:val="auto"/>
        </w:rPr>
      </w:pPr>
    </w:p>
    <w:p>
      <w:pPr>
        <w:ind w:left="120" w:right="20" w:firstLine="1428"/>
        <w:spacing w:after="0" w:line="255" w:lineRule="auto"/>
        <w:tabs>
          <w:tab w:leader="none" w:pos="1957" w:val="left"/>
        </w:tabs>
        <w:numPr>
          <w:ilvl w:val="2"/>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who are foreign nationals or employed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Related Corporation designated for participation in the Non-423 Component, do not have to comply with the requirements of Section 423 of the Code.</w:t>
      </w:r>
    </w:p>
    <w:p>
      <w:pPr>
        <w:spacing w:after="0" w:line="188" w:lineRule="exact"/>
        <w:rPr>
          <w:rFonts w:ascii="Times New Roman" w:cs="Times New Roman" w:eastAsia="Times New Roman" w:hAnsi="Times New Roman"/>
          <w:sz w:val="18"/>
          <w:szCs w:val="18"/>
          <w:b w:val="1"/>
          <w:bCs w:val="1"/>
          <w:color w:val="auto"/>
        </w:rPr>
      </w:pPr>
    </w:p>
    <w:p>
      <w:pPr>
        <w:ind w:left="120" w:firstLine="987"/>
        <w:spacing w:after="0" w:line="256" w:lineRule="auto"/>
        <w:tabs>
          <w:tab w:leader="none" w:pos="1356"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administration is conducted by the Committee, the Committee will have, in connection with the administration of the Plan, the powers of the Board, including the power to delegate to a subcommittee any of the administrative powers the Committee is authorized to exercise (and references to the Board in this Plan and in any applicable Offering Document will thereafter be to the Committee or subcommittee, as applicable, except where context dictates otherwise), subject, however, to such resolutions, not inconsistent with the provisions of the Plan, as may be adopted from time to time. The Board retains the authority to concurrently administer the Plan with the Committee. The Board will have the final power to determine all questions of policy and expediency that may arise in the administration of the Plan.</w:t>
      </w:r>
    </w:p>
    <w:p>
      <w:pPr>
        <w:spacing w:after="0" w:line="187" w:lineRule="exact"/>
        <w:rPr>
          <w:rFonts w:ascii="Times New Roman" w:cs="Times New Roman" w:eastAsia="Times New Roman" w:hAnsi="Times New Roman"/>
          <w:sz w:val="18"/>
          <w:szCs w:val="18"/>
          <w:b w:val="1"/>
          <w:bCs w:val="1"/>
          <w:color w:val="auto"/>
        </w:rPr>
      </w:pPr>
    </w:p>
    <w:p>
      <w:pPr>
        <w:ind w:left="120" w:right="140" w:firstLine="987"/>
        <w:spacing w:after="0" w:line="282" w:lineRule="auto"/>
        <w:tabs>
          <w:tab w:leader="none" w:pos="1376"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determinations, interpretations and constructions made by the Board in good faith will not be subject to review by any person and will be final, binding and conclusive on all persons.</w:t>
      </w:r>
    </w:p>
    <w:p>
      <w:pPr>
        <w:spacing w:after="0" w:line="306"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OF COMMON STOCK SUBJECT TO THE PLAN.</w:t>
      </w:r>
    </w:p>
    <w:p>
      <w:pPr>
        <w:spacing w:after="0" w:line="121" w:lineRule="exact"/>
        <w:rPr>
          <w:rFonts w:ascii="Times New Roman" w:cs="Times New Roman" w:eastAsia="Times New Roman" w:hAnsi="Times New Roman"/>
          <w:sz w:val="18"/>
          <w:szCs w:val="18"/>
          <w:b w:val="1"/>
          <w:bCs w:val="1"/>
          <w:color w:val="auto"/>
        </w:rPr>
      </w:pPr>
    </w:p>
    <w:p>
      <w:pPr>
        <w:ind w:left="120" w:firstLine="987"/>
        <w:spacing w:after="0" w:line="253" w:lineRule="auto"/>
        <w:tabs>
          <w:tab w:leader="none" w:pos="1366"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Section 11(a) relating to Capitalization Adjustments, the maximum number of shares of Common Stock that may be issued under the Plan will not exceed 116,501 shares, which is the sum of (i) 8,905 shares of Common Stock that were approved by the Company’s stockholders on the Initial Effective Date plus (ii) 107,596 new shares of Common Stock that were approved by the Company’s stockholders at the Company’s 2022 Annual Meeting of Stockholders. In addition, subject to any adjustments as necessary to implement any Capitalization Adjustments, such aggregate number of shares of Common Stock will automatically increase on January 1st of each year for a period commencing on the first January 1 following the Effective Date and ending on (and including) January 1, 2029, in an amount equal to the lesser of (i) 1.5% of the total number of shares of Common Stock outstanding on December 31st of the preceding calendar year, and (ii) 500,000 shares of Common Stock.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firstLine="987"/>
        <w:spacing w:after="0" w:line="282" w:lineRule="auto"/>
        <w:tabs>
          <w:tab w:leader="none" w:pos="1376"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61" w:lineRule="exact"/>
        <w:rPr>
          <w:rFonts w:ascii="Times New Roman" w:cs="Times New Roman" w:eastAsia="Times New Roman" w:hAnsi="Times New Roman"/>
          <w:sz w:val="18"/>
          <w:szCs w:val="18"/>
          <w:b w:val="1"/>
          <w:bCs w:val="1"/>
          <w:color w:val="auto"/>
        </w:rPr>
      </w:pPr>
    </w:p>
    <w:p>
      <w:pPr>
        <w:ind w:left="120" w:right="660" w:firstLine="987"/>
        <w:spacing w:after="0" w:line="282" w:lineRule="auto"/>
        <w:tabs>
          <w:tab w:leader="none" w:pos="1356"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 purchasable under the Plan will be shares of authorized but unissued or reacquired Common Stock, including shares repurchased by the Company on the open market.</w:t>
      </w:r>
    </w:p>
    <w:p>
      <w:pPr>
        <w:spacing w:after="0" w:line="306"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PURCHASE RIGHTS; OFFERING.</w:t>
      </w:r>
    </w:p>
    <w:p>
      <w:pPr>
        <w:spacing w:after="0" w:line="121" w:lineRule="exact"/>
        <w:rPr>
          <w:rFonts w:ascii="Times New Roman" w:cs="Times New Roman" w:eastAsia="Times New Roman" w:hAnsi="Times New Roman"/>
          <w:sz w:val="18"/>
          <w:szCs w:val="18"/>
          <w:b w:val="1"/>
          <w:bCs w:val="1"/>
          <w:color w:val="auto"/>
        </w:rPr>
      </w:pPr>
    </w:p>
    <w:p>
      <w:pPr>
        <w:ind w:left="120" w:right="120" w:firstLine="987"/>
        <w:spacing w:after="0" w:line="254" w:lineRule="auto"/>
        <w:tabs>
          <w:tab w:leader="none" w:pos="1366"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91" w:lineRule="exact"/>
        <w:rPr>
          <w:rFonts w:ascii="Times New Roman" w:cs="Times New Roman" w:eastAsia="Times New Roman" w:hAnsi="Times New Roman"/>
          <w:sz w:val="18"/>
          <w:szCs w:val="18"/>
          <w:b w:val="1"/>
          <w:bCs w:val="1"/>
          <w:color w:val="auto"/>
        </w:rPr>
      </w:pPr>
    </w:p>
    <w:p>
      <w:pPr>
        <w:ind w:left="120" w:firstLine="987"/>
        <w:spacing w:after="0" w:line="258" w:lineRule="auto"/>
        <w:tabs>
          <w:tab w:leader="none" w:pos="1376"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3" w:lineRule="exact"/>
        <w:rPr>
          <w:rFonts w:ascii="Times New Roman" w:cs="Times New Roman" w:eastAsia="Times New Roman" w:hAnsi="Times New Roman"/>
          <w:sz w:val="18"/>
          <w:szCs w:val="18"/>
          <w:b w:val="1"/>
          <w:bCs w:val="1"/>
          <w:color w:val="auto"/>
        </w:rPr>
      </w:pPr>
    </w:p>
    <w:p>
      <w:pPr>
        <w:ind w:left="120" w:right="60" w:firstLine="987"/>
        <w:spacing w:after="0" w:line="261" w:lineRule="auto"/>
        <w:tabs>
          <w:tab w:leader="none" w:pos="1356"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324"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121" w:lineRule="exact"/>
        <w:rPr>
          <w:rFonts w:ascii="Times New Roman" w:cs="Times New Roman" w:eastAsia="Times New Roman" w:hAnsi="Times New Roman"/>
          <w:sz w:val="18"/>
          <w:szCs w:val="18"/>
          <w:b w:val="1"/>
          <w:bCs w:val="1"/>
          <w:color w:val="auto"/>
        </w:rPr>
      </w:pPr>
    </w:p>
    <w:p>
      <w:pPr>
        <w:ind w:left="120" w:firstLine="987"/>
        <w:spacing w:after="0" w:line="254" w:lineRule="auto"/>
        <w:tabs>
          <w:tab w:leader="none" w:pos="1366"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may be granted only to Employees of the Company or, as the Board may designate in accordance with Section 2(b), to Employees of a Related Corporation. Except as provided in Section 5(b) or as required by Applicable Law,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or the Related Corporation is more than 20 hours per week and more than five months per calendar year or such other criteria as the Board may determine consistent with Section 423 of the Code with respect to the 423 Component.</w:t>
      </w:r>
    </w:p>
    <w:p>
      <w:pPr>
        <w:spacing w:after="0" w:line="191" w:lineRule="exact"/>
        <w:rPr>
          <w:rFonts w:ascii="Times New Roman" w:cs="Times New Roman" w:eastAsia="Times New Roman" w:hAnsi="Times New Roman"/>
          <w:sz w:val="18"/>
          <w:szCs w:val="18"/>
          <w:b w:val="1"/>
          <w:bCs w:val="1"/>
          <w:color w:val="auto"/>
        </w:rPr>
      </w:pPr>
    </w:p>
    <w:p>
      <w:pPr>
        <w:jc w:val="both"/>
        <w:ind w:left="120" w:right="140" w:firstLine="987"/>
        <w:spacing w:after="0" w:line="261" w:lineRule="auto"/>
        <w:tabs>
          <w:tab w:leader="none" w:pos="1376"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80" w:lineRule="exact"/>
        <w:rPr>
          <w:sz w:val="20"/>
          <w:szCs w:val="20"/>
          <w:color w:val="auto"/>
        </w:rPr>
      </w:pPr>
    </w:p>
    <w:p>
      <w:pPr>
        <w:ind w:left="120" w:right="160" w:firstLine="1428"/>
        <w:spacing w:after="0" w:line="282" w:lineRule="auto"/>
        <w:tabs>
          <w:tab w:leader="none" w:pos="1767"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on which such Purchase Right is granted will be the “Offering Date” of such Purchase Right for all purposes, including determination of the exercise price of such Purchase Right;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820" w:hanging="272"/>
        <w:spacing w:after="0"/>
        <w:tabs>
          <w:tab w:leader="none" w:pos="18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period of the Offering with respect to such Purchase Right will begin on its Offering Date and end coincident with the end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Offering; and</w:t>
      </w:r>
    </w:p>
    <w:p>
      <w:pPr>
        <w:spacing w:after="0" w:line="207" w:lineRule="exact"/>
        <w:rPr>
          <w:sz w:val="20"/>
          <w:szCs w:val="20"/>
          <w:color w:val="auto"/>
        </w:rPr>
      </w:pPr>
    </w:p>
    <w:p>
      <w:pPr>
        <w:ind w:left="120" w:right="160" w:firstLine="1428"/>
        <w:spacing w:after="0" w:line="282" w:lineRule="auto"/>
        <w:tabs>
          <w:tab w:leader="none" w:pos="1867" w:val="left"/>
        </w:tabs>
        <w:numPr>
          <w:ilvl w:val="2"/>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61" w:lineRule="exact"/>
        <w:rPr>
          <w:rFonts w:ascii="Times New Roman" w:cs="Times New Roman" w:eastAsia="Times New Roman" w:hAnsi="Times New Roman"/>
          <w:sz w:val="18"/>
          <w:szCs w:val="18"/>
          <w:b w:val="1"/>
          <w:bCs w:val="1"/>
          <w:color w:val="auto"/>
        </w:rPr>
      </w:pPr>
    </w:p>
    <w:p>
      <w:pPr>
        <w:ind w:left="120" w:right="320" w:firstLine="987"/>
        <w:spacing w:after="0" w:line="258" w:lineRule="auto"/>
        <w:tabs>
          <w:tab w:leader="none" w:pos="1356"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83" w:lineRule="exact"/>
        <w:rPr>
          <w:rFonts w:ascii="Times New Roman" w:cs="Times New Roman" w:eastAsia="Times New Roman" w:hAnsi="Times New Roman"/>
          <w:sz w:val="18"/>
          <w:szCs w:val="18"/>
          <w:b w:val="1"/>
          <w:bCs w:val="1"/>
          <w:color w:val="auto"/>
        </w:rPr>
      </w:pPr>
    </w:p>
    <w:p>
      <w:pPr>
        <w:ind w:left="120" w:right="40" w:firstLine="987"/>
        <w:spacing w:after="0" w:line="258" w:lineRule="auto"/>
        <w:tabs>
          <w:tab w:leader="none" w:pos="1376"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83" w:lineRule="exact"/>
        <w:rPr>
          <w:rFonts w:ascii="Times New Roman" w:cs="Times New Roman" w:eastAsia="Times New Roman" w:hAnsi="Times New Roman"/>
          <w:sz w:val="18"/>
          <w:szCs w:val="18"/>
          <w:b w:val="1"/>
          <w:bCs w:val="1"/>
          <w:color w:val="auto"/>
        </w:rPr>
      </w:pPr>
    </w:p>
    <w:p>
      <w:pPr>
        <w:ind w:left="120" w:right="660" w:firstLine="987"/>
        <w:spacing w:after="0" w:line="266" w:lineRule="auto"/>
        <w:tabs>
          <w:tab w:leader="none" w:pos="1356"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Officers of the Company and any designated Related Corporation, if they are otherwise Eligible Employees, 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175" w:lineRule="exact"/>
        <w:rPr>
          <w:rFonts w:ascii="Times New Roman" w:cs="Times New Roman" w:eastAsia="Times New Roman" w:hAnsi="Times New Roman"/>
          <w:sz w:val="18"/>
          <w:szCs w:val="18"/>
          <w:b w:val="1"/>
          <w:bCs w:val="1"/>
          <w:color w:val="auto"/>
        </w:rPr>
      </w:pPr>
    </w:p>
    <w:p>
      <w:pPr>
        <w:jc w:val="both"/>
        <w:ind w:left="120" w:right="520" w:firstLine="987"/>
        <w:spacing w:after="0" w:line="266" w:lineRule="auto"/>
        <w:tabs>
          <w:tab w:leader="none" w:pos="1336"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320"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RIGHTS; PURCHASE PRICE.</w:t>
      </w:r>
    </w:p>
    <w:p>
      <w:pPr>
        <w:spacing w:after="0" w:line="121" w:lineRule="exact"/>
        <w:rPr>
          <w:rFonts w:ascii="Times New Roman" w:cs="Times New Roman" w:eastAsia="Times New Roman" w:hAnsi="Times New Roman"/>
          <w:sz w:val="18"/>
          <w:szCs w:val="18"/>
          <w:b w:val="1"/>
          <w:bCs w:val="1"/>
          <w:color w:val="auto"/>
        </w:rPr>
      </w:pPr>
    </w:p>
    <w:p>
      <w:pPr>
        <w:ind w:left="120" w:firstLine="987"/>
        <w:spacing w:after="0" w:line="258" w:lineRule="auto"/>
        <w:tabs>
          <w:tab w:leader="none" w:pos="1366"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83" w:lineRule="exact"/>
        <w:rPr>
          <w:rFonts w:ascii="Times New Roman" w:cs="Times New Roman" w:eastAsia="Times New Roman" w:hAnsi="Times New Roman"/>
          <w:sz w:val="18"/>
          <w:szCs w:val="18"/>
          <w:b w:val="1"/>
          <w:bCs w:val="1"/>
          <w:color w:val="auto"/>
        </w:rPr>
      </w:pPr>
    </w:p>
    <w:p>
      <w:pPr>
        <w:ind w:left="120" w:right="260" w:firstLine="987"/>
        <w:spacing w:after="0" w:line="282" w:lineRule="auto"/>
        <w:tabs>
          <w:tab w:leader="none" w:pos="1376"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61" w:lineRule="exact"/>
        <w:rPr>
          <w:rFonts w:ascii="Times New Roman" w:cs="Times New Roman" w:eastAsia="Times New Roman" w:hAnsi="Times New Roman"/>
          <w:sz w:val="18"/>
          <w:szCs w:val="18"/>
          <w:b w:val="1"/>
          <w:bCs w:val="1"/>
          <w:color w:val="auto"/>
        </w:rPr>
      </w:pPr>
    </w:p>
    <w:p>
      <w:pPr>
        <w:ind w:left="120" w:right="80" w:firstLine="987"/>
        <w:spacing w:after="0" w:line="255" w:lineRule="auto"/>
        <w:tabs>
          <w:tab w:leader="none" w:pos="1356"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80" w:hanging="273"/>
        <w:spacing w:after="0"/>
        <w:tabs>
          <w:tab w:leader="none" w:pos="1380" w:val="left"/>
        </w:tabs>
        <w:numPr>
          <w:ilvl w:val="1"/>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shares of Common Stock acquired pursuant to Purchase Rights will be not less than the lesser of:</w:t>
      </w:r>
    </w:p>
    <w:p>
      <w:pPr>
        <w:spacing w:after="0" w:line="225" w:lineRule="exact"/>
        <w:rPr>
          <w:rFonts w:ascii="Times New Roman" w:cs="Times New Roman" w:eastAsia="Times New Roman" w:hAnsi="Times New Roman"/>
          <w:sz w:val="18"/>
          <w:szCs w:val="18"/>
          <w:b w:val="1"/>
          <w:bCs w:val="1"/>
          <w:color w:val="auto"/>
        </w:rPr>
      </w:pPr>
    </w:p>
    <w:p>
      <w:pPr>
        <w:ind w:left="1760" w:hanging="212"/>
        <w:spacing w:after="0"/>
        <w:tabs>
          <w:tab w:leader="none" w:pos="1760" w:val="left"/>
        </w:tabs>
        <w:numPr>
          <w:ilvl w:val="2"/>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Offering Date; or</w:t>
      </w:r>
    </w:p>
    <w:p>
      <w:pPr>
        <w:spacing w:after="0" w:line="225" w:lineRule="exact"/>
        <w:rPr>
          <w:rFonts w:ascii="Times New Roman" w:cs="Times New Roman" w:eastAsia="Times New Roman" w:hAnsi="Times New Roman"/>
          <w:sz w:val="18"/>
          <w:szCs w:val="18"/>
          <w:b w:val="1"/>
          <w:bCs w:val="1"/>
          <w:color w:val="auto"/>
        </w:rPr>
      </w:pPr>
    </w:p>
    <w:p>
      <w:pPr>
        <w:ind w:left="1820" w:hanging="272"/>
        <w:spacing w:after="0"/>
        <w:tabs>
          <w:tab w:leader="none" w:pos="1820" w:val="left"/>
        </w:tabs>
        <w:numPr>
          <w:ilvl w:val="2"/>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applicable Purchase Date.</w:t>
      </w:r>
    </w:p>
    <w:p>
      <w:pPr>
        <w:spacing w:after="0" w:line="369"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 WITHDRAWAL; TERMINATION.</w:t>
      </w:r>
    </w:p>
    <w:p>
      <w:pPr>
        <w:spacing w:after="0" w:line="121" w:lineRule="exact"/>
        <w:rPr>
          <w:rFonts w:ascii="Times New Roman" w:cs="Times New Roman" w:eastAsia="Times New Roman" w:hAnsi="Times New Roman"/>
          <w:sz w:val="18"/>
          <w:szCs w:val="18"/>
          <w:b w:val="1"/>
          <w:bCs w:val="1"/>
          <w:color w:val="auto"/>
        </w:rPr>
      </w:pPr>
    </w:p>
    <w:p>
      <w:pPr>
        <w:ind w:left="120" w:firstLine="987"/>
        <w:spacing w:after="0" w:line="253" w:lineRule="auto"/>
        <w:tabs>
          <w:tab w:leader="none" w:pos="1366"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specifically provided in the Offering, in addition to or instead of making Contributions by payroll deductions, a Participant may make Contributions through the payment by cash or check prior to a Purchase Date.</w:t>
      </w:r>
    </w:p>
    <w:p>
      <w:pPr>
        <w:spacing w:after="0" w:line="194" w:lineRule="exact"/>
        <w:rPr>
          <w:rFonts w:ascii="Times New Roman" w:cs="Times New Roman" w:eastAsia="Times New Roman" w:hAnsi="Times New Roman"/>
          <w:sz w:val="18"/>
          <w:szCs w:val="18"/>
          <w:b w:val="1"/>
          <w:bCs w:val="1"/>
          <w:color w:val="auto"/>
        </w:rPr>
      </w:pPr>
    </w:p>
    <w:p>
      <w:pPr>
        <w:ind w:left="120" w:firstLine="987"/>
        <w:spacing w:after="0" w:line="256" w:lineRule="auto"/>
        <w:tabs>
          <w:tab w:leader="none" w:pos="1376"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87" w:lineRule="exact"/>
        <w:rPr>
          <w:rFonts w:ascii="Times New Roman" w:cs="Times New Roman" w:eastAsia="Times New Roman" w:hAnsi="Times New Roman"/>
          <w:sz w:val="18"/>
          <w:szCs w:val="18"/>
          <w:b w:val="1"/>
          <w:bCs w:val="1"/>
          <w:color w:val="auto"/>
        </w:rPr>
      </w:pPr>
    </w:p>
    <w:p>
      <w:pPr>
        <w:ind w:left="120" w:right="140" w:firstLine="987"/>
        <w:spacing w:after="0" w:line="261" w:lineRule="auto"/>
        <w:tabs>
          <w:tab w:leader="none" w:pos="1356"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to such individual as soon as practicable all of his or her accumulated but unused Contributions.</w:t>
      </w:r>
    </w:p>
    <w:p>
      <w:pPr>
        <w:spacing w:after="0" w:line="179" w:lineRule="exact"/>
        <w:rPr>
          <w:rFonts w:ascii="Times New Roman" w:cs="Times New Roman" w:eastAsia="Times New Roman" w:hAnsi="Times New Roman"/>
          <w:sz w:val="18"/>
          <w:szCs w:val="18"/>
          <w:b w:val="1"/>
          <w:bCs w:val="1"/>
          <w:color w:val="auto"/>
        </w:rPr>
      </w:pPr>
    </w:p>
    <w:p>
      <w:pPr>
        <w:ind w:left="120" w:right="40" w:firstLine="987"/>
        <w:spacing w:after="0" w:line="254" w:lineRule="auto"/>
        <w:tabs>
          <w:tab w:leader="none" w:pos="1376"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determined by the Board, a Participant whose employment transfers or whose employment terminates with an immediate rehire (with no break in service) by or between the Company and a Related Corporation that has been designated for participation in the Plan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00"/>
          </w:cols>
          <w:pgMar w:left="320" w:top="455"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987"/>
        <w:spacing w:after="0" w:line="266" w:lineRule="auto"/>
        <w:tabs>
          <w:tab w:leader="none" w:pos="1356"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75" w:lineRule="exact"/>
        <w:rPr>
          <w:rFonts w:ascii="Times New Roman" w:cs="Times New Roman" w:eastAsia="Times New Roman" w:hAnsi="Times New Roman"/>
          <w:sz w:val="18"/>
          <w:szCs w:val="18"/>
          <w:b w:val="1"/>
          <w:bCs w:val="1"/>
          <w:color w:val="auto"/>
        </w:rPr>
      </w:pPr>
    </w:p>
    <w:p>
      <w:pPr>
        <w:ind w:left="1340" w:hanging="233"/>
        <w:spacing w:after="0"/>
        <w:tabs>
          <w:tab w:leader="none" w:pos="1340"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specified in the Offering or required by Applicable Law, the Company will have no obligation to pay interest on</w:t>
      </w:r>
    </w:p>
    <w:p>
      <w:pPr>
        <w:spacing w:after="0" w:line="2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Contributions.</w:t>
      </w:r>
    </w:p>
    <w:p>
      <w:pPr>
        <w:spacing w:after="0" w:line="351"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PURCHASE RIGHTS.</w:t>
      </w:r>
    </w:p>
    <w:p>
      <w:pPr>
        <w:spacing w:after="0" w:line="121" w:lineRule="exact"/>
        <w:rPr>
          <w:rFonts w:ascii="Times New Roman" w:cs="Times New Roman" w:eastAsia="Times New Roman" w:hAnsi="Times New Roman"/>
          <w:sz w:val="18"/>
          <w:szCs w:val="18"/>
          <w:b w:val="1"/>
          <w:bCs w:val="1"/>
          <w:color w:val="auto"/>
        </w:rPr>
      </w:pPr>
    </w:p>
    <w:p>
      <w:pPr>
        <w:jc w:val="both"/>
        <w:ind w:left="120" w:right="140" w:firstLine="987"/>
        <w:spacing w:after="0" w:line="266" w:lineRule="auto"/>
        <w:tabs>
          <w:tab w:leader="none" w:pos="1366"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75" w:lineRule="exact"/>
        <w:rPr>
          <w:rFonts w:ascii="Times New Roman" w:cs="Times New Roman" w:eastAsia="Times New Roman" w:hAnsi="Times New Roman"/>
          <w:sz w:val="18"/>
          <w:szCs w:val="18"/>
          <w:b w:val="1"/>
          <w:bCs w:val="1"/>
          <w:color w:val="auto"/>
        </w:rPr>
      </w:pPr>
    </w:p>
    <w:p>
      <w:pPr>
        <w:ind w:left="120" w:right="40" w:firstLine="987"/>
        <w:spacing w:after="0" w:line="254" w:lineRule="auto"/>
        <w:tabs>
          <w:tab w:leader="none" w:pos="1376"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the payment of interest is otherwise required by Applicable Law).</w:t>
      </w:r>
    </w:p>
    <w:p>
      <w:pPr>
        <w:spacing w:after="0" w:line="188" w:lineRule="exact"/>
        <w:rPr>
          <w:rFonts w:ascii="Times New Roman" w:cs="Times New Roman" w:eastAsia="Times New Roman" w:hAnsi="Times New Roman"/>
          <w:sz w:val="18"/>
          <w:szCs w:val="18"/>
          <w:b w:val="1"/>
          <w:bCs w:val="1"/>
          <w:color w:val="auto"/>
        </w:rPr>
      </w:pPr>
    </w:p>
    <w:p>
      <w:pPr>
        <w:ind w:left="120" w:firstLine="987"/>
        <w:spacing w:after="0" w:line="254" w:lineRule="auto"/>
        <w:tabs>
          <w:tab w:leader="none" w:pos="1356"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as soon as practicable to the Participants without interest (unless the payment of interest is otherwise required by Applicable Law).</w:t>
      </w:r>
    </w:p>
    <w:p>
      <w:pPr>
        <w:spacing w:after="0" w:line="332"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COMPANY.</w:t>
      </w:r>
    </w:p>
    <w:p>
      <w:pPr>
        <w:spacing w:after="0" w:line="121"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The Company will seek to obtain from each U.S. federal or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DESIGNATION OF BENEFICIARY.</w:t>
      </w:r>
    </w:p>
    <w:p>
      <w:pPr>
        <w:spacing w:after="0" w:line="121" w:lineRule="exact"/>
        <w:rPr>
          <w:rFonts w:ascii="Times New Roman" w:cs="Times New Roman" w:eastAsia="Times New Roman" w:hAnsi="Times New Roman"/>
          <w:sz w:val="18"/>
          <w:szCs w:val="18"/>
          <w:b w:val="1"/>
          <w:bCs w:val="1"/>
          <w:color w:val="auto"/>
        </w:rPr>
      </w:pPr>
    </w:p>
    <w:p>
      <w:pPr>
        <w:jc w:val="both"/>
        <w:ind w:left="120" w:right="80" w:firstLine="987"/>
        <w:spacing w:after="0" w:line="261" w:lineRule="auto"/>
        <w:tabs>
          <w:tab w:leader="none" w:pos="1366"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79" w:lineRule="exact"/>
        <w:rPr>
          <w:rFonts w:ascii="Times New Roman" w:cs="Times New Roman" w:eastAsia="Times New Roman" w:hAnsi="Times New Roman"/>
          <w:sz w:val="18"/>
          <w:szCs w:val="18"/>
          <w:b w:val="1"/>
          <w:bCs w:val="1"/>
          <w:color w:val="auto"/>
        </w:rPr>
      </w:pPr>
    </w:p>
    <w:p>
      <w:pPr>
        <w:ind w:left="120" w:right="60" w:firstLine="987"/>
        <w:spacing w:after="0" w:line="258" w:lineRule="auto"/>
        <w:tabs>
          <w:tab w:leader="none" w:pos="1376"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327"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UPON CHANGES IN COMMON STOCK; CORPORATE TRANSACTIONS.</w:t>
      </w:r>
    </w:p>
    <w:p>
      <w:pPr>
        <w:spacing w:after="0" w:line="121" w:lineRule="exact"/>
        <w:rPr>
          <w:rFonts w:ascii="Times New Roman" w:cs="Times New Roman" w:eastAsia="Times New Roman" w:hAnsi="Times New Roman"/>
          <w:sz w:val="18"/>
          <w:szCs w:val="18"/>
          <w:b w:val="1"/>
          <w:bCs w:val="1"/>
          <w:color w:val="auto"/>
        </w:rPr>
      </w:pPr>
    </w:p>
    <w:p>
      <w:pPr>
        <w:ind w:left="120" w:right="60" w:firstLine="987"/>
        <w:spacing w:after="0" w:line="258" w:lineRule="auto"/>
        <w:tabs>
          <w:tab w:leader="none" w:pos="1366"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83" w:lineRule="exact"/>
        <w:rPr>
          <w:rFonts w:ascii="Times New Roman" w:cs="Times New Roman" w:eastAsia="Times New Roman" w:hAnsi="Times New Roman"/>
          <w:sz w:val="18"/>
          <w:szCs w:val="18"/>
          <w:b w:val="1"/>
          <w:bCs w:val="1"/>
          <w:color w:val="auto"/>
        </w:rPr>
      </w:pPr>
    </w:p>
    <w:p>
      <w:pPr>
        <w:ind w:left="120" w:right="320" w:firstLine="987"/>
        <w:spacing w:after="0" w:line="256" w:lineRule="auto"/>
        <w:tabs>
          <w:tab w:leader="none" w:pos="1376"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within ten business days prior to the Corporate Transaction under the outstanding Purchase Rights, and the Purchase Rights will terminate immediately after such purchase.</w:t>
      </w:r>
    </w:p>
    <w:p>
      <w:pPr>
        <w:spacing w:after="0" w:line="331"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TERMINATION OR SUSPENSION OF THE PLAN.</w:t>
      </w:r>
    </w:p>
    <w:p>
      <w:pPr>
        <w:spacing w:after="0" w:line="121" w:lineRule="exact"/>
        <w:rPr>
          <w:rFonts w:ascii="Times New Roman" w:cs="Times New Roman" w:eastAsia="Times New Roman" w:hAnsi="Times New Roman"/>
          <w:sz w:val="18"/>
          <w:szCs w:val="18"/>
          <w:b w:val="1"/>
          <w:bCs w:val="1"/>
          <w:color w:val="auto"/>
        </w:rPr>
      </w:pPr>
    </w:p>
    <w:p>
      <w:pPr>
        <w:ind w:left="120" w:right="320" w:firstLine="987"/>
        <w:spacing w:after="0" w:line="266" w:lineRule="auto"/>
        <w:tabs>
          <w:tab w:leader="none" w:pos="1366"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w:t>
      </w:r>
    </w:p>
    <w:p>
      <w:pPr>
        <w:spacing w:after="0" w:line="175" w:lineRule="exact"/>
        <w:rPr>
          <w:rFonts w:ascii="Times New Roman" w:cs="Times New Roman" w:eastAsia="Times New Roman" w:hAnsi="Times New Roman"/>
          <w:sz w:val="18"/>
          <w:szCs w:val="18"/>
          <w:b w:val="1"/>
          <w:bCs w:val="1"/>
          <w:color w:val="auto"/>
        </w:rPr>
      </w:pPr>
    </w:p>
    <w:p>
      <w:pPr>
        <w:ind w:left="120" w:right="620" w:firstLine="987"/>
        <w:spacing w:after="0" w:line="282" w:lineRule="auto"/>
        <w:tabs>
          <w:tab w:leader="none" w:pos="1376"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suspend or terminate the Plan at any time. No Purchase Rights may be granted under the Plan while the Plan is suspended or after it is terminated.</w:t>
      </w:r>
    </w:p>
    <w:p>
      <w:pPr>
        <w:spacing w:after="0" w:line="161" w:lineRule="exact"/>
        <w:rPr>
          <w:rFonts w:ascii="Times New Roman" w:cs="Times New Roman" w:eastAsia="Times New Roman" w:hAnsi="Times New Roman"/>
          <w:sz w:val="18"/>
          <w:szCs w:val="18"/>
          <w:b w:val="1"/>
          <w:bCs w:val="1"/>
          <w:color w:val="auto"/>
        </w:rPr>
      </w:pPr>
    </w:p>
    <w:p>
      <w:pPr>
        <w:ind w:left="120" w:firstLine="987"/>
        <w:spacing w:after="0" w:line="256" w:lineRule="auto"/>
        <w:tabs>
          <w:tab w:leader="none" w:pos="1356"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12" w:lineRule="auto"/>
        <w:rPr>
          <w:sz w:val="20"/>
          <w:szCs w:val="20"/>
          <w:color w:val="auto"/>
        </w:rPr>
      </w:pPr>
      <w:r>
        <w:rPr>
          <w:rFonts w:ascii="Times New Roman" w:cs="Times New Roman" w:eastAsia="Times New Roman" w:hAnsi="Times New Roman"/>
          <w:sz w:val="17"/>
          <w:szCs w:val="17"/>
          <w:color w:val="auto"/>
        </w:rPr>
        <w:t>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w:t>
      </w:r>
    </w:p>
    <w:p>
      <w:pPr>
        <w:spacing w:after="0" w:line="140"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333"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QUALIFICATION; TAX WITHHOLDING.</w:t>
      </w:r>
    </w:p>
    <w:p>
      <w:pPr>
        <w:spacing w:after="0" w:line="121" w:lineRule="exact"/>
        <w:rPr>
          <w:rFonts w:ascii="Times New Roman" w:cs="Times New Roman" w:eastAsia="Times New Roman" w:hAnsi="Times New Roman"/>
          <w:sz w:val="18"/>
          <w:szCs w:val="18"/>
          <w:b w:val="1"/>
          <w:bCs w:val="1"/>
          <w:color w:val="auto"/>
        </w:rPr>
      </w:pPr>
    </w:p>
    <w:p>
      <w:pPr>
        <w:ind w:left="120" w:right="40" w:firstLine="987"/>
        <w:spacing w:after="0" w:line="261" w:lineRule="auto"/>
        <w:tabs>
          <w:tab w:leader="none" w:pos="1366"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179" w:lineRule="exact"/>
        <w:rPr>
          <w:rFonts w:ascii="Times New Roman" w:cs="Times New Roman" w:eastAsia="Times New Roman" w:hAnsi="Times New Roman"/>
          <w:sz w:val="18"/>
          <w:szCs w:val="18"/>
          <w:b w:val="1"/>
          <w:bCs w:val="1"/>
          <w:color w:val="auto"/>
        </w:rPr>
      </w:pPr>
    </w:p>
    <w:p>
      <w:pPr>
        <w:ind w:left="120" w:firstLine="987"/>
        <w:spacing w:after="0" w:line="261" w:lineRule="auto"/>
        <w:tabs>
          <w:tab w:leader="none" w:pos="1376"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Participant will make arrangements, satisfactory to the Company and any applicable Related Corporation, to enable the Company or the Related Corporation to fulfill any withholding obligation for Tax-Related Items. Without limitation to the foregoing, the amount necessary to satisfy such withholding obligation may be withheld (i) from the Participant’s salary or any other cash payment due to the Participant from the Company or a Related Corporation or (ii) from the proceeds of the sale of shares of Common Stock acquired under the Plan.</w:t>
      </w:r>
    </w:p>
    <w:p>
      <w:pPr>
        <w:spacing w:after="0" w:line="324"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OF PLAN.</w:t>
      </w:r>
    </w:p>
    <w:p>
      <w:pPr>
        <w:spacing w:after="0" w:line="121" w:lineRule="exact"/>
        <w:rPr>
          <w:sz w:val="20"/>
          <w:szCs w:val="20"/>
          <w:color w:val="auto"/>
        </w:rPr>
      </w:pPr>
    </w:p>
    <w:p>
      <w:pPr>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The Plan will become effective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320"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PROVISIONS.</w:t>
      </w:r>
    </w:p>
    <w:p>
      <w:pPr>
        <w:spacing w:after="0" w:line="121"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Proceeds from the sale of shares of Common Stock pursuant to Purchase Rights will constitute general funds of the Company.</w:t>
      </w:r>
    </w:p>
    <w:p>
      <w:pPr>
        <w:spacing w:after="0" w:line="225" w:lineRule="exact"/>
        <w:rPr>
          <w:rFonts w:ascii="Times New Roman" w:cs="Times New Roman" w:eastAsia="Times New Roman" w:hAnsi="Times New Roman"/>
          <w:sz w:val="18"/>
          <w:szCs w:val="18"/>
          <w:b w:val="1"/>
          <w:bCs w:val="1"/>
          <w:color w:val="auto"/>
        </w:rPr>
      </w:pPr>
    </w:p>
    <w:p>
      <w:pPr>
        <w:ind w:left="120" w:right="140" w:firstLine="987"/>
        <w:spacing w:after="0" w:line="266" w:lineRule="auto"/>
        <w:tabs>
          <w:tab w:leader="none" w:pos="1376"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75" w:lineRule="exact"/>
        <w:rPr>
          <w:rFonts w:ascii="Times New Roman" w:cs="Times New Roman" w:eastAsia="Times New Roman" w:hAnsi="Times New Roman"/>
          <w:sz w:val="18"/>
          <w:szCs w:val="18"/>
          <w:b w:val="1"/>
          <w:bCs w:val="1"/>
          <w:color w:val="auto"/>
        </w:rPr>
      </w:pPr>
    </w:p>
    <w:p>
      <w:pPr>
        <w:ind w:left="120" w:right="40" w:firstLine="987"/>
        <w:spacing w:after="0" w:line="266" w:lineRule="auto"/>
        <w:tabs>
          <w:tab w:leader="none" w:pos="1356"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and Offering do not constitute an employment contract. Nothing in the Plan or in the Offering will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380" w:hanging="273"/>
        <w:spacing w:after="0"/>
        <w:tabs>
          <w:tab w:leader="none" w:pos="1380"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the Plan will be governed by the laws of the State of California without resort to that state’s conflict of laws rules.</w:t>
      </w:r>
    </w:p>
    <w:p>
      <w:pPr>
        <w:spacing w:after="0" w:line="369"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21" w:lineRule="exact"/>
        <w:rPr>
          <w:sz w:val="20"/>
          <w:szCs w:val="20"/>
          <w:color w:val="auto"/>
        </w:rPr>
      </w:pPr>
    </w:p>
    <w:p>
      <w:pPr>
        <w:ind w:left="120" w:firstLine="987"/>
        <w:spacing w:after="0" w:line="286" w:lineRule="auto"/>
        <w:tabs>
          <w:tab w:leader="none" w:pos="1366"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423 Component</w:t>
      </w:r>
      <w:r>
        <w:rPr>
          <w:rFonts w:ascii="Times New Roman" w:cs="Times New Roman" w:eastAsia="Times New Roman" w:hAnsi="Times New Roman"/>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154" w:lineRule="exact"/>
        <w:rPr>
          <w:rFonts w:ascii="Times New Roman" w:cs="Times New Roman" w:eastAsia="Times New Roman" w:hAnsi="Times New Roman"/>
          <w:sz w:val="18"/>
          <w:szCs w:val="18"/>
          <w:b w:val="1"/>
          <w:bCs w:val="1"/>
          <w:color w:val="auto"/>
        </w:rPr>
      </w:pPr>
    </w:p>
    <w:p>
      <w:pPr>
        <w:ind w:left="120" w:right="100" w:firstLine="987"/>
        <w:spacing w:after="0" w:line="262" w:lineRule="auto"/>
        <w:tabs>
          <w:tab w:leader="none" w:pos="1376"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NASDAQ Stock Market or the Financial Industry Regulatory Authority).</w:t>
      </w:r>
    </w:p>
    <w:p>
      <w:pPr>
        <w:spacing w:after="0" w:line="176"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120" w:firstLine="987"/>
        <w:spacing w:after="0" w:line="275" w:lineRule="auto"/>
        <w:tabs>
          <w:tab w:leader="none" w:pos="1376"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8" w:lineRule="exact"/>
        <w:rPr>
          <w:rFonts w:ascii="Times New Roman" w:cs="Times New Roman" w:eastAsia="Times New Roman" w:hAnsi="Times New Roman"/>
          <w:sz w:val="17"/>
          <w:szCs w:val="17"/>
          <w:b w:val="1"/>
          <w:bCs w:val="1"/>
          <w:color w:val="auto"/>
        </w:rPr>
      </w:pPr>
    </w:p>
    <w:p>
      <w:pPr>
        <w:ind w:left="1360" w:hanging="253"/>
        <w:spacing w:after="0"/>
        <w:tabs>
          <w:tab w:leader="none" w:pos="13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r>
        <w:rPr>
          <w:rFonts w:ascii="Times New Roman" w:cs="Times New Roman" w:eastAsia="Times New Roman" w:hAnsi="Times New Roman"/>
          <w:sz w:val="18"/>
          <w:szCs w:val="18"/>
          <w:i w:val="1"/>
          <w:i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120" w:right="660" w:firstLine="987"/>
        <w:spacing w:after="0" w:line="286" w:lineRule="auto"/>
        <w:tabs>
          <w:tab w:leader="none" w:pos="1336"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members of the Board to whom authority has been delegated by the Board in accordance with Section 2(c).</w:t>
      </w:r>
    </w:p>
    <w:p>
      <w:pPr>
        <w:spacing w:after="0" w:line="154"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Tempest Therapeutics, Inc., a Delaware corporation, and successor to Millendo Therapeutics, Inc.</w:t>
      </w:r>
    </w:p>
    <w:p>
      <w:pPr>
        <w:spacing w:after="0" w:line="225" w:lineRule="exact"/>
        <w:rPr>
          <w:rFonts w:ascii="Times New Roman" w:cs="Times New Roman" w:eastAsia="Times New Roman" w:hAnsi="Times New Roman"/>
          <w:sz w:val="18"/>
          <w:szCs w:val="18"/>
          <w:b w:val="1"/>
          <w:bCs w:val="1"/>
          <w:color w:val="auto"/>
        </w:rPr>
      </w:pPr>
    </w:p>
    <w:p>
      <w:pPr>
        <w:ind w:left="120" w:firstLine="987"/>
        <w:spacing w:after="0" w:line="262" w:lineRule="auto"/>
        <w:tabs>
          <w:tab w:leader="none" w:pos="1326"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“Contributions</w:t>
      </w:r>
      <w:r>
        <w:rPr>
          <w:rFonts w:ascii="Times New Roman" w:cs="Times New Roman" w:eastAsia="Times New Roman" w:hAnsi="Times New Roman"/>
          <w:sz w:val="18"/>
          <w:szCs w:val="18"/>
          <w:color w:val="auto"/>
        </w:rPr>
        <w:t>” means the payroll deductions and other additional payments specifically provided for in the Offering that a Participant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76" w:lineRule="exact"/>
        <w:rPr>
          <w:rFonts w:ascii="Times New Roman" w:cs="Times New Roman" w:eastAsia="Times New Roman" w:hAnsi="Times New Roman"/>
          <w:sz w:val="18"/>
          <w:szCs w:val="18"/>
          <w:b w:val="1"/>
          <w:bCs w:val="1"/>
          <w:color w:val="auto"/>
        </w:rPr>
      </w:pPr>
    </w:p>
    <w:p>
      <w:pPr>
        <w:ind w:left="120" w:right="120" w:firstLine="987"/>
        <w:spacing w:after="0" w:line="286" w:lineRule="auto"/>
        <w:tabs>
          <w:tab w:leader="none" w:pos="1336"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59" w:lineRule="exact"/>
        <w:rPr>
          <w:sz w:val="20"/>
          <w:szCs w:val="20"/>
          <w:color w:val="auto"/>
        </w:rPr>
      </w:pPr>
    </w:p>
    <w:p>
      <w:pPr>
        <w:ind w:left="120" w:firstLine="1428"/>
        <w:spacing w:after="0" w:line="282" w:lineRule="auto"/>
        <w:tabs>
          <w:tab w:leader="none" w:pos="1767"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080"/>
          </w:cols>
          <w:pgMar w:left="320" w:top="455"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20" w:hanging="272"/>
        <w:spacing w:after="0"/>
        <w:tabs>
          <w:tab w:leader="none" w:pos="1820"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860" w:hanging="312"/>
        <w:spacing w:after="0"/>
        <w:tabs>
          <w:tab w:leader="none" w:pos="1860"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ind w:left="120" w:right="40" w:firstLine="1428"/>
        <w:spacing w:after="0" w:line="266" w:lineRule="auto"/>
        <w:tabs>
          <w:tab w:leader="none" w:pos="1857"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120" w:right="640" w:firstLine="987"/>
        <w:spacing w:after="0" w:line="286" w:lineRule="auto"/>
        <w:tabs>
          <w:tab w:leader="none" w:pos="1326"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of the annual meeting of stockholders of the Company held in 2022, provided that this Plan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by the Company’s stockholders at such meeting.</w:t>
      </w:r>
    </w:p>
    <w:p>
      <w:pPr>
        <w:spacing w:after="0" w:line="154" w:lineRule="exact"/>
        <w:rPr>
          <w:rFonts w:ascii="Times New Roman" w:cs="Times New Roman" w:eastAsia="Times New Roman" w:hAnsi="Times New Roman"/>
          <w:sz w:val="18"/>
          <w:szCs w:val="18"/>
          <w:b w:val="1"/>
          <w:bCs w:val="1"/>
          <w:color w:val="auto"/>
        </w:rPr>
      </w:pPr>
    </w:p>
    <w:p>
      <w:pPr>
        <w:ind w:left="120" w:right="440" w:firstLine="987"/>
        <w:spacing w:after="0" w:line="317" w:lineRule="auto"/>
        <w:tabs>
          <w:tab w:leader="none" w:pos="1426"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Eligible Employee</w:t>
      </w:r>
      <w:r>
        <w:rPr>
          <w:rFonts w:ascii="Times New Roman" w:cs="Times New Roman" w:eastAsia="Times New Roman" w:hAnsi="Times New Roman"/>
          <w:sz w:val="17"/>
          <w:szCs w:val="17"/>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31" w:lineRule="exact"/>
        <w:rPr>
          <w:rFonts w:ascii="Times New Roman" w:cs="Times New Roman" w:eastAsia="Times New Roman" w:hAnsi="Times New Roman"/>
          <w:sz w:val="17"/>
          <w:szCs w:val="17"/>
          <w:b w:val="1"/>
          <w:bCs w:val="1"/>
          <w:color w:val="auto"/>
        </w:rPr>
      </w:pPr>
    </w:p>
    <w:p>
      <w:pPr>
        <w:ind w:left="120" w:right="60" w:firstLine="987"/>
        <w:spacing w:after="0" w:line="268" w:lineRule="auto"/>
        <w:tabs>
          <w:tab w:leader="none" w:pos="1376"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an Officer or Director, who is “employed” for purposes of Section 423(b)(4) of the Code by the Company or a Related Corporation. However, service solely as a Director, or payment of a fee for such services, will not cause a Director to be considered an “Employee” for purposes of the Plan.</w:t>
      </w:r>
    </w:p>
    <w:p>
      <w:pPr>
        <w:spacing w:after="0" w:line="170" w:lineRule="exact"/>
        <w:rPr>
          <w:rFonts w:ascii="Times New Roman" w:cs="Times New Roman" w:eastAsia="Times New Roman" w:hAnsi="Times New Roman"/>
          <w:sz w:val="18"/>
          <w:szCs w:val="18"/>
          <w:b w:val="1"/>
          <w:bCs w:val="1"/>
          <w:color w:val="auto"/>
        </w:rPr>
      </w:pPr>
    </w:p>
    <w:p>
      <w:pPr>
        <w:ind w:left="120" w:right="180" w:firstLine="987"/>
        <w:spacing w:after="0" w:line="286" w:lineRule="auto"/>
        <w:tabs>
          <w:tab w:leader="none" w:pos="1366"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Stock Purchase Plan</w:t>
      </w:r>
      <w:r>
        <w:rPr>
          <w:rFonts w:ascii="Times New Roman" w:cs="Times New Roman" w:eastAsia="Times New Roman" w:hAnsi="Times New Roman"/>
          <w:sz w:val="18"/>
          <w:szCs w:val="18"/>
          <w:color w:val="auto"/>
        </w:rPr>
        <w:t>” means a plan that grants Purchase Rights intended to be options issued under an “employee stock purchase plan,” as that term is defined in Section 423(b) of the Code.</w:t>
      </w:r>
    </w:p>
    <w:p>
      <w:pPr>
        <w:spacing w:after="0" w:line="154"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229" w:lineRule="exact"/>
        <w:rPr>
          <w:rFonts w:ascii="Times New Roman" w:cs="Times New Roman" w:eastAsia="Times New Roman" w:hAnsi="Times New Roman"/>
          <w:sz w:val="18"/>
          <w:szCs w:val="18"/>
          <w:b w:val="1"/>
          <w:bCs w:val="1"/>
          <w:color w:val="auto"/>
        </w:rPr>
      </w:pPr>
    </w:p>
    <w:p>
      <w:pPr>
        <w:ind w:left="120" w:firstLine="1428"/>
        <w:spacing w:after="0" w:line="258" w:lineRule="auto"/>
        <w:tabs>
          <w:tab w:leader="none" w:pos="1767"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Common Stock is listed on any established stock exchange or traded on any established market, the Fair Market Value of a share of Common Stock will be, unless otherwise determined by the Board, the </w:t>
      </w:r>
      <w:r>
        <w:rPr>
          <w:rFonts w:ascii="Times New Roman" w:cs="Times New Roman" w:eastAsia="Times New Roman" w:hAnsi="Times New Roman"/>
          <w:sz w:val="18"/>
          <w:szCs w:val="18"/>
          <w:b w:val="1"/>
          <w:bCs w:val="1"/>
          <w:u w:val="single" w:color="auto"/>
          <w:color w:val="auto"/>
        </w:rPr>
        <w:t>closing sales price</w:t>
      </w:r>
      <w:r>
        <w:rPr>
          <w:rFonts w:ascii="Times New Roman" w:cs="Times New Roman" w:eastAsia="Times New Roman" w:hAnsi="Times New Roman"/>
          <w:sz w:val="18"/>
          <w:szCs w:val="18"/>
          <w:color w:val="auto"/>
        </w:rPr>
        <w:t xml:space="preserve"> for such stock as quoted on such exchange or market (or the exchange or market with the greatest volume of trading in the Common Stock) </w:t>
      </w:r>
      <w:r>
        <w:rPr>
          <w:rFonts w:ascii="Times New Roman" w:cs="Times New Roman" w:eastAsia="Times New Roman" w:hAnsi="Times New Roman"/>
          <w:sz w:val="18"/>
          <w:szCs w:val="18"/>
          <w:b w:val="1"/>
          <w:bCs w:val="1"/>
          <w:u w:val="single" w:color="auto"/>
          <w:color w:val="auto"/>
        </w:rPr>
        <w:t>on the date of determination</w:t>
      </w:r>
      <w:r>
        <w:rPr>
          <w:rFonts w:ascii="Times New Roman" w:cs="Times New Roman" w:eastAsia="Times New Roman" w:hAnsi="Times New Roman"/>
          <w:sz w:val="18"/>
          <w:szCs w:val="18"/>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83" w:lineRule="exact"/>
        <w:rPr>
          <w:rFonts w:ascii="Times New Roman" w:cs="Times New Roman" w:eastAsia="Times New Roman" w:hAnsi="Times New Roman"/>
          <w:sz w:val="18"/>
          <w:szCs w:val="18"/>
          <w:b w:val="1"/>
          <w:bCs w:val="1"/>
          <w:color w:val="auto"/>
        </w:rPr>
      </w:pPr>
    </w:p>
    <w:p>
      <w:pPr>
        <w:ind w:left="120" w:right="180" w:firstLine="1428"/>
        <w:spacing w:after="0" w:line="282" w:lineRule="auto"/>
        <w:tabs>
          <w:tab w:leader="none" w:pos="1817"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in compliance with Applicable Laws and in a manner that complies with Sections 409A of the Code.</w:t>
      </w:r>
    </w:p>
    <w:p>
      <w:pPr>
        <w:spacing w:after="0" w:line="157" w:lineRule="exact"/>
        <w:rPr>
          <w:rFonts w:ascii="Times New Roman" w:cs="Times New Roman" w:eastAsia="Times New Roman" w:hAnsi="Times New Roman"/>
          <w:sz w:val="18"/>
          <w:szCs w:val="18"/>
          <w:b w:val="1"/>
          <w:bCs w:val="1"/>
          <w:color w:val="auto"/>
        </w:rPr>
      </w:pPr>
    </w:p>
    <w:p>
      <w:pPr>
        <w:ind w:left="120" w:right="60" w:firstLine="987"/>
        <w:spacing w:after="0" w:line="257" w:lineRule="auto"/>
        <w:tabs>
          <w:tab w:leader="none" w:pos="1356"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and the Financial Industry Regulatory Authority).</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080"/>
          </w:cols>
          <w:pgMar w:left="320" w:top="455"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340" w:hanging="233"/>
        <w:spacing w:after="0"/>
        <w:tabs>
          <w:tab w:leader="none" w:pos="1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Effective Date</w:t>
      </w:r>
      <w:r>
        <w:rPr>
          <w:rFonts w:ascii="Times New Roman" w:cs="Times New Roman" w:eastAsia="Times New Roman" w:hAnsi="Times New Roman"/>
          <w:sz w:val="18"/>
          <w:szCs w:val="18"/>
          <w:color w:val="auto"/>
        </w:rPr>
        <w:t>” means the date of the annual meeting of stockholders of the Company held in 2019.</w:t>
      </w:r>
    </w:p>
    <w:p>
      <w:pPr>
        <w:spacing w:after="0" w:line="211" w:lineRule="exact"/>
        <w:rPr>
          <w:rFonts w:ascii="Times New Roman" w:cs="Times New Roman" w:eastAsia="Times New Roman" w:hAnsi="Times New Roman"/>
          <w:sz w:val="18"/>
          <w:szCs w:val="18"/>
          <w:b w:val="1"/>
          <w:bCs w:val="1"/>
          <w:color w:val="auto"/>
        </w:rPr>
      </w:pPr>
    </w:p>
    <w:p>
      <w:pPr>
        <w:ind w:left="120" w:right="40" w:firstLine="987"/>
        <w:spacing w:after="0" w:line="286" w:lineRule="auto"/>
        <w:tabs>
          <w:tab w:leader="none" w:pos="1336"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Non-423 Component</w:t>
      </w:r>
      <w:r>
        <w:rPr>
          <w:rFonts w:ascii="Times New Roman" w:cs="Times New Roman" w:eastAsia="Times New Roman" w:hAnsi="Times New Roman"/>
          <w:sz w:val="18"/>
          <w:szCs w:val="18"/>
          <w:color w:val="auto"/>
        </w:rPr>
        <w:t>” means the part of the Plan, which excludes the 423 Component, pursuant to which Purchase Rights that are not intended to satisfy the requirements for an Employee Stock Purchase Plan may be granted to Eligible Employees.</w:t>
      </w:r>
    </w:p>
    <w:p>
      <w:pPr>
        <w:spacing w:after="0" w:line="141" w:lineRule="exact"/>
        <w:rPr>
          <w:rFonts w:ascii="Times New Roman" w:cs="Times New Roman" w:eastAsia="Times New Roman" w:hAnsi="Times New Roman"/>
          <w:sz w:val="18"/>
          <w:szCs w:val="18"/>
          <w:b w:val="1"/>
          <w:bCs w:val="1"/>
          <w:color w:val="auto"/>
        </w:rPr>
      </w:pPr>
    </w:p>
    <w:p>
      <w:pPr>
        <w:ind w:left="120" w:right="200" w:firstLine="987"/>
        <w:spacing w:after="0" w:line="268" w:lineRule="auto"/>
        <w:tabs>
          <w:tab w:leader="none" w:pos="1376"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approved by the Board for that Offering.</w:t>
      </w:r>
    </w:p>
    <w:p>
      <w:pPr>
        <w:spacing w:after="0" w:line="143"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means a date selected by the Board for an Offering to commence.</w:t>
      </w:r>
    </w:p>
    <w:p>
      <w:pPr>
        <w:spacing w:after="0" w:line="211" w:lineRule="exact"/>
        <w:rPr>
          <w:rFonts w:ascii="Times New Roman" w:cs="Times New Roman" w:eastAsia="Times New Roman" w:hAnsi="Times New Roman"/>
          <w:sz w:val="18"/>
          <w:szCs w:val="18"/>
          <w:b w:val="1"/>
          <w:bCs w:val="1"/>
          <w:color w:val="auto"/>
        </w:rPr>
      </w:pPr>
    </w:p>
    <w:p>
      <w:pPr>
        <w:ind w:left="1400" w:hanging="293"/>
        <w:spacing w:after="0"/>
        <w:tabs>
          <w:tab w:leader="none" w:pos="140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or a Related Corporation within the meaning of Section 16 of the</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Exchange Act.</w:t>
      </w:r>
    </w:p>
    <w:p>
      <w:pPr>
        <w:spacing w:after="0" w:line="189"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Employee who holds an outstanding Purchase Right.</w:t>
      </w:r>
    </w:p>
    <w:p>
      <w:pPr>
        <w:spacing w:after="0" w:line="198" w:lineRule="exact"/>
        <w:rPr>
          <w:rFonts w:ascii="Times New Roman" w:cs="Times New Roman" w:eastAsia="Times New Roman" w:hAnsi="Times New Roman"/>
          <w:sz w:val="18"/>
          <w:szCs w:val="18"/>
          <w:b w:val="1"/>
          <w:bCs w:val="1"/>
          <w:color w:val="auto"/>
        </w:rPr>
      </w:pPr>
    </w:p>
    <w:p>
      <w:pPr>
        <w:ind w:left="120" w:right="160" w:firstLine="987"/>
        <w:spacing w:after="0" w:line="286" w:lineRule="auto"/>
        <w:tabs>
          <w:tab w:leader="none" w:pos="1366"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Tempest Therapeutics, Inc. Amended and Restated 2019 Employee Stock Purchase Plan, as amended from time to time, including both the 423 Component and the Non-423 Component.</w:t>
      </w:r>
    </w:p>
    <w:p>
      <w:pPr>
        <w:spacing w:after="0" w:line="141" w:lineRule="exact"/>
        <w:rPr>
          <w:rFonts w:ascii="Times New Roman" w:cs="Times New Roman" w:eastAsia="Times New Roman" w:hAnsi="Times New Roman"/>
          <w:sz w:val="18"/>
          <w:szCs w:val="18"/>
          <w:b w:val="1"/>
          <w:bCs w:val="1"/>
          <w:color w:val="auto"/>
        </w:rPr>
      </w:pPr>
    </w:p>
    <w:p>
      <w:pPr>
        <w:ind w:left="120" w:right="200" w:firstLine="987"/>
        <w:spacing w:after="0" w:line="286" w:lineRule="auto"/>
        <w:tabs>
          <w:tab w:leader="none" w:pos="1356"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41" w:lineRule="exact"/>
        <w:rPr>
          <w:sz w:val="20"/>
          <w:szCs w:val="20"/>
          <w:color w:val="auto"/>
        </w:rPr>
      </w:pPr>
    </w:p>
    <w:p>
      <w:pPr>
        <w:ind w:left="120" w:right="420" w:firstLine="987"/>
        <w:spacing w:after="0" w:line="286" w:lineRule="auto"/>
        <w:tabs>
          <w:tab w:leader="none" w:pos="1456"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27" w:lineRule="exact"/>
        <w:rPr>
          <w:rFonts w:ascii="Times New Roman" w:cs="Times New Roman" w:eastAsia="Times New Roman" w:hAnsi="Times New Roman"/>
          <w:sz w:val="18"/>
          <w:szCs w:val="18"/>
          <w:b w:val="1"/>
          <w:bCs w:val="1"/>
          <w:color w:val="auto"/>
        </w:rPr>
      </w:pPr>
    </w:p>
    <w:p>
      <w:pPr>
        <w:ind w:left="1480" w:hanging="373"/>
        <w:spacing w:after="0"/>
        <w:tabs>
          <w:tab w:leader="none" w:pos="14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Right</w:t>
      </w:r>
      <w:r>
        <w:rPr>
          <w:rFonts w:ascii="Times New Roman" w:cs="Times New Roman" w:eastAsia="Times New Roman" w:hAnsi="Times New Roman"/>
          <w:sz w:val="18"/>
          <w:szCs w:val="18"/>
          <w:color w:val="auto"/>
        </w:rPr>
        <w:t>” means an option to purchase shares of Common Stock granted pursuant to the Plan.</w:t>
      </w:r>
    </w:p>
    <w:p>
      <w:pPr>
        <w:spacing w:after="0" w:line="211" w:lineRule="exact"/>
        <w:rPr>
          <w:rFonts w:ascii="Times New Roman" w:cs="Times New Roman" w:eastAsia="Times New Roman" w:hAnsi="Times New Roman"/>
          <w:sz w:val="18"/>
          <w:szCs w:val="18"/>
          <w:b w:val="1"/>
          <w:bCs w:val="1"/>
          <w:color w:val="auto"/>
        </w:rPr>
      </w:pPr>
    </w:p>
    <w:p>
      <w:pPr>
        <w:ind w:left="120" w:right="300" w:firstLine="987"/>
        <w:spacing w:after="0" w:line="286" w:lineRule="auto"/>
        <w:tabs>
          <w:tab w:leader="none" w:pos="1436"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Corporation</w:t>
      </w:r>
      <w:r>
        <w:rPr>
          <w:rFonts w:ascii="Times New Roman" w:cs="Times New Roman" w:eastAsia="Times New Roman" w:hAnsi="Times New Roman"/>
          <w:sz w:val="18"/>
          <w:szCs w:val="18"/>
          <w:color w:val="auto"/>
        </w:rPr>
        <w:t>” means any “parent corporation” or “subsidiary corporation” of the Company whether now or subsequently established, as those terms are defined in Sections 424(e) and (f), respectively, of the Code.</w:t>
      </w:r>
    </w:p>
    <w:p>
      <w:pPr>
        <w:spacing w:after="0" w:line="141" w:lineRule="exact"/>
        <w:rPr>
          <w:rFonts w:ascii="Times New Roman" w:cs="Times New Roman" w:eastAsia="Times New Roman" w:hAnsi="Times New Roman"/>
          <w:sz w:val="18"/>
          <w:szCs w:val="18"/>
          <w:b w:val="1"/>
          <w:bCs w:val="1"/>
          <w:color w:val="auto"/>
        </w:rPr>
      </w:pPr>
    </w:p>
    <w:p>
      <w:pPr>
        <w:ind w:left="1480" w:hanging="373"/>
        <w:spacing w:after="0"/>
        <w:tabs>
          <w:tab w:leader="none" w:pos="14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198" w:lineRule="exact"/>
        <w:rPr>
          <w:rFonts w:ascii="Times New Roman" w:cs="Times New Roman" w:eastAsia="Times New Roman" w:hAnsi="Times New Roman"/>
          <w:sz w:val="18"/>
          <w:szCs w:val="18"/>
          <w:b w:val="1"/>
          <w:bCs w:val="1"/>
          <w:color w:val="auto"/>
        </w:rPr>
      </w:pPr>
    </w:p>
    <w:p>
      <w:pPr>
        <w:ind w:left="120" w:right="60" w:firstLine="987"/>
        <w:spacing w:after="0" w:line="255" w:lineRule="auto"/>
        <w:tabs>
          <w:tab w:leader="none" w:pos="1436"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 For purposes of the foregoing clause (i), the Company will be deemed to “Own” or have “Owned” such securities if the Company, directly or indirectly, through any contract, arrangement, understanding, relationship or otherwise, has or shares voting power, which includes the power to vote or to direct the voting, with respect to such securities.</w:t>
      </w:r>
    </w:p>
    <w:p>
      <w:pPr>
        <w:spacing w:after="0" w:line="171" w:lineRule="exact"/>
        <w:rPr>
          <w:rFonts w:ascii="Times New Roman" w:cs="Times New Roman" w:eastAsia="Times New Roman" w:hAnsi="Times New Roman"/>
          <w:sz w:val="18"/>
          <w:szCs w:val="18"/>
          <w:b w:val="1"/>
          <w:bCs w:val="1"/>
          <w:color w:val="auto"/>
        </w:rPr>
      </w:pPr>
    </w:p>
    <w:p>
      <w:pPr>
        <w:ind w:left="120" w:firstLine="987"/>
        <w:spacing w:after="0" w:line="268" w:lineRule="auto"/>
        <w:tabs>
          <w:tab w:leader="none" w:pos="1396"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157" w:lineRule="exact"/>
        <w:rPr>
          <w:rFonts w:ascii="Times New Roman" w:cs="Times New Roman" w:eastAsia="Times New Roman" w:hAnsi="Times New Roman"/>
          <w:sz w:val="18"/>
          <w:szCs w:val="18"/>
          <w:b w:val="1"/>
          <w:bCs w:val="1"/>
          <w:color w:val="auto"/>
        </w:rPr>
      </w:pPr>
    </w:p>
    <w:p>
      <w:pPr>
        <w:jc w:val="both"/>
        <w:ind w:left="120" w:firstLine="987"/>
        <w:spacing w:after="0" w:line="317" w:lineRule="auto"/>
        <w:tabs>
          <w:tab w:leader="none" w:pos="1456"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Day</w:t>
      </w:r>
      <w:r>
        <w:rPr>
          <w:rFonts w:ascii="Times New Roman" w:cs="Times New Roman" w:eastAsia="Times New Roman" w:hAnsi="Times New Roman"/>
          <w:sz w:val="17"/>
          <w:szCs w:val="17"/>
          <w:color w:val="auto"/>
        </w:rPr>
        <w:t>” means any day on which the exchange(s) or market(s) on which shares of Common Stock are listed, including but not limited to the NYSE, Nasdaq Global Select Market, the Nasdaq Global Market, the Nasdaq Capital Market or any successors thereto, is open for trading.</w:t>
      </w:r>
    </w:p>
    <w:p>
      <w:pPr>
        <w:spacing w:after="0" w:line="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215265</wp:posOffset>
            </wp:positionV>
            <wp:extent cx="5829300" cy="7543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215265</wp:posOffset>
            </wp:positionV>
            <wp:extent cx="5829300" cy="7543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1."/>
      <w:numFmt w:val="decimal"/>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1)"/>
      <w:numFmt w:val="decimal"/>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1)"/>
      <w:numFmt w:val="decimal"/>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1)"/>
      <w:numFmt w:val="decimal"/>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1)"/>
      <w:numFmt w:val="decimal"/>
      <w:start w:val="1"/>
    </w:lvl>
  </w:abstractNum>
  <w:abstractNum w:abstractNumId="24">
    <w:nsid w:val="168E121F"/>
    <w:multiLevelType w:val="hybridMultilevel"/>
    <w:lvl w:ilvl="0">
      <w:lvlJc w:val="left"/>
      <w:lvlText w:val="(%1)"/>
      <w:numFmt w:val="decimal"/>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1)"/>
      <w:numFmt w:val="lowerRoman"/>
      <w:start w:val="3"/>
    </w:lvl>
  </w:abstractNum>
  <w:abstractNum w:abstractNumId="27">
    <w:nsid w:val="5DC79EA8"/>
    <w:multiLevelType w:val="hybridMultilevel"/>
    <w:lvl w:ilvl="0">
      <w:lvlJc w:val="left"/>
      <w:lvlText w:val="(%1)"/>
      <w:numFmt w:val="decimal"/>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1)"/>
      <w:numFmt w:val="decimal"/>
      <w:start w:val="1"/>
    </w:lvl>
  </w:abstractNum>
  <w:abstractNum w:abstractNumId="31">
    <w:nsid w:val="613EFDC5"/>
    <w:multiLevelType w:val="hybridMultilevel"/>
    <w:lvl w:ilvl="0">
      <w:lvlJc w:val="left"/>
      <w:lvlText w:val="(%1)"/>
      <w:numFmt w:val="decimal"/>
      <w:start w:val="2"/>
    </w:lvl>
  </w:abstractNum>
  <w:abstractNum w:abstractNumId="32">
    <w:nsid w:val="BF72B14"/>
    <w:multiLevelType w:val="hybridMultilevel"/>
    <w:lvl w:ilvl="0">
      <w:lvlJc w:val="left"/>
      <w:lvlText w:val="(%1)"/>
      <w:numFmt w:val="decimal"/>
      <w:start w:val="9"/>
    </w:lvl>
  </w:abstractNum>
  <w:abstractNum w:abstractNumId="33">
    <w:nsid w:val="11447B73"/>
    <w:multiLevelType w:val="hybridMultilevel"/>
    <w:lvl w:ilvl="0">
      <w:lvlJc w:val="left"/>
      <w:lvlText w:val="(%1)"/>
      <w:numFmt w:val="decimal"/>
      <w:start w:val="1"/>
    </w:lvl>
  </w:abstractNum>
  <w:abstractNum w:abstractNumId="34">
    <w:nsid w:val="42963E5A"/>
    <w:multiLevelType w:val="hybridMultilevel"/>
    <w:lvl w:ilvl="0">
      <w:lvlJc w:val="left"/>
      <w:lvlText w:val="(%1)"/>
      <w:numFmt w:val="decimal"/>
      <w:start w:val="1"/>
    </w:lvl>
  </w:abstractNum>
  <w:abstractNum w:abstractNumId="35">
    <w:nsid w:val="A0382C5"/>
    <w:multiLevelType w:val="hybridMultilevel"/>
    <w:lvl w:ilvl="0">
      <w:lvlJc w:val="left"/>
      <w:lvlText w:val="(%1)"/>
      <w:numFmt w:val="lowerRoman"/>
      <w:start w:val="10"/>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1)"/>
      <w:numFmt w:val="decimal"/>
      <w:start w:val="1"/>
    </w:lvl>
  </w:abstractNum>
  <w:abstractNum w:abstractNumId="39">
    <w:nsid w:val="68EB2F63"/>
    <w:multiLevelType w:val="hybridMultilevel"/>
    <w:lvl w:ilvl="0">
      <w:lvlJc w:val="left"/>
      <w:lvlText w:val="(%1)"/>
      <w:numFmt w:val="decimal"/>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
    <w:nsid w:val="6A5EE64"/>
    <w:multiLevelType w:val="hybridMultilevel"/>
    <w:lvl w:ilvl="0">
      <w:lvlJc w:val="left"/>
      <w:lvlText w:val="%1"/>
      <w:numFmt w:val="lowerLetter"/>
      <w:start w:val="1"/>
    </w:lvl>
    <w:lvl w:ilvl="1">
      <w:lvlJc w:val="left"/>
      <w:lvlText w:val="(%2)"/>
      <w:numFmt w:val="lowerRoman"/>
      <w:start w:val="5"/>
    </w:lvl>
  </w:abstractNum>
  <w:abstractNum w:abstractNumId="43">
    <w:nsid w:val="14330624"/>
    <w:multiLevelType w:val="hybridMultilevel"/>
    <w:lvl w:ilvl="0">
      <w:lvlJc w:val="left"/>
      <w:lvlText w:val="(%1)"/>
      <w:numFmt w:val="lowerLetter"/>
      <w:start w:val="3"/>
    </w:lvl>
    <w:lvl w:ilvl="1">
      <w:lvlJc w:val="left"/>
      <w:lvlText w:val="(%2)"/>
      <w:numFmt w:val="lowerRoman"/>
      <w:start w:val="1"/>
    </w:lvl>
  </w:abstractNum>
  <w:abstractNum w:abstractNumId="44">
    <w:nsid w:val="7FFFCA11"/>
    <w:multiLevelType w:val="hybridMultilevel"/>
    <w:lvl w:ilvl="0">
      <w:lvlJc w:val="left"/>
      <w:lvlText w:val="(%1)"/>
      <w:numFmt w:val="lowerRoman"/>
      <w:start w:val="2"/>
    </w:lvl>
  </w:abstractNum>
  <w:abstractNum w:abstractNumId="45">
    <w:nsid w:val="1A27709E"/>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46">
    <w:nsid w:val="71EA1109"/>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5"/>
    </w:lvl>
  </w:abstractNum>
  <w:abstractNum w:abstractNumId="47">
    <w:nsid w:val="100F59DC"/>
    <w:multiLevelType w:val="hybridMultilevel"/>
    <w:lvl w:ilvl="0">
      <w:lvlJc w:val="left"/>
      <w:lvlText w:val="%1."/>
      <w:numFmt w:val="decimal"/>
      <w:start w:val="3"/>
    </w:lvl>
    <w:lvl w:ilvl="1">
      <w:lvlJc w:val="left"/>
      <w:lvlText w:val="(%2)"/>
      <w:numFmt w:val="lowerLetter"/>
      <w:start w:val="1"/>
    </w:lvl>
  </w:abstractNum>
  <w:abstractNum w:abstractNumId="48">
    <w:nsid w:val="7FB7E0AA"/>
    <w:multiLevelType w:val="hybridMultilevel"/>
    <w:lvl w:ilvl="0">
      <w:lvlJc w:val="left"/>
      <w:lvlText w:val="%1"/>
      <w:numFmt w:val="decimal"/>
      <w:start w:val="1"/>
    </w:lvl>
    <w:lvl w:ilvl="1">
      <w:lvlJc w:val="left"/>
      <w:lvlText w:val="(%2)"/>
      <w:numFmt w:val="lowerLetter"/>
      <w:start w:val="2"/>
    </w:lvl>
  </w:abstractNum>
  <w:abstractNum w:abstractNumId="49">
    <w:nsid w:val="6EB5BD4"/>
    <w:multiLevelType w:val="hybridMultilevel"/>
    <w:lvl w:ilvl="0">
      <w:lvlJc w:val="left"/>
      <w:lvlText w:val="%1."/>
      <w:numFmt w:val="decimal"/>
      <w:start w:val="4"/>
    </w:lvl>
    <w:lvl w:ilvl="1">
      <w:lvlJc w:val="left"/>
      <w:lvlText w:val="(%2)"/>
      <w:numFmt w:val="lowerLetter"/>
      <w:start w:val="1"/>
    </w:lvl>
  </w:abstractNum>
  <w:abstractNum w:abstractNumId="50">
    <w:nsid w:val="6F6DD9AC"/>
    <w:multiLevelType w:val="hybridMultilevel"/>
    <w:lvl w:ilvl="0">
      <w:lvlJc w:val="left"/>
      <w:lvlText w:val="(%1)"/>
      <w:numFmt w:val="lowerLetter"/>
      <w:start w:val="1"/>
    </w:lvl>
    <w:lvl w:ilvl="1">
      <w:lvlJc w:val="left"/>
      <w:lvlText w:val="(%2)"/>
      <w:numFmt w:val="lowerRoman"/>
      <w:start w:val="1"/>
    </w:lvl>
  </w:abstractNum>
  <w:abstractNum w:abstractNumId="51">
    <w:nsid w:val="94211F2"/>
    <w:multiLevelType w:val="hybridMultilevel"/>
    <w:lvl w:ilvl="0">
      <w:lvlJc w:val="left"/>
      <w:lvlText w:val="(%1)"/>
      <w:numFmt w:val="lowerLetter"/>
      <w:start w:val="4"/>
    </w:lvl>
    <w:lvl w:ilvl="1">
      <w:lvlJc w:val="left"/>
      <w:lvlText w:val="(%2)"/>
      <w:numFmt w:val="lowerRoman"/>
      <w:start w:val="1"/>
    </w:lvl>
  </w:abstractNum>
  <w:abstractNum w:abstractNumId="52">
    <w:nsid w:val="885E1B"/>
    <w:multiLevelType w:val="hybridMultilevel"/>
    <w:lvl w:ilvl="0">
      <w:lvlJc w:val="left"/>
      <w:lvlText w:val="(%1)"/>
      <w:numFmt w:val="lowerLetter"/>
      <w:start w:val="8"/>
    </w:lvl>
  </w:abstractNum>
  <w:abstractNum w:abstractNumId="53">
    <w:nsid w:val="7627211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4">
    <w:nsid w:val="4C04A8AF"/>
    <w:multiLevelType w:val="hybridMultilevel"/>
    <w:lvl w:ilvl="0">
      <w:lvlJc w:val="left"/>
      <w:lvlText w:val="%1"/>
      <w:numFmt w:val="lowerLetter"/>
      <w:start w:val="1"/>
    </w:lvl>
    <w:lvl w:ilvl="1">
      <w:lvlJc w:val="left"/>
      <w:lvlText w:val="(%2)"/>
      <w:numFmt w:val="lowerRoman"/>
      <w:start w:val="1"/>
    </w:lvl>
  </w:abstractNum>
  <w:abstractNum w:abstractNumId="55">
    <w:nsid w:val="1716703B"/>
    <w:multiLevelType w:val="hybridMultilevel"/>
    <w:lvl w:ilvl="0">
      <w:lvlJc w:val="left"/>
      <w:lvlText w:val="(%1)"/>
      <w:numFmt w:val="lowerLetter"/>
      <w:start w:val="3"/>
    </w:lvl>
    <w:lvl w:ilvl="1">
      <w:lvlJc w:val="left"/>
      <w:lvlText w:val="(%2)"/>
      <w:numFmt w:val="lowerRoman"/>
      <w:start w:val="1"/>
    </w:lvl>
  </w:abstractNum>
  <w:abstractNum w:abstractNumId="56">
    <w:nsid w:val="14E17E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7">
    <w:nsid w:val="3222E7C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8">
    <w:nsid w:val="74DE0EE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59">
    <w:nsid w:val="68EBC550"/>
    <w:multiLevelType w:val="hybridMultilevel"/>
    <w:lvl w:ilvl="0">
      <w:lvlJc w:val="left"/>
      <w:lvlText w:val="(%1)"/>
      <w:numFmt w:val="lowerLetter"/>
      <w:start w:val="3"/>
    </w:lvl>
  </w:abstractNum>
  <w:abstractNum w:abstractNumId="60">
    <w:nsid w:val="2DF6D648"/>
    <w:multiLevelType w:val="hybridMultilevel"/>
    <w:lvl w:ilvl="0">
      <w:lvlJc w:val="left"/>
      <w:lvlText w:val="(%1)"/>
      <w:numFmt w:val="lowerLetter"/>
      <w:start w:val="8"/>
    </w:lvl>
  </w:abstractNum>
  <w:abstractNum w:abstractNumId="61">
    <w:nsid w:val="46B7D447"/>
    <w:multiLevelType w:val="hybridMultilevel"/>
    <w:lvl w:ilvl="0">
      <w:lvlJc w:val="left"/>
      <w:lvlText w:val="%1."/>
      <w:numFmt w:val="decimal"/>
      <w:start w:val="9"/>
    </w:lvl>
  </w:abstractNum>
  <w:abstractNum w:abstractNumId="62">
    <w:nsid w:val="4A2AC31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3">
    <w:nsid w:val="39EE015C"/>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64">
    <w:nsid w:val="57FC4FBB"/>
    <w:multiLevelType w:val="hybridMultilevel"/>
    <w:lvl w:ilvl="0">
      <w:lvlJc w:val="left"/>
      <w:lvlText w:val="(%1)"/>
      <w:numFmt w:val="lowerRoman"/>
      <w:start w:val="6"/>
    </w:lvl>
  </w:abstractNum>
  <w:abstractNum w:abstractNumId="65">
    <w:nsid w:val="CC1016F"/>
    <w:multiLevelType w:val="hybridMultilevel"/>
    <w:lvl w:ilvl="0">
      <w:lvlJc w:val="left"/>
      <w:lvlText w:val="(%1)"/>
      <w:numFmt w:val="decimal"/>
      <w:start w:val="5"/>
    </w:lvl>
  </w:abstractNum>
  <w:abstractNum w:abstractNumId="66">
    <w:nsid w:val="43F18422"/>
    <w:multiLevelType w:val="hybridMultilevel"/>
    <w:lvl w:ilvl="0">
      <w:lvlJc w:val="left"/>
      <w:lvlText w:val="%1"/>
      <w:numFmt w:val="decimal"/>
      <w:start w:val="1"/>
    </w:lvl>
    <w:lvl w:ilvl="1">
      <w:lvlJc w:val="left"/>
      <w:lvlText w:val="(%2)"/>
      <w:numFmt w:val="lowerLetter"/>
      <w:start w:val="4"/>
    </w:lvl>
  </w:abstractNum>
  <w:abstractNum w:abstractNumId="67">
    <w:nsid w:val="60EF0119"/>
    <w:multiLevelType w:val="hybridMultilevel"/>
    <w:lvl w:ilvl="0">
      <w:lvlJc w:val="left"/>
      <w:lvlText w:val="%1."/>
      <w:numFmt w:val="decimal"/>
      <w:start w:val="10"/>
    </w:lvl>
    <w:lvl w:ilvl="1">
      <w:lvlJc w:val="left"/>
      <w:lvlText w:val="%2"/>
      <w:numFmt w:val="lowerLetter"/>
      <w:start w:val="1"/>
    </w:lvl>
  </w:abstractNum>
  <w:abstractNum w:abstractNumId="68">
    <w:nsid w:val="26F324BA"/>
    <w:multiLevelType w:val="hybridMultilevel"/>
    <w:lvl w:ilvl="0">
      <w:lvlJc w:val="left"/>
      <w:lvlText w:val="%1."/>
      <w:numFmt w:val="decimal"/>
      <w:start w:val="11"/>
    </w:lvl>
  </w:abstractNum>
  <w:abstractNum w:abstractNumId="69">
    <w:nsid w:val="7F01579B"/>
    <w:multiLevelType w:val="hybridMultilevel"/>
    <w:lvl w:ilvl="0">
      <w:lvlJc w:val="left"/>
      <w:lvlText w:val="%1."/>
      <w:numFmt w:val="decimal"/>
      <w:start w:val="12"/>
    </w:lvl>
  </w:abstractNum>
  <w:abstractNum w:abstractNumId="70">
    <w:nsid w:val="49DA307D"/>
    <w:multiLevelType w:val="hybridMultilevel"/>
    <w:lvl w:ilvl="0">
      <w:lvlJc w:val="left"/>
      <w:lvlText w:val="%1."/>
      <w:numFmt w:val="decimal"/>
      <w:start w:val="13"/>
    </w:lvl>
    <w:lvl w:ilvl="1">
      <w:lvlJc w:val="left"/>
      <w:lvlText w:val="(%2)"/>
      <w:numFmt w:val="lowerLetter"/>
      <w:start w:val="1"/>
    </w:lvl>
  </w:abstractNum>
  <w:abstractNum w:abstractNumId="71">
    <w:nsid w:val="7055A5F5"/>
    <w:multiLevelType w:val="hybridMultilevel"/>
    <w:lvl w:ilvl="0">
      <w:lvlJc w:val="left"/>
      <w:lvlText w:val="(%1)"/>
      <w:numFmt w:val="lowerLetter"/>
      <w:start w:val="8"/>
    </w:lvl>
    <w:lvl w:ilvl="1">
      <w:lvlJc w:val="left"/>
      <w:lvlText w:val="(%2)"/>
      <w:numFmt w:val="lowerRoman"/>
      <w:start w:val="1"/>
    </w:lvl>
  </w:abstractNum>
  <w:abstractNum w:abstractNumId="72">
    <w:nsid w:val="5FB8370B"/>
    <w:multiLevelType w:val="hybridMultilevel"/>
    <w:lvl w:ilvl="0">
      <w:lvlJc w:val="left"/>
      <w:lvlText w:val="(%1)"/>
      <w:numFmt w:val="lowerLetter"/>
      <w:start w:val="9"/>
    </w:lvl>
  </w:abstractNum>
  <w:abstractNum w:abstractNumId="73">
    <w:nsid w:val="50801EE1"/>
    <w:multiLevelType w:val="hybridMultilevel"/>
    <w:lvl w:ilvl="0">
      <w:lvlJc w:val="left"/>
      <w:lvlText w:val="(%1)"/>
      <w:numFmt w:val="lowerLetter"/>
      <w:start w:val="11"/>
    </w:lvl>
    <w:lvl w:ilvl="1">
      <w:lvlJc w:val="left"/>
      <w:lvlText w:val="(%2)"/>
      <w:numFmt w:val="lowerRoman"/>
      <w:start w:val="1"/>
    </w:lvl>
  </w:abstractNum>
  <w:abstractNum w:abstractNumId="74">
    <w:nsid w:val="488AC1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75">
    <w:nsid w:val="5FB8011C"/>
    <w:multiLevelType w:val="hybridMultilevel"/>
    <w:lvl w:ilvl="0">
      <w:lvlJc w:val="left"/>
      <w:lvlText w:val="%1"/>
      <w:numFmt w:val="lowerRoman"/>
      <w:start w:val="1"/>
    </w:lvl>
    <w:lvl w:ilvl="1">
      <w:lvlJc w:val="left"/>
      <w:lvlText w:val="(%2)"/>
      <w:numFmt w:val="lowerLetter"/>
      <w:start w:val="16"/>
    </w:lvl>
    <w:lvl w:ilvl="2">
      <w:lvlJc w:val="left"/>
      <w:lvlText w:val="%3"/>
      <w:numFmt w:val="lowerRoman"/>
      <w:start w:val="1"/>
    </w:lvl>
  </w:abstractNum>
  <w:abstractNum w:abstractNumId="76">
    <w:nsid w:val="6AA78F7F"/>
    <w:multiLevelType w:val="hybridMultilevel"/>
    <w:lvl w:ilvl="0">
      <w:lvlJc w:val="left"/>
      <w:lvlText w:val="(%1)"/>
      <w:numFmt w:val="lowerRoman"/>
      <w:start w:val="5"/>
    </w:lvl>
    <w:lvl w:ilvl="1">
      <w:lvlJc w:val="left"/>
      <w:lvlText w:val="(%2)"/>
      <w:numFmt w:val="lowerLetter"/>
      <w:start w:val="24"/>
    </w:lvl>
    <w:lvl w:ilvl="2">
      <w:lvlJc w:val="left"/>
      <w:lvlText w:val="(%3)"/>
      <w:numFmt w:val="lowerRoman"/>
      <w:start w:val="1"/>
    </w:lvl>
  </w:abstractNum>
  <w:abstractNum w:abstractNumId="77">
    <w:nsid w:val="7672BD23"/>
    <w:multiLevelType w:val="hybridMultilevel"/>
    <w:lvl w:ilvl="0">
      <w:lvlJc w:val="left"/>
      <w:lvlText w:val="%1"/>
      <w:numFmt w:val="lowerLetter"/>
      <w:start w:val="1"/>
    </w:lvl>
    <w:lvl w:ilvl="1">
      <w:lvlJc w:val="left"/>
      <w:lvlText w:val="(%2)"/>
      <w:numFmt w:val="lowerLetter"/>
      <w:start w:val="61"/>
    </w:lvl>
  </w:abstractNum>
  <w:abstractNum w:abstractNumId="78">
    <w:nsid w:val="6FC75AF8"/>
    <w:multiLevelType w:val="hybridMultilevel"/>
    <w:lvl w:ilvl="0">
      <w:lvlJc w:val="left"/>
      <w:lvlText w:val="(%1)"/>
      <w:numFmt w:val="lowerLetter"/>
      <w:start w:val="25"/>
    </w:lvl>
    <w:lvl w:ilvl="1">
      <w:lvlJc w:val="left"/>
      <w:lvlText w:val="%2"/>
      <w:numFmt w:val="lowerLetter"/>
      <w:start w:val="1"/>
    </w:lvl>
  </w:abstractNum>
  <w:abstractNum w:abstractNumId="79">
    <w:nsid w:val="6A5F7029"/>
    <w:multiLevelType w:val="hybridMultilevel"/>
    <w:lvl w:ilvl="0">
      <w:lvlJc w:val="left"/>
      <w:lvlText w:val="%1"/>
      <w:numFmt w:val="lowerLetter"/>
      <w:start w:val="1"/>
    </w:lvl>
    <w:lvl w:ilvl="1">
      <w:lvlJc w:val="left"/>
      <w:lvlText w:val="(%2)"/>
      <w:numFmt w:val="lowerLetter"/>
      <w:start w:val="27"/>
    </w:lvl>
  </w:abstractNum>
  <w:abstractNum w:abstractNumId="80">
    <w:nsid w:val="7D5E18F8"/>
    <w:multiLevelType w:val="hybridMultilevel"/>
    <w:lvl w:ilvl="0">
      <w:lvlJc w:val="left"/>
      <w:lvlText w:val="(%1)"/>
      <w:numFmt w:val="lowerLetter"/>
      <w:start w:val="35"/>
    </w:lvl>
    <w:lvl w:ilvl="1">
      <w:lvlJc w:val="left"/>
      <w:lvlText w:val="(%2)"/>
      <w:numFmt w:val="lowerLetter"/>
      <w:start w:val="28"/>
    </w:lvl>
  </w:abstractNum>
  <w:abstractNum w:abstractNumId="81">
    <w:nsid w:val="5F3534A4"/>
    <w:multiLevelType w:val="hybridMultilevel"/>
    <w:lvl w:ilvl="0">
      <w:lvlJc w:val="left"/>
      <w:lvlText w:val="%1"/>
      <w:numFmt w:val="lowerRoman"/>
      <w:start w:val="1"/>
    </w:lvl>
    <w:lvl w:ilvl="1">
      <w:lvlJc w:val="left"/>
      <w:lvlText w:val="(%2)"/>
      <w:numFmt w:val="lowerLetter"/>
      <w:start w:val="38"/>
    </w:lvl>
  </w:abstractNum>
  <w:abstractNum w:abstractNumId="82">
    <w:nsid w:val="73A1821B"/>
    <w:multiLevelType w:val="hybridMultilevel"/>
    <w:lvl w:ilvl="0">
      <w:lvlJc w:val="left"/>
      <w:lvlText w:val="(%1)"/>
      <w:numFmt w:val="lowerRoman"/>
      <w:start w:val="27"/>
    </w:lvl>
    <w:lvl w:ilvl="1">
      <w:lvlJc w:val="left"/>
      <w:lvlText w:val="%2"/>
      <w:numFmt w:val="lowerLetter"/>
      <w:start w:val="1"/>
    </w:lvl>
  </w:abstractNum>
  <w:abstractNum w:abstractNumId="83">
    <w:nsid w:val="7DE67713"/>
    <w:multiLevelType w:val="hybridMultilevel"/>
    <w:lvl w:ilvl="0">
      <w:lvlJc w:val="left"/>
      <w:lvlText w:val="(%1)"/>
      <w:numFmt w:val="lowerRoman"/>
      <w:start w:val="31"/>
    </w:lvl>
    <w:lvl w:ilvl="1">
      <w:lvlJc w:val="left"/>
      <w:lvlText w:val="(%2)"/>
      <w:numFmt w:val="lowerLetter"/>
      <w:start w:val="39"/>
    </w:lvl>
  </w:abstractNum>
  <w:abstractNum w:abstractNumId="84">
    <w:nsid w:val="555C55B5"/>
    <w:multiLevelType w:val="hybridMultilevel"/>
    <w:lvl w:ilvl="0">
      <w:lvlJc w:val="left"/>
      <w:lvlText w:val="(%1)"/>
      <w:numFmt w:val="lowerLetter"/>
      <w:start w:val="40"/>
    </w:lvl>
  </w:abstractNum>
  <w:abstractNum w:abstractNumId="85">
    <w:nsid w:val="3FA62ACA"/>
    <w:multiLevelType w:val="hybridMultilevel"/>
    <w:lvl w:ilvl="0">
      <w:lvlJc w:val="left"/>
      <w:lvlText w:val="(%1)"/>
      <w:numFmt w:val="lowerLetter"/>
      <w:start w:val="52"/>
    </w:lvl>
  </w:abstractNum>
  <w:abstractNum w:abstractNumId="86">
    <w:nsid w:val="14FCE74E"/>
    <w:multiLevelType w:val="hybridMultilevel"/>
    <w:lvl w:ilvl="0">
      <w:lvlJc w:val="left"/>
      <w:lvlText w:val="(%1)"/>
      <w:numFmt w:val="lowerLetter"/>
      <w:start w:val="53"/>
    </w:lvl>
  </w:abstractNum>
  <w:abstractNum w:abstractNumId="87">
    <w:nsid w:val="6A3DD3E8"/>
    <w:multiLevelType w:val="hybridMultilevel"/>
    <w:lvl w:ilvl="0">
      <w:lvlJc w:val="left"/>
      <w:lvlText w:val="(%1)"/>
      <w:numFmt w:val="lowerLetter"/>
      <w:start w:val="1"/>
    </w:lvl>
  </w:abstractNum>
  <w:abstractNum w:abstractNumId="88">
    <w:nsid w:val="71C91298"/>
    <w:multiLevelType w:val="hybridMultilevel"/>
    <w:lvl w:ilvl="0">
      <w:lvlJc w:val="left"/>
      <w:lvlText w:val="•"/>
      <w:numFmt w:val="bullet"/>
      <w:start w:val="1"/>
    </w:lvl>
  </w:abstractNum>
  <w:abstractNum w:abstractNumId="89">
    <w:nsid w:val="9DAF632"/>
    <w:multiLevelType w:val="hybridMultilevel"/>
    <w:lvl w:ilvl="0">
      <w:lvlJc w:val="left"/>
      <w:lvlText w:val="(%1)"/>
      <w:numFmt w:val="lowerLetter"/>
      <w:start w:val="1"/>
    </w:lvl>
  </w:abstractNum>
  <w:abstractNum w:abstractNumId="90">
    <w:nsid w:val="53299938"/>
    <w:multiLevelType w:val="hybridMultilevel"/>
    <w:lvl w:ilvl="0">
      <w:lvlJc w:val="left"/>
      <w:lvlText w:val="(%1)"/>
      <w:numFmt w:val="lowerLetter"/>
      <w:start w:val="1"/>
    </w:lvl>
  </w:abstractNum>
  <w:abstractNum w:abstractNumId="91">
    <w:nsid w:val="1FBFE8E0"/>
    <w:multiLevelType w:val="hybridMultilevel"/>
    <w:lvl w:ilvl="0">
      <w:lvlJc w:val="left"/>
      <w:lvlText w:val="(%1)"/>
      <w:numFmt w:val="lowerLetter"/>
      <w:start w:val="2"/>
    </w:lvl>
  </w:abstractNum>
  <w:abstractNum w:abstractNumId="92">
    <w:nsid w:val="5092CA79"/>
    <w:multiLevelType w:val="hybridMultilevel"/>
    <w:lvl w:ilvl="0">
      <w:lvlJc w:val="left"/>
      <w:lvlText w:val="(%1)"/>
      <w:numFmt w:val="lowerLetter"/>
      <w:start w:val="1"/>
    </w:lvl>
  </w:abstractNum>
  <w:abstractNum w:abstractNumId="93">
    <w:nsid w:val="1D545C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4">
    <w:nsid w:val="59ADEA3D"/>
    <w:multiLevelType w:val="hybridMultilevel"/>
    <w:lvl w:ilvl="0">
      <w:lvlJc w:val="left"/>
      <w:lvlText w:val="(%1)"/>
      <w:numFmt w:val="upperLetter"/>
      <w:start w:val="2"/>
    </w:lvl>
    <w:lvl w:ilvl="1">
      <w:lvlJc w:val="left"/>
      <w:lvlText w:val="(%2)"/>
      <w:numFmt w:val="lowerRoman"/>
      <w:start w:val="3"/>
    </w:lvl>
  </w:abstractNum>
  <w:abstractNum w:abstractNumId="95">
    <w:nsid w:val="288F1A3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96">
    <w:nsid w:val="2A155DBC"/>
    <w:multiLevelType w:val="hybridMultilevel"/>
    <w:lvl w:ilvl="0">
      <w:lvlJc w:val="left"/>
      <w:lvlText w:val="%1"/>
      <w:numFmt w:val="decimal"/>
      <w:start w:val="423"/>
    </w:lvl>
    <w:lvl w:ilvl="1">
      <w:lvlJc w:val="left"/>
      <w:lvlText w:val="(%2)"/>
      <w:numFmt w:val="lowerLetter"/>
      <w:start w:val="2"/>
    </w:lvl>
    <w:lvl w:ilvl="2">
      <w:lvlJc w:val="left"/>
      <w:lvlText w:val="(%3)"/>
      <w:numFmt w:val="lowerRoman"/>
      <w:start w:val="8"/>
    </w:lvl>
  </w:abstractNum>
  <w:abstractNum w:abstractNumId="97">
    <w:nsid w:val="1D9F6E5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8">
    <w:nsid w:val="97E1B4E"/>
    <w:multiLevelType w:val="hybridMultilevel"/>
    <w:lvl w:ilvl="0">
      <w:lvlJc w:val="left"/>
      <w:lvlText w:val="%1"/>
      <w:numFmt w:val="decimal"/>
      <w:start w:val="1"/>
    </w:lvl>
    <w:lvl w:ilvl="1">
      <w:lvlJc w:val="left"/>
      <w:lvlText w:val="(%2)"/>
      <w:numFmt w:val="lowerLetter"/>
      <w:start w:val="2"/>
    </w:lvl>
  </w:abstractNum>
  <w:abstractNum w:abstractNumId="99">
    <w:nsid w:val="51088277"/>
    <w:multiLevelType w:val="hybridMultilevel"/>
    <w:lvl w:ilvl="0">
      <w:lvlJc w:val="left"/>
      <w:lvlText w:val="%1."/>
      <w:numFmt w:val="decimal"/>
      <w:start w:val="4"/>
    </w:lvl>
    <w:lvl w:ilvl="1">
      <w:lvlJc w:val="left"/>
      <w:lvlText w:val="(%2)"/>
      <w:numFmt w:val="lowerLetter"/>
      <w:start w:val="1"/>
    </w:lvl>
  </w:abstractNum>
  <w:abstractNum w:abstractNumId="100">
    <w:nsid w:val="1CA0C5FA"/>
    <w:multiLevelType w:val="hybridMultilevel"/>
    <w:lvl w:ilvl="0">
      <w:lvlJc w:val="left"/>
      <w:lvlText w:val="(%1)"/>
      <w:numFmt w:val="lowerRoman"/>
      <w:start w:val="1"/>
    </w:lvl>
  </w:abstractNum>
  <w:abstractNum w:abstractNumId="101">
    <w:nsid w:val="53584BCB"/>
    <w:multiLevelType w:val="hybridMultilevel"/>
    <w:lvl w:ilvl="0">
      <w:lvlJc w:val="left"/>
      <w:lvlText w:val="(%1)"/>
      <w:numFmt w:val="lowerRoman"/>
      <w:start w:val="2"/>
    </w:lvl>
  </w:abstractNum>
  <w:abstractNum w:abstractNumId="102">
    <w:nsid w:val="415E286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03">
    <w:nsid w:val="7C58FD0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04">
    <w:nsid w:val="23D86AA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5">
    <w:nsid w:val="45E6D48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6">
    <w:nsid w:val="5C10FE2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7">
    <w:nsid w:val="E7FFA2B"/>
    <w:multiLevelType w:val="hybridMultilevel"/>
    <w:lvl w:ilvl="0">
      <w:lvlJc w:val="left"/>
      <w:lvlText w:val="%1"/>
      <w:numFmt w:val="decimal"/>
      <w:start w:val="1"/>
    </w:lvl>
    <w:lvl w:ilvl="1">
      <w:lvlJc w:val="left"/>
      <w:lvlText w:val="(%2)"/>
      <w:numFmt w:val="lowerLetter"/>
      <w:start w:val="5"/>
    </w:lvl>
  </w:abstractNum>
  <w:abstractNum w:abstractNumId="108">
    <w:nsid w:val="3C5991AA"/>
    <w:multiLevelType w:val="hybridMultilevel"/>
    <w:lvl w:ilvl="0">
      <w:lvlJc w:val="left"/>
      <w:lvlText w:val="%1."/>
      <w:numFmt w:val="decimal"/>
      <w:start w:val="8"/>
    </w:lvl>
    <w:lvl w:ilvl="1">
      <w:lvlJc w:val="left"/>
      <w:lvlText w:val="(%2)"/>
      <w:numFmt w:val="lowerLetter"/>
      <w:start w:val="1"/>
    </w:lvl>
  </w:abstractNum>
  <w:abstractNum w:abstractNumId="109">
    <w:nsid w:val="4BD8591A"/>
    <w:multiLevelType w:val="hybridMultilevel"/>
    <w:lvl w:ilvl="0">
      <w:lvlJc w:val="left"/>
      <w:lvlText w:val="%1."/>
      <w:numFmt w:val="decimal"/>
      <w:start w:val="10"/>
    </w:lvl>
    <w:lvl w:ilvl="1">
      <w:lvlJc w:val="left"/>
      <w:lvlText w:val="(%2)"/>
      <w:numFmt w:val="lowerLetter"/>
      <w:start w:val="1"/>
    </w:lvl>
  </w:abstractNum>
  <w:abstractNum w:abstractNumId="110">
    <w:nsid w:val="78DF6A55"/>
    <w:multiLevelType w:val="hybridMultilevel"/>
    <w:lvl w:ilvl="0">
      <w:lvlJc w:val="left"/>
      <w:lvlText w:val="%1."/>
      <w:numFmt w:val="decimal"/>
      <w:start w:val="13"/>
    </w:lvl>
    <w:lvl w:ilvl="1">
      <w:lvlJc w:val="left"/>
      <w:lvlText w:val="(%2)"/>
      <w:numFmt w:val="lowerLetter"/>
      <w:start w:val="1"/>
    </w:lvl>
  </w:abstractNum>
  <w:abstractNum w:abstractNumId="111">
    <w:nsid w:val="39B7AAA2"/>
    <w:multiLevelType w:val="hybridMultilevel"/>
    <w:lvl w:ilvl="0">
      <w:lvlJc w:val="left"/>
      <w:lvlText w:val="%1."/>
      <w:numFmt w:val="decimal"/>
      <w:start w:val="15"/>
    </w:lvl>
    <w:lvl w:ilvl="1">
      <w:lvlJc w:val="left"/>
      <w:lvlText w:val="(%2)"/>
      <w:numFmt w:val="lowerLetter"/>
      <w:start w:val="1"/>
    </w:lvl>
  </w:abstractNum>
  <w:abstractNum w:abstractNumId="112">
    <w:nsid w:val="2B0D8DBE"/>
    <w:multiLevelType w:val="hybridMultilevel"/>
    <w:lvl w:ilvl="0">
      <w:lvlJc w:val="left"/>
      <w:lvlText w:val="%1"/>
      <w:numFmt w:val="decimal"/>
      <w:start w:val="1"/>
    </w:lvl>
    <w:lvl w:ilvl="1">
      <w:lvlJc w:val="left"/>
      <w:lvlText w:val="(%2)"/>
      <w:numFmt w:val="lowerLetter"/>
      <w:start w:val="4"/>
    </w:lvl>
  </w:abstractNum>
  <w:abstractNum w:abstractNumId="113">
    <w:nsid w:val="6C80EC70"/>
    <w:multiLevelType w:val="hybridMultilevel"/>
    <w:lvl w:ilvl="0">
      <w:lvlJc w:val="left"/>
      <w:lvlText w:val="%1."/>
      <w:numFmt w:val="decimal"/>
      <w:start w:val="16"/>
    </w:lvl>
    <w:lvl w:ilvl="1">
      <w:lvlJc w:val="left"/>
      <w:lvlText w:val="%2"/>
      <w:numFmt w:val="lowerLetter"/>
      <w:start w:val="1"/>
    </w:lvl>
  </w:abstractNum>
  <w:abstractNum w:abstractNumId="114">
    <w:nsid w:val="379E21B5"/>
    <w:multiLevelType w:val="hybridMultilevel"/>
    <w:lvl w:ilvl="0">
      <w:lvlJc w:val="left"/>
      <w:lvlText w:val="(%1)"/>
      <w:numFmt w:val="lowerLetter"/>
      <w:start w:val="1"/>
    </w:lvl>
  </w:abstractNum>
  <w:abstractNum w:abstractNumId="115">
    <w:nsid w:val="69E373"/>
    <w:multiLevelType w:val="hybridMultilevel"/>
    <w:lvl w:ilvl="0">
      <w:lvlJc w:val="left"/>
      <w:lvlText w:val="(%1)"/>
      <w:numFmt w:val="lowerRoman"/>
      <w:start w:val="1"/>
    </w:lvl>
  </w:abstractNum>
  <w:abstractNum w:abstractNumId="116">
    <w:nsid w:val="2C27173B"/>
    <w:multiLevelType w:val="hybridMultilevel"/>
    <w:lvl w:ilvl="0">
      <w:lvlJc w:val="left"/>
      <w:lvlText w:val="%1"/>
      <w:numFmt w:val="lowerLetter"/>
      <w:start w:val="1"/>
    </w:lvl>
    <w:lvl w:ilvl="1">
      <w:lvlJc w:val="left"/>
      <w:lvlText w:val="(%2)"/>
      <w:numFmt w:val="lowerRoman"/>
      <w:start w:val="2"/>
    </w:lvl>
  </w:abstractNum>
  <w:abstractNum w:abstractNumId="117">
    <w:nsid w:val="4C9B0904"/>
    <w:multiLevelType w:val="hybridMultilevel"/>
    <w:lvl w:ilvl="0">
      <w:lvlJc w:val="left"/>
      <w:lvlText w:val="(%1)"/>
      <w:numFmt w:val="lowerLetter"/>
      <w:start w:val="11"/>
    </w:lvl>
    <w:lvl w:ilvl="1">
      <w:lvlJc w:val="left"/>
      <w:lvlText w:val="(%2)"/>
      <w:numFmt w:val="lowerRoman"/>
      <w:start w:val="1"/>
    </w:lvl>
  </w:abstractNum>
  <w:abstractNum w:abstractNumId="118">
    <w:nsid w:val="6AA7B75C"/>
    <w:multiLevelType w:val="hybridMultilevel"/>
    <w:lvl w:ilvl="0">
      <w:lvlJc w:val="left"/>
      <w:lvlText w:val="(%1)"/>
      <w:numFmt w:val="lowerLetter"/>
      <w:start w:val="19"/>
    </w:lvl>
  </w:abstractNum>
  <w:abstractNum w:abstractNumId="119">
    <w:nsid w:val="1DF029D3"/>
    <w:multiLevelType w:val="hybridMultilevel"/>
    <w:lvl w:ilvl="0">
      <w:lvlJc w:val="left"/>
      <w:lvlText w:val="(%1)"/>
      <w:numFmt w:val="low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2022-04-22T15:04:15Z</dcterms:created>
  <dcterms:modified xsi:type="dcterms:W3CDTF">2022-04-22T15:04:15Z</dcterms:modified>
</cp:coreProperties>
</file>