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2" w:space="0" w:color="000000"/>
              <w:bottom w:val="single" w:sz="2"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333"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23" w:before="0" w:after="0"/>
        <w:ind w:left="0" w:right="0" w:firstLine="432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23"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23" w:before="0" w:after="0"/>
        <w:ind w:left="0" w:right="0" w:firstLine="4320"/>
        <w:jc w:val="center"/>
        <w:rPr/>
      </w:pPr>
      <w:r>
        <w:rPr>
          <w:rFonts w:ascii="Times New Roman;sans-serif" w:hAnsi="Times New Roman;sans-serif"/>
          <w:b/>
          <w:color w:val="000000"/>
          <w:sz w:val="18"/>
        </w:rPr>
        <w:t>For the transition period from</w:t>
      </w:r>
      <w:r>
        <w:rPr>
          <w:color w:val="000000"/>
          <w:u w:val="single"/>
        </w:rPr>
        <w:t xml:space="preserve"> </w:t>
      </w:r>
      <w:r>
        <w:rPr>
          <w:rFonts w:ascii="Times New Roman;sans-serif" w:hAnsi="Times New Roman;sans-serif"/>
          <w:b/>
          <w:color w:val="000000"/>
          <w:sz w:val="18"/>
        </w:rPr>
        <w:t xml:space="preserve">to </w:t>
      </w:r>
      <w:r>
        <w:rPr>
          <w:rFonts w:ascii="Times New Roman;sans-serif" w:hAnsi="Times New Roman;sans-serif"/>
          <w:b/>
          <w:color w:val="FFFFFF"/>
          <w:sz w:val="18"/>
          <w:u w:val="single"/>
        </w:rPr>
        <w:t>.</w:t>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No. 001-35890</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333" w:before="0" w:after="0"/>
        <w:jc w:val="center"/>
        <w:rPr>
          <w:rFonts w:ascii="Times New Roman;sans-serif" w:hAnsi="Times New Roman;sans-serif"/>
          <w:b/>
          <w:color w:val="000000"/>
          <w:sz w:val="48"/>
        </w:rPr>
      </w:pPr>
      <w:r>
        <w:rPr>
          <w:rFonts w:ascii="Times New Roman;sans-serif" w:hAnsi="Times New Roman;sans-serif"/>
          <w:b/>
          <w:color w:val="000000"/>
          <w:sz w:val="48"/>
        </w:rPr>
        <w:t>Tempest Therapeutics, Inc.</w:t>
      </w:r>
    </w:p>
    <w:p>
      <w:pPr>
        <w:pStyle w:val="TextBody"/>
        <w:spacing w:lineRule="auto" w:line="333"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4363" w:type="dxa"/>
        <w:jc w:val="center"/>
        <w:tblInd w:w="0" w:type="dxa"/>
        <w:tblCellMar>
          <w:top w:w="28" w:type="dxa"/>
          <w:left w:w="28" w:type="dxa"/>
          <w:bottom w:w="28" w:type="dxa"/>
          <w:right w:w="28" w:type="dxa"/>
        </w:tblCellMar>
      </w:tblPr>
      <w:tblGrid>
        <w:gridCol w:w="1058"/>
        <w:gridCol w:w="930"/>
        <w:gridCol w:w="936"/>
        <w:gridCol w:w="420"/>
        <w:gridCol w:w="420"/>
        <w:gridCol w:w="599"/>
      </w:tblGrid>
      <w:tr>
        <w:trPr/>
        <w:tc>
          <w:tcPr>
            <w:tcW w:w="1058"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45-1472564</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w:t>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Incorporation or Organization)</w:t>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Identification No.)</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7000 Shoreline Court, Suite 275</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California</w:t>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43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49" w:before="0" w:after="12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(415) 798-8589</w:t>
      </w:r>
    </w:p>
    <w:p>
      <w:pPr>
        <w:pStyle w:val="TextBody"/>
        <w:spacing w:lineRule="auto" w:line="333"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7196" w:type="dxa"/>
        <w:jc w:val="left"/>
        <w:tblInd w:w="0" w:type="dxa"/>
        <w:tblCellMar>
          <w:top w:w="28" w:type="dxa"/>
          <w:left w:w="28" w:type="dxa"/>
          <w:bottom w:w="28" w:type="dxa"/>
          <w:right w:w="28" w:type="dxa"/>
        </w:tblCellMar>
      </w:tblPr>
      <w:tblGrid>
        <w:gridCol w:w="1025"/>
        <w:gridCol w:w="901"/>
        <w:gridCol w:w="908"/>
        <w:gridCol w:w="227"/>
        <w:gridCol w:w="227"/>
        <w:gridCol w:w="227"/>
        <w:gridCol w:w="185"/>
        <w:gridCol w:w="185"/>
        <w:gridCol w:w="186"/>
        <w:gridCol w:w="136"/>
        <w:gridCol w:w="136"/>
        <w:gridCol w:w="141"/>
        <w:gridCol w:w="779"/>
        <w:gridCol w:w="779"/>
        <w:gridCol w:w="782"/>
        <w:gridCol w:w="109"/>
        <w:gridCol w:w="109"/>
        <w:gridCol w:w="154"/>
      </w:tblGrid>
      <w:tr>
        <w:trPr/>
        <w:tc>
          <w:tcPr>
            <w:tcW w:w="102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79"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15" w:type="dxa"/>
            <w:gridSpan w:val="6"/>
            <w:vMerge w:val="restart"/>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969" w:type="dxa"/>
            <w:gridSpan w:val="6"/>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Trading</w:t>
            </w:r>
          </w:p>
        </w:tc>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15" w:type="dxa"/>
            <w:gridSpan w:val="6"/>
            <w:vMerge w:val="continue"/>
            <w:tcBorders/>
            <w:shd w:fill="auto" w:val="clear"/>
            <w:tcMar>
              <w:top w:w="0" w:type="dxa"/>
              <w:left w:w="0" w:type="dxa"/>
              <w:bottom w:w="0" w:type="dxa"/>
              <w:right w:w="0" w:type="dxa"/>
            </w:tcMar>
            <w:vAlign w:val="center"/>
          </w:tcPr>
          <w:p>
            <w:pPr>
              <w:pStyle w:val="Normal"/>
              <w:rPr/>
            </w:pPr>
            <w:r>
              <w:rPr/>
            </w:r>
          </w:p>
        </w:tc>
        <w:tc>
          <w:tcPr>
            <w:tcW w:w="969" w:type="dxa"/>
            <w:gridSpan w:val="6"/>
            <w:tcBorders/>
            <w:shd w:fill="auto" w:val="clear"/>
            <w:tcMar>
              <w:top w:w="0" w:type="dxa"/>
              <w:left w:w="0" w:type="dxa"/>
              <w:bottom w:w="0" w:type="dxa"/>
              <w:right w:w="0" w:type="dxa"/>
            </w:tcMar>
            <w:vAlign w:val="center"/>
          </w:tcPr>
          <w:p>
            <w:pPr>
              <w:pStyle w:val="TableContents"/>
              <w:spacing w:lineRule="auto" w:line="333" w:before="53" w:after="3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23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w:t>
            </w:r>
          </w:p>
        </w:tc>
        <w:tc>
          <w:tcPr>
            <w:tcW w:w="6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TPST</w:t>
            </w:r>
          </w:p>
        </w:tc>
        <w:tc>
          <w:tcPr>
            <w:tcW w:w="4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w:t>
        <w:br/>
        <w:t>and (2) has been subject to such filing requirements for the past 90 days. Yes ☒ No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34" w:type="dxa"/>
        <w:jc w:val="left"/>
        <w:tblInd w:w="0" w:type="dxa"/>
        <w:tblCellMar>
          <w:top w:w="28" w:type="dxa"/>
          <w:left w:w="28" w:type="dxa"/>
          <w:bottom w:w="28" w:type="dxa"/>
          <w:right w:w="28" w:type="dxa"/>
        </w:tblCellMar>
      </w:tblPr>
      <w:tblGrid>
        <w:gridCol w:w="842"/>
        <w:gridCol w:w="740"/>
        <w:gridCol w:w="743"/>
        <w:gridCol w:w="109"/>
        <w:gridCol w:w="109"/>
        <w:gridCol w:w="109"/>
        <w:gridCol w:w="769"/>
        <w:gridCol w:w="769"/>
        <w:gridCol w:w="772"/>
        <w:gridCol w:w="109"/>
        <w:gridCol w:w="109"/>
        <w:gridCol w:w="154"/>
      </w:tblGrid>
      <w:tr>
        <w:trPr/>
        <w:tc>
          <w:tcPr>
            <w:tcW w:w="8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r>
      <w:tr>
        <w:trPr/>
        <w:tc>
          <w:tcPr>
            <w:tcW w:w="23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23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Act).    Yes ☐    No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number of shares of Registrant’s Common Stock, $0.001 par value per share, outstanding as of May 11, 2022 was 10,323,006.</w:t>
      </w:r>
    </w:p>
    <w:p>
      <w:pPr>
        <w:pStyle w:val="TextBody"/>
        <w:spacing w:before="0" w:after="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INDEX TO FORM 10-Q</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65"/>
        <w:gridCol w:w="558"/>
        <w:gridCol w:w="558"/>
        <w:gridCol w:w="2622"/>
        <w:gridCol w:w="2622"/>
        <w:gridCol w:w="2664"/>
        <w:gridCol w:w="149"/>
        <w:gridCol w:w="149"/>
        <w:gridCol w:w="218"/>
      </w:tblGrid>
      <w:tr>
        <w:trPr/>
        <w:tc>
          <w:tcPr>
            <w:tcW w:w="665"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c>
          <w:tcPr>
            <w:tcW w:w="2622" w:type="dxa"/>
            <w:tcBorders/>
            <w:shd w:fill="auto" w:val="clear"/>
            <w:vAlign w:val="center"/>
          </w:tcPr>
          <w:p>
            <w:pPr>
              <w:pStyle w:val="TableContents"/>
              <w:spacing w:before="0" w:after="283"/>
              <w:rPr>
                <w:sz w:val="4"/>
                <w:szCs w:val="4"/>
              </w:rPr>
            </w:pPr>
            <w:r>
              <w:rPr>
                <w:sz w:val="4"/>
                <w:szCs w:val="4"/>
              </w:rPr>
            </w:r>
          </w:p>
        </w:tc>
        <w:tc>
          <w:tcPr>
            <w:tcW w:w="266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968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0">
              <w:r>
                <w:rPr>
                  <w:rStyle w:val="InternetLink"/>
                  <w:rFonts w:ascii="Times New Roman;sans-serif" w:hAnsi="Times New Roman;sans-serif"/>
                  <w:b w:val="false"/>
                  <w:color w:val="0000FF"/>
                  <w:sz w:val="18"/>
                  <w:u w:val="single"/>
                </w:rPr>
                <w:t>Special Note Regarding Forward-Looking Statements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0">
              <w:r>
                <w:rPr>
                  <w:rStyle w:val="InternetLink"/>
                  <w:rFonts w:ascii="Times New Roman;sans-serif" w:hAnsi="Times New Roman;sans-serif"/>
                  <w:b w:val="false"/>
                  <w:strike w:val="false"/>
                  <w:dstrike w:val="false"/>
                  <w:color w:val="0000FF"/>
                  <w:sz w:val="18"/>
                  <w:u w:val="none"/>
                  <w:effect w:val="none"/>
                </w:rPr>
                <w:t>3</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4d6baf9127a14cc4805d95f5bfdfed2c_13">
              <w:r>
                <w:rPr>
                  <w:rStyle w:val="InternetLink"/>
                  <w:rFonts w:ascii="Times New Roman;sans-serif" w:hAnsi="Times New Roman;sans-serif"/>
                  <w:b w:val="false"/>
                  <w:color w:val="0000FF"/>
                  <w:sz w:val="18"/>
                  <w:u w:val="single"/>
                </w:rPr>
                <w:t>PART I — FINANCIAL INFORMATION</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3">
              <w:r>
                <w:rPr>
                  <w:rStyle w:val="InternetLink"/>
                  <w:rFonts w:ascii="Times New Roman;sans-serif" w:hAnsi="Times New Roman;sans-serif"/>
                  <w:b w:val="false"/>
                  <w:strike w:val="false"/>
                  <w:dstrike w:val="false"/>
                  <w:color w:val="0000FF"/>
                  <w:sz w:val="18"/>
                  <w:u w:val="none"/>
                  <w:effect w:val="none"/>
                </w:rPr>
                <w:t>5</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6">
              <w:r>
                <w:rPr>
                  <w:rStyle w:val="InternetLink"/>
                  <w:rFonts w:ascii="Times New Roman;sans-serif" w:hAnsi="Times New Roman;sans-serif"/>
                  <w:b w:val="false"/>
                  <w:color w:val="0000FF"/>
                  <w:sz w:val="18"/>
                  <w:u w:val="single"/>
                </w:rPr>
                <w:t>Financial Statements (unaudited):</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6">
              <w:r>
                <w:rPr>
                  <w:rStyle w:val="InternetLink"/>
                  <w:rFonts w:ascii="Times New Roman;sans-serif" w:hAnsi="Times New Roman;sans-serif"/>
                  <w:b w:val="false"/>
                  <w:strike w:val="false"/>
                  <w:dstrike w:val="false"/>
                  <w:color w:val="0000FF"/>
                  <w:sz w:val="18"/>
                  <w:u w:val="none"/>
                  <w:effect w:val="none"/>
                </w:rPr>
                <w:t>5</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9">
              <w:r>
                <w:rPr>
                  <w:rStyle w:val="InternetLink"/>
                  <w:rFonts w:ascii="Times New Roman;sans-serif" w:hAnsi="Times New Roman;sans-serif"/>
                  <w:b w:val="false"/>
                  <w:color w:val="0000FF"/>
                  <w:sz w:val="18"/>
                  <w:u w:val="single"/>
                </w:rPr>
                <w:t>Condensed Consolidated Balance Sheets as of March 31, 2022 and December 31, 2021</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9">
              <w:r>
                <w:rPr>
                  <w:rStyle w:val="InternetLink"/>
                  <w:rFonts w:ascii="Times New Roman;sans-serif" w:hAnsi="Times New Roman;sans-serif"/>
                  <w:b w:val="false"/>
                  <w:strike w:val="false"/>
                  <w:dstrike w:val="false"/>
                  <w:color w:val="0000FF"/>
                  <w:sz w:val="18"/>
                  <w:u w:val="none"/>
                  <w:effect w:val="none"/>
                </w:rPr>
                <w:t>5</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22">
              <w:r>
                <w:rPr>
                  <w:rStyle w:val="InternetLink"/>
                  <w:rFonts w:ascii="Times New Roman;sans-serif" w:hAnsi="Times New Roman;sans-serif"/>
                  <w:b w:val="false"/>
                  <w:color w:val="0000FF"/>
                  <w:sz w:val="18"/>
                  <w:u w:val="single"/>
                </w:rPr>
                <w:t>Condensed Consolidated Statements of Operations for the Three Months Ended March 31, 2022 and 2021</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22">
              <w:r>
                <w:rPr>
                  <w:rStyle w:val="InternetLink"/>
                  <w:rFonts w:ascii="Times New Roman;sans-serif" w:hAnsi="Times New Roman;sans-serif"/>
                  <w:b w:val="false"/>
                  <w:strike w:val="false"/>
                  <w:dstrike w:val="false"/>
                  <w:color w:val="0000FF"/>
                  <w:sz w:val="18"/>
                  <w:u w:val="none"/>
                  <w:effect w:val="none"/>
                </w:rPr>
                <w:t>6</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25">
              <w:r>
                <w:rPr>
                  <w:rStyle w:val="InternetLink"/>
                </w:rPr>
                <w:t xml:space="preserve">Condensed Consolidated Statements of Stockholders’ Equity </w:t>
              </w:r>
            </w:hyperlink>
            <w:hyperlink w:anchor="i4d6baf9127a14cc4805d95f5bfdfed2c_25">
              <w:r>
                <w:rPr>
                  <w:rStyle w:val="InternetLink"/>
                </w:rPr>
                <w:t xml:space="preserve">(Deficit) </w:t>
              </w:r>
            </w:hyperlink>
            <w:hyperlink w:anchor="i4d6baf9127a14cc4805d95f5bfdfed2c_25">
              <w:r>
                <w:rPr>
                  <w:rStyle w:val="InternetLink"/>
                </w:rPr>
                <w:t>for the Three Months Ended March 31, 2022 and 2021</w:t>
              </w:r>
            </w:hyperlink>
            <w:r>
              <w:rPr>
                <w:color w:val="000000"/>
              </w:rPr>
              <w:t xml:space="preserve"> </w:t>
            </w:r>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25">
              <w:r>
                <w:rPr>
                  <w:rStyle w:val="InternetLink"/>
                  <w:rFonts w:ascii="Times New Roman;sans-serif" w:hAnsi="Times New Roman;sans-serif"/>
                  <w:b w:val="false"/>
                  <w:strike w:val="false"/>
                  <w:dstrike w:val="false"/>
                  <w:color w:val="0000FF"/>
                  <w:sz w:val="18"/>
                  <w:u w:val="none"/>
                  <w:effect w:val="none"/>
                </w:rPr>
                <w:t>7</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28">
              <w:r>
                <w:rPr>
                  <w:rStyle w:val="InternetLink"/>
                  <w:rFonts w:ascii="Times New Roman;sans-serif" w:hAnsi="Times New Roman;sans-serif"/>
                  <w:b w:val="false"/>
                  <w:color w:val="0000FF"/>
                  <w:sz w:val="18"/>
                  <w:u w:val="single"/>
                </w:rPr>
                <w:t>Condensed Consolidated Statements of Cash Flows for the Three Months Ended March 31, 2022 and 2021</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28">
              <w:r>
                <w:rPr>
                  <w:rStyle w:val="InternetLink"/>
                  <w:rFonts w:ascii="Times New Roman;sans-serif" w:hAnsi="Times New Roman;sans-serif"/>
                  <w:b w:val="false"/>
                  <w:strike w:val="false"/>
                  <w:dstrike w:val="false"/>
                  <w:color w:val="0000FF"/>
                  <w:sz w:val="18"/>
                  <w:u w:val="none"/>
                  <w:effect w:val="none"/>
                </w:rPr>
                <w:t>8</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31">
              <w:r>
                <w:rPr>
                  <w:rStyle w:val="InternetLink"/>
                  <w:rFonts w:ascii="Times New Roman;sans-serif" w:hAnsi="Times New Roman;sans-serif"/>
                  <w:b w:val="false"/>
                  <w:color w:val="0000FF"/>
                  <w:sz w:val="18"/>
                  <w:u w:val="single"/>
                </w:rPr>
                <w:t>Notes to Condensed Consolidated Financial Statements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31">
              <w:r>
                <w:rPr>
                  <w:rStyle w:val="InternetLink"/>
                  <w:rFonts w:ascii="Times New Roman;sans-serif" w:hAnsi="Times New Roman;sans-serif"/>
                  <w:b w:val="false"/>
                  <w:strike w:val="false"/>
                  <w:dstrike w:val="false"/>
                  <w:color w:val="0000FF"/>
                  <w:sz w:val="18"/>
                  <w:u w:val="none"/>
                  <w:effect w:val="none"/>
                </w:rPr>
                <w:t>9</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82">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82">
              <w:r>
                <w:rPr>
                  <w:rStyle w:val="InternetLink"/>
                  <w:rFonts w:ascii="Times New Roman;sans-serif" w:hAnsi="Times New Roman;sans-serif"/>
                  <w:b w:val="false"/>
                  <w:strike w:val="false"/>
                  <w:dstrike w:val="false"/>
                  <w:color w:val="0000FF"/>
                  <w:sz w:val="18"/>
                  <w:u w:val="none"/>
                  <w:effect w:val="none"/>
                </w:rPr>
                <w:t>19</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12">
              <w:r>
                <w:rPr>
                  <w:rStyle w:val="InternetLink"/>
                  <w:rFonts w:ascii="Times New Roman;sans-serif" w:hAnsi="Times New Roman;sans-serif"/>
                  <w:b w:val="false"/>
                  <w:color w:val="0000FF"/>
                  <w:sz w:val="18"/>
                  <w:u w:val="single"/>
                </w:rPr>
                <w:t>Controls and Procedures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12">
              <w:r>
                <w:rPr>
                  <w:rStyle w:val="InternetLink"/>
                  <w:rFonts w:ascii="Times New Roman;sans-serif" w:hAnsi="Times New Roman;sans-serif"/>
                  <w:b w:val="false"/>
                  <w:strike w:val="false"/>
                  <w:dstrike w:val="false"/>
                  <w:color w:val="0000FF"/>
                  <w:sz w:val="18"/>
                  <w:u w:val="none"/>
                  <w:effect w:val="none"/>
                </w:rPr>
                <w:t>24</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color w:val="000000"/>
              </w:rPr>
              <w:t>                                         </w:t>
            </w:r>
            <w:hyperlink w:anchor="i4d6baf9127a14cc4805d95f5bfdfed2c_115">
              <w:r>
                <w:rPr>
                  <w:rStyle w:val="InternetLink"/>
                  <w:rFonts w:ascii="Times New Roman;sans-serif" w:hAnsi="Times New Roman;sans-serif"/>
                  <w:b w:val="false"/>
                  <w:color w:val="0000FF"/>
                  <w:sz w:val="18"/>
                  <w:u w:val="single"/>
                </w:rPr>
                <w:t>PART II — OTHER INFORMATION</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15">
              <w:r>
                <w:rPr>
                  <w:rStyle w:val="InternetLink"/>
                  <w:rFonts w:ascii="Times New Roman;sans-serif" w:hAnsi="Times New Roman;sans-serif"/>
                  <w:b w:val="false"/>
                  <w:strike w:val="false"/>
                  <w:dstrike w:val="false"/>
                  <w:color w:val="0000FF"/>
                  <w:sz w:val="18"/>
                  <w:u w:val="none"/>
                  <w:effect w:val="none"/>
                </w:rPr>
                <w:t>26</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w:t>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18">
              <w:r>
                <w:rPr>
                  <w:rStyle w:val="InternetLink"/>
                  <w:rFonts w:ascii="Times New Roman;sans-serif" w:hAnsi="Times New Roman;sans-serif"/>
                  <w:b w:val="false"/>
                  <w:color w:val="0000FF"/>
                  <w:sz w:val="18"/>
                  <w:u w:val="single"/>
                </w:rPr>
                <w:t>Legal Proceedings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18">
              <w:r>
                <w:rPr>
                  <w:rStyle w:val="InternetLink"/>
                  <w:rFonts w:ascii="Times New Roman;sans-serif" w:hAnsi="Times New Roman;sans-serif"/>
                  <w:b w:val="false"/>
                  <w:strike w:val="false"/>
                  <w:dstrike w:val="false"/>
                  <w:color w:val="0000FF"/>
                  <w:sz w:val="18"/>
                  <w:u w:val="none"/>
                  <w:effect w:val="none"/>
                </w:rPr>
                <w:t>26</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1A.</w:t>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21">
              <w:r>
                <w:rPr>
                  <w:rStyle w:val="InternetLink"/>
                  <w:rFonts w:ascii="Times New Roman;sans-serif" w:hAnsi="Times New Roman;sans-serif"/>
                  <w:b w:val="false"/>
                  <w:color w:val="0000FF"/>
                  <w:sz w:val="18"/>
                  <w:u w:val="single"/>
                </w:rPr>
                <w:t>Risk Factors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21">
              <w:r>
                <w:rPr>
                  <w:rStyle w:val="InternetLink"/>
                  <w:rFonts w:ascii="Times New Roman;sans-serif" w:hAnsi="Times New Roman;sans-serif"/>
                  <w:b w:val="false"/>
                  <w:strike w:val="false"/>
                  <w:dstrike w:val="false"/>
                  <w:color w:val="0000FF"/>
                  <w:sz w:val="18"/>
                  <w:u w:val="none"/>
                  <w:effect w:val="none"/>
                </w:rPr>
                <w:t>26</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2.</w:t>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24">
              <w:r>
                <w:rPr>
                  <w:rStyle w:val="InternetLink"/>
                  <w:rFonts w:ascii="Times New Roman;sans-serif" w:hAnsi="Times New Roman;sans-serif"/>
                  <w:b w:val="false"/>
                  <w:color w:val="0000FF"/>
                  <w:sz w:val="18"/>
                  <w:u w:val="single"/>
                </w:rPr>
                <w:t>Unregistered Sales of Equity Securities and Use of Proceeds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24">
              <w:r>
                <w:rPr>
                  <w:rStyle w:val="InternetLink"/>
                  <w:rFonts w:ascii="Times New Roman;sans-serif" w:hAnsi="Times New Roman;sans-serif"/>
                  <w:b w:val="false"/>
                  <w:strike w:val="false"/>
                  <w:dstrike w:val="false"/>
                  <w:color w:val="0000FF"/>
                  <w:sz w:val="18"/>
                  <w:u w:val="none"/>
                  <w:effect w:val="none"/>
                </w:rPr>
                <w:t>63</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3.</w:t>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27">
              <w:r>
                <w:rPr>
                  <w:rStyle w:val="InternetLink"/>
                  <w:rFonts w:ascii="Times New Roman;sans-serif" w:hAnsi="Times New Roman;sans-serif"/>
                  <w:b w:val="false"/>
                  <w:color w:val="0000FF"/>
                  <w:sz w:val="18"/>
                  <w:u w:val="single"/>
                </w:rPr>
                <w:t>Defaults Upon Senior Securities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27">
              <w:r>
                <w:rPr>
                  <w:rStyle w:val="InternetLink"/>
                  <w:rFonts w:ascii="Times New Roman;sans-serif" w:hAnsi="Times New Roman;sans-serif"/>
                  <w:b w:val="false"/>
                  <w:strike w:val="false"/>
                  <w:dstrike w:val="false"/>
                  <w:color w:val="0000FF"/>
                  <w:sz w:val="18"/>
                  <w:u w:val="none"/>
                  <w:effect w:val="none"/>
                </w:rPr>
                <w:t>63</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4.</w:t>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30">
              <w:r>
                <w:rPr>
                  <w:rStyle w:val="InternetLink"/>
                  <w:rFonts w:ascii="Times New Roman;sans-serif" w:hAnsi="Times New Roman;sans-serif"/>
                  <w:b w:val="false"/>
                  <w:color w:val="0000FF"/>
                  <w:sz w:val="18"/>
                  <w:u w:val="single"/>
                </w:rPr>
                <w:t>Mine Safety Disclosures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30">
              <w:r>
                <w:rPr>
                  <w:rStyle w:val="InternetLink"/>
                  <w:rFonts w:ascii="Times New Roman;sans-serif" w:hAnsi="Times New Roman;sans-serif"/>
                  <w:b w:val="false"/>
                  <w:strike w:val="false"/>
                  <w:dstrike w:val="false"/>
                  <w:color w:val="0000FF"/>
                  <w:sz w:val="18"/>
                  <w:u w:val="none"/>
                  <w:effect w:val="none"/>
                </w:rPr>
                <w:t>63</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5.</w:t>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33">
              <w:r>
                <w:rPr>
                  <w:rStyle w:val="InternetLink"/>
                  <w:rFonts w:ascii="Times New Roman;sans-serif" w:hAnsi="Times New Roman;sans-serif"/>
                  <w:b w:val="false"/>
                  <w:color w:val="0000FF"/>
                  <w:sz w:val="18"/>
                  <w:u w:val="single"/>
                </w:rPr>
                <w:t>Other Information</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33">
              <w:r>
                <w:rPr>
                  <w:rStyle w:val="InternetLink"/>
                  <w:rFonts w:ascii="Times New Roman;sans-serif" w:hAnsi="Times New Roman;sans-serif"/>
                  <w:b w:val="false"/>
                  <w:strike w:val="false"/>
                  <w:dstrike w:val="false"/>
                  <w:color w:val="0000FF"/>
                  <w:sz w:val="18"/>
                  <w:u w:val="none"/>
                  <w:effect w:val="none"/>
                </w:rPr>
                <w:t>63</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Item 6.</w:t>
            </w:r>
          </w:p>
        </w:tc>
        <w:tc>
          <w:tcPr>
            <w:tcW w:w="7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36">
              <w:r>
                <w:rPr>
                  <w:rStyle w:val="InternetLink"/>
                  <w:rFonts w:ascii="Times New Roman;sans-serif" w:hAnsi="Times New Roman;sans-serif"/>
                  <w:b w:val="false"/>
                  <w:color w:val="0000FF"/>
                  <w:sz w:val="18"/>
                  <w:u w:val="single"/>
                </w:rPr>
                <w:t>Exhibits</w:t>
              </w:r>
            </w:hyperlink>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36">
              <w:r>
                <w:rPr>
                  <w:rStyle w:val="InternetLink"/>
                  <w:rFonts w:ascii="Times New Roman;sans-serif" w:hAnsi="Times New Roman;sans-serif"/>
                  <w:b w:val="false"/>
                  <w:strike w:val="false"/>
                  <w:dstrike w:val="false"/>
                  <w:color w:val="0000FF"/>
                  <w:sz w:val="18"/>
                  <w:u w:val="none"/>
                  <w:effect w:val="none"/>
                </w:rPr>
                <w:t>80</w:t>
              </w:r>
            </w:hyperlink>
          </w:p>
        </w:tc>
      </w:tr>
      <w:tr>
        <w:trPr/>
        <w:tc>
          <w:tcPr>
            <w:tcW w:w="178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4d6baf9127a14cc4805d95f5bfdfed2c_139">
              <w:r>
                <w:rPr>
                  <w:rStyle w:val="InternetLink"/>
                  <w:rFonts w:ascii="Times New Roman;sans-serif" w:hAnsi="Times New Roman;sans-serif"/>
                  <w:b w:val="false"/>
                  <w:color w:val="0000FF"/>
                  <w:sz w:val="18"/>
                  <w:u w:val="single"/>
                </w:rPr>
                <w:t>Signatures</w:t>
              </w:r>
            </w:hyperlink>
          </w:p>
        </w:tc>
        <w:tc>
          <w:tcPr>
            <w:tcW w:w="7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hyperlink w:anchor="i4d6baf9127a14cc4805d95f5bfdfed2c_139">
              <w:r>
                <w:rPr>
                  <w:rStyle w:val="InternetLink"/>
                  <w:rFonts w:ascii="Times New Roman;sans-serif" w:hAnsi="Times New Roman;sans-serif"/>
                  <w:b w:val="false"/>
                  <w:strike w:val="false"/>
                  <w:dstrike w:val="false"/>
                  <w:color w:val="0000FF"/>
                  <w:sz w:val="18"/>
                  <w:u w:val="none"/>
                  <w:effect w:val="none"/>
                </w:rPr>
                <w:t>81</w:t>
              </w:r>
            </w:hyperlink>
          </w:p>
        </w:tc>
      </w:tr>
    </w:tbl>
    <w:p>
      <w:pPr>
        <w:pStyle w:val="TextBody"/>
        <w:spacing w:before="0" w:after="0"/>
        <w:jc w:val="both"/>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(including within the meaning of Section 21E of the Securities Exchange Act of 1934, as amended, and Section 27A of the Securities Act of 1933, as amended (the “Securities Act”)) about us and our industry that involve substantial risks and uncertainties. These statements may discuss goals, intentions and expectations as to future plans, trends, events, results of operations or financial condition, or otherwise, based on current beliefs of our management, as well as assumptions made by, and information currently available to, our management. Forward-looking statements generally include statements that are predictive in nature and depend upon or refer to future events or conditions, and include words such as “may,” “will,” “should,” “would,” “could”, “expect,” “anticipate,” “plan,” “likely,” “believe,” “estimate,” “intend,” and other similar expressions.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our strategies, prospects, plans, expectations or objectives for future operations; the progress, scope or timing of the development of our product candidates; the benefits that may be derived from any future products or the commercial or market opportunity with respect to any of our future products; our ability to protect our intellectual property rights; our anticipated operations, financial position, ability to raise capital to fund operations, revenues, costs or expenses; statements regarding future economic conditions or performance; statements of belief and any statement of assumptions underlying any of the foregoing. These risks and uncertainties include, but are not limited to, the risks included in this Quarterly Report on Form 10-Q under Part II, Item 1A, “Risk Factors.” Other sections of this Quarterly Report on Form 10-Q, as well as our other disclosures and filings,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update or revise any forward-looking statements contained in this report, whether as a result of new information, future events or otherwise.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contained in this Quarterly Report on Form 10-Q include, but are not limited to, statements about:</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expected future growth and our ability to manage such growth;</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develop, obtain regulatory approval for and commercialize TPST-1495 and TPST-1120 and our future product candidates;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development, regulatory approval, efficacy and commercialization of competing products;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establish sales and marketing capabilities or enter into agreements with third parties to market and sell our product candidates;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retain regulatory approval for our product candidates or future product candidates in the United States and in any foreign countries in which we make seek to do business;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retain and hire our board of directors, senior management, or operational personnel;</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integrate TempestTx, Inc. and Millendo Therapeutics, Inc. (now the Company) successfully and realize the anticipated benefits of the merger of the two entities, which closed in July 2021;</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 regarding the period during which we will qualify as a smaller reporting company under the federal securities laws;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develop and maintain our corporate infrastructure, including our ability to remediate our existing material weakness and to design and maintain an effective system of internal controls;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financial performance and capital requirements;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expectations regarding our ability to obtain, maintain and enforce intellectual property protection for our products and technology, as well as our ability to operate our business without infringing, misappropriating or otherwise violating the intellectual property rights of others.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on Form 10-Q as well as the documents that we reference in,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context suggests otherwise, references in this Quarterly Report on Form 10-Q to “Tempest,” “the Company,” “we,” “us,” and “our” refer to Tempest Therapeutics, Inc. and, where appropriate, its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TEMPEST THERAPEUTICS,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tbl>
      <w:tblPr>
        <w:tblW w:w="10205" w:type="dxa"/>
        <w:jc w:val="center"/>
        <w:tblInd w:w="0" w:type="dxa"/>
        <w:tblCellMar>
          <w:top w:w="28" w:type="dxa"/>
          <w:left w:w="28" w:type="dxa"/>
          <w:bottom w:w="28" w:type="dxa"/>
          <w:right w:w="28" w:type="dxa"/>
        </w:tblCellMar>
      </w:tblPr>
      <w:tblGrid>
        <w:gridCol w:w="2835"/>
        <w:gridCol w:w="2356"/>
        <w:gridCol w:w="2307"/>
        <w:gridCol w:w="227"/>
        <w:gridCol w:w="777"/>
        <w:gridCol w:w="117"/>
        <w:gridCol w:w="109"/>
        <w:gridCol w:w="109"/>
        <w:gridCol w:w="109"/>
        <w:gridCol w:w="244"/>
        <w:gridCol w:w="834"/>
        <w:gridCol w:w="181"/>
      </w:tblGrid>
      <w:tr>
        <w:trPr/>
        <w:tc>
          <w:tcPr>
            <w:tcW w:w="2835" w:type="dxa"/>
            <w:tcBorders/>
            <w:shd w:fill="auto" w:val="clear"/>
            <w:vAlign w:val="center"/>
          </w:tcPr>
          <w:p>
            <w:pPr>
              <w:pStyle w:val="TableContents"/>
              <w:spacing w:before="0" w:after="283"/>
              <w:rPr>
                <w:sz w:val="4"/>
                <w:szCs w:val="4"/>
              </w:rPr>
            </w:pPr>
            <w:r>
              <w:rPr>
                <w:sz w:val="4"/>
                <w:szCs w:val="4"/>
              </w:rPr>
            </w:r>
          </w:p>
        </w:tc>
        <w:tc>
          <w:tcPr>
            <w:tcW w:w="2356"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br/>
              <w:t xml:space="preserve">(Unaudited)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recovery of legal settlement</w:t>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62,710 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68,963 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 net</w:t>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66,953 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73,238 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11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settlement</w:t>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operating lease liabilities</w:t>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w:t>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payable (net of discount and issuance costs of $692 and $756, respectively)</w:t>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15,069 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37,596 </w:t>
            </w:r>
          </w:p>
        </w:tc>
        <w:tc>
          <w:tcPr>
            <w:tcW w:w="11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37,121 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1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2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100,000,000 shares authorized at March 31, 2022 and December 31, 2021; 7,173,094 and 6,910,324 shares issued and outstanding at March 31, 2022 and December 31, 2021, respectively</w:t>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0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137,904 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136,173 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0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(108,554)</w:t>
            </w:r>
          </w:p>
        </w:tc>
        <w:tc>
          <w:tcPr>
            <w:tcW w:w="11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(100,063)</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stockholders’ equity </w:t>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36,117 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9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and stockholders’ equity </w:t>
            </w:r>
          </w:p>
        </w:tc>
        <w:tc>
          <w:tcPr>
            <w:tcW w:w="2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66,953 </w:t>
            </w:r>
          </w:p>
        </w:tc>
        <w:tc>
          <w:tcPr>
            <w:tcW w:w="1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73,238 </w:t>
            </w:r>
          </w:p>
        </w:tc>
        <w:tc>
          <w:tcPr>
            <w:tcW w:w="18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TEMPEST THERAPEUTICS,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Operations </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and per share amounts)</w:t>
      </w:r>
    </w:p>
    <w:p>
      <w:pPr>
        <w:pStyle w:val="TextBody"/>
        <w:spacing w:before="0" w:after="0"/>
        <w:jc w:val="both"/>
        <w:rPr/>
      </w:pPr>
      <w:r>
        <w:rPr/>
      </w:r>
    </w:p>
    <w:tbl>
      <w:tblPr>
        <w:tblW w:w="8587" w:type="dxa"/>
        <w:jc w:val="left"/>
        <w:tblInd w:w="0" w:type="dxa"/>
        <w:tblCellMar>
          <w:top w:w="28" w:type="dxa"/>
          <w:left w:w="28" w:type="dxa"/>
          <w:bottom w:w="28" w:type="dxa"/>
          <w:right w:w="28" w:type="dxa"/>
        </w:tblCellMar>
      </w:tblPr>
      <w:tblGrid>
        <w:gridCol w:w="2208"/>
        <w:gridCol w:w="1935"/>
        <w:gridCol w:w="1946"/>
        <w:gridCol w:w="244"/>
        <w:gridCol w:w="732"/>
        <w:gridCol w:w="111"/>
        <w:gridCol w:w="111"/>
        <w:gridCol w:w="111"/>
        <w:gridCol w:w="111"/>
        <w:gridCol w:w="215"/>
        <w:gridCol w:w="706"/>
        <w:gridCol w:w="157"/>
      </w:tblGrid>
      <w:tr>
        <w:trPr/>
        <w:tc>
          <w:tcPr>
            <w:tcW w:w="2208" w:type="dxa"/>
            <w:tcBorders/>
            <w:shd w:fill="auto" w:val="clear"/>
            <w:vAlign w:val="center"/>
          </w:tcPr>
          <w:p>
            <w:pPr>
              <w:pStyle w:val="TableContents"/>
              <w:spacing w:before="0" w:after="283"/>
              <w:rPr>
                <w:sz w:val="4"/>
                <w:szCs w:val="4"/>
              </w:rPr>
            </w:pPr>
            <w:r>
              <w:rPr>
                <w:sz w:val="4"/>
                <w:szCs w:val="4"/>
              </w:rPr>
            </w:r>
          </w:p>
        </w:tc>
        <w:tc>
          <w:tcPr>
            <w:tcW w:w="1935" w:type="dxa"/>
            <w:tcBorders/>
            <w:shd w:fill="auto" w:val="clear"/>
            <w:vAlign w:val="center"/>
          </w:tcPr>
          <w:p>
            <w:pPr>
              <w:pStyle w:val="TableContents"/>
              <w:spacing w:before="0" w:after="283"/>
              <w:rPr>
                <w:sz w:val="4"/>
                <w:szCs w:val="4"/>
              </w:rPr>
            </w:pPr>
            <w:r>
              <w:rPr>
                <w:sz w:val="4"/>
                <w:szCs w:val="4"/>
              </w:rPr>
            </w:r>
          </w:p>
        </w:tc>
        <w:tc>
          <w:tcPr>
            <w:tcW w:w="1946"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8"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w:t>
            </w:r>
          </w:p>
        </w:tc>
        <w:tc>
          <w:tcPr>
            <w:tcW w:w="1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Other (expense) income, net:</w:t>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income, net</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of common stock, basic and diluted</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 basic and diluted</w:t>
            </w:r>
          </w:p>
        </w:tc>
        <w:tc>
          <w:tcPr>
            <w:tcW w:w="976"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7,167,255 </w:t>
            </w:r>
          </w:p>
        </w:tc>
        <w:tc>
          <w:tcPr>
            <w:tcW w:w="111"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507,450 </w:t>
            </w:r>
          </w:p>
        </w:tc>
        <w:tc>
          <w:tcPr>
            <w:tcW w:w="157" w:type="dxa"/>
            <w:tcBorders>
              <w:top w:val="doub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the Condensed Consolidated Financial Statements</w:t>
      </w:r>
    </w:p>
    <w:p>
      <w:pPr>
        <w:pStyle w:val="TextBody"/>
        <w:spacing w:before="0" w:after="0"/>
        <w:jc w:val="both"/>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rPr/>
      </w:pPr>
      <w:r>
        <w:rPr/>
      </w:r>
    </w:p>
    <w:p>
      <w:pPr>
        <w:pStyle w:val="TextBody"/>
        <w:spacing w:lineRule="auto" w:line="424" w:before="0" w:after="0"/>
        <w:jc w:val="center"/>
        <w:rPr>
          <w:rFonts w:ascii="Times New Roman;sans-serif" w:hAnsi="Times New Roman;sans-serif"/>
          <w:b/>
          <w:color w:val="000000"/>
          <w:sz w:val="18"/>
        </w:rPr>
      </w:pPr>
      <w:r>
        <w:rPr>
          <w:rFonts w:ascii="Times New Roman;sans-serif" w:hAnsi="Times New Roman;sans-serif"/>
          <w:b/>
          <w:color w:val="000000"/>
          <w:sz w:val="18"/>
        </w:rPr>
        <w:t>TEMPEST THERAPEUTICS,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Stockholders’ Equity (Deficit)</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 except share amounts)</w:t>
      </w:r>
    </w:p>
    <w:p>
      <w:pPr>
        <w:pStyle w:val="TextBody"/>
        <w:spacing w:before="0" w:after="0"/>
        <w:jc w:val="center"/>
        <w:rPr/>
      </w:pPr>
      <w:r>
        <w:rPr/>
      </w:r>
    </w:p>
    <w:p>
      <w:pPr>
        <w:pStyle w:val="TextBody"/>
        <w:spacing w:lineRule="auto" w:line="288" w:before="0" w:after="0"/>
        <w:rPr>
          <w:rFonts w:ascii="Times New Roman;sans-serif" w:hAnsi="Times New Roman;sans-serif"/>
          <w:b/>
          <w:color w:val="000000"/>
          <w:sz w:val="18"/>
        </w:rPr>
      </w:pPr>
      <w:r>
        <w:rPr>
          <w:rFonts w:ascii="Times New Roman;sans-serif" w:hAnsi="Times New Roman;sans-serif"/>
          <w:b/>
          <w:color w:val="000000"/>
          <w:sz w:val="18"/>
        </w:rPr>
        <w:t>Three Months Ended March 31, 2022</w:t>
      </w:r>
    </w:p>
    <w:tbl>
      <w:tblPr>
        <w:tblW w:w="10205" w:type="dxa"/>
        <w:jc w:val="left"/>
        <w:tblInd w:w="0" w:type="dxa"/>
        <w:tblCellMar>
          <w:top w:w="28" w:type="dxa"/>
          <w:left w:w="28" w:type="dxa"/>
          <w:bottom w:w="28" w:type="dxa"/>
          <w:right w:w="28" w:type="dxa"/>
        </w:tblCellMar>
      </w:tblPr>
      <w:tblGrid>
        <w:gridCol w:w="630"/>
        <w:gridCol w:w="522"/>
        <w:gridCol w:w="524"/>
        <w:gridCol w:w="109"/>
        <w:gridCol w:w="109"/>
        <w:gridCol w:w="109"/>
        <w:gridCol w:w="449"/>
        <w:gridCol w:w="422"/>
        <w:gridCol w:w="210"/>
        <w:gridCol w:w="212"/>
        <w:gridCol w:w="248"/>
        <w:gridCol w:w="305"/>
        <w:gridCol w:w="138"/>
        <w:gridCol w:w="310"/>
        <w:gridCol w:w="310"/>
        <w:gridCol w:w="311"/>
        <w:gridCol w:w="196"/>
        <w:gridCol w:w="736"/>
        <w:gridCol w:w="109"/>
        <w:gridCol w:w="1051"/>
        <w:gridCol w:w="196"/>
        <w:gridCol w:w="761"/>
        <w:gridCol w:w="109"/>
        <w:gridCol w:w="1127"/>
        <w:gridCol w:w="196"/>
        <w:gridCol w:w="646"/>
        <w:gridCol w:w="160"/>
      </w:tblGrid>
      <w:tr>
        <w:trPr/>
        <w:tc>
          <w:tcPr>
            <w:tcW w:w="63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422"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4"/>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51" w:type="dxa"/>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Deficit </w:t>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127" w:type="dxa"/>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Total Stockholders'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Equity </w:t>
            </w:r>
          </w:p>
        </w:tc>
        <w:tc>
          <w:tcPr>
            <w:tcW w:w="1002" w:type="dxa"/>
            <w:gridSpan w:val="3"/>
            <w:tcBorders/>
            <w:shd w:fill="auto" w:val="clea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212" w:type="dxa"/>
            <w:tcBorders/>
            <w:shd w:fill="auto" w:val="cle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vMerge w:val="continue"/>
            <w:tcBorders/>
            <w:shd w:fill="auto" w:val="clear"/>
            <w:tcMar>
              <w:top w:w="0" w:type="dxa"/>
              <w:left w:w="0" w:type="dxa"/>
              <w:bottom w:w="0" w:type="dxa"/>
              <w:right w:w="0" w:type="dxa"/>
            </w:tcMar>
            <w:vAlign w:val="center"/>
          </w:tcPr>
          <w:p>
            <w:pPr>
              <w:pStyle w:val="Normal"/>
              <w:rPr/>
            </w:pPr>
            <w:r>
              <w:rPr/>
            </w:r>
          </w:p>
        </w:tc>
        <w:tc>
          <w:tcPr>
            <w:tcW w:w="1066" w:type="dxa"/>
            <w:gridSpan w:val="3"/>
            <w:tcBorders/>
            <w:shd w:fill="auto" w:val="clear"/>
            <w:vAlign w:val="center"/>
          </w:tcPr>
          <w:p>
            <w:pPr>
              <w:pStyle w:val="TableContents"/>
              <w:spacing w:before="0" w:after="283"/>
              <w:rPr>
                <w:sz w:val="4"/>
                <w:szCs w:val="4"/>
              </w:rPr>
            </w:pPr>
            <w:r>
              <w:rPr>
                <w:sz w:val="4"/>
                <w:szCs w:val="4"/>
              </w:rPr>
            </w:r>
          </w:p>
        </w:tc>
        <w:tc>
          <w:tcPr>
            <w:tcW w:w="1127" w:type="dxa"/>
            <w:vMerge w:val="continue"/>
            <w:tcBorders/>
            <w:shd w:fill="auto" w:val="clear"/>
            <w:tcMar>
              <w:top w:w="0" w:type="dxa"/>
              <w:left w:w="0" w:type="dxa"/>
              <w:bottom w:w="0" w:type="dxa"/>
              <w:right w:w="0" w:type="dxa"/>
            </w:tcMar>
            <w:vAlign w:val="center"/>
          </w:tcPr>
          <w:p>
            <w:pPr>
              <w:pStyle w:val="Normal"/>
              <w:rPr/>
            </w:pPr>
            <w:r>
              <w:rPr/>
            </w:r>
          </w:p>
        </w:tc>
        <w:tc>
          <w:tcPr>
            <w:tcW w:w="1002" w:type="dxa"/>
            <w:gridSpan w:val="3"/>
            <w:tcBorders/>
            <w:shd w:fill="auto" w:val="clear"/>
            <w:vAlign w:val="center"/>
          </w:tcPr>
          <w:p>
            <w:pPr>
              <w:pStyle w:val="TableContents"/>
              <w:spacing w:before="0" w:after="283"/>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6,910,324 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136,173 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36,117 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for cash, net of issuance cost of $44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262,770 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5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1,403 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5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95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84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(8,491)</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7,173,094 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(108,554)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29,357 </w:t>
            </w:r>
          </w:p>
        </w:tc>
        <w:tc>
          <w:tcPr>
            <w:tcW w:w="160" w:type="dxa"/>
            <w:tcBorders>
              <w:top w:val="single" w:sz="8" w:space="0" w:color="000000"/>
              <w:bottom w:val="double" w:sz="8" w:space="0" w:color="000000"/>
              <w:right w:val="single" w:sz="8" w:space="0" w:color="D9D9D9"/>
            </w:tcBorders>
            <w:shd w:fill="CCEEFF" w:val="clear"/>
            <w:tcMar>
              <w:top w:w="30" w:type="dxa"/>
              <w:left w:w="0" w:type="dxa"/>
              <w:bottom w:w="3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18"/>
        </w:rPr>
      </w:pPr>
      <w:r>
        <w:rPr>
          <w:rFonts w:ascii="Times New Roman;sans-serif" w:hAnsi="Times New Roman;sans-serif"/>
          <w:b/>
          <w:color w:val="000000"/>
          <w:sz w:val="18"/>
        </w:rPr>
        <w:t>Three Months Ended March 31, 2021</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20"/>
        <w:gridCol w:w="546"/>
        <w:gridCol w:w="548"/>
        <w:gridCol w:w="109"/>
        <w:gridCol w:w="109"/>
        <w:gridCol w:w="109"/>
        <w:gridCol w:w="380"/>
        <w:gridCol w:w="356"/>
        <w:gridCol w:w="241"/>
        <w:gridCol w:w="243"/>
        <w:gridCol w:w="248"/>
        <w:gridCol w:w="305"/>
        <w:gridCol w:w="138"/>
        <w:gridCol w:w="343"/>
        <w:gridCol w:w="343"/>
        <w:gridCol w:w="345"/>
        <w:gridCol w:w="196"/>
        <w:gridCol w:w="556"/>
        <w:gridCol w:w="109"/>
        <w:gridCol w:w="1051"/>
        <w:gridCol w:w="196"/>
        <w:gridCol w:w="688"/>
        <w:gridCol w:w="109"/>
        <w:gridCol w:w="1273"/>
        <w:gridCol w:w="196"/>
        <w:gridCol w:w="688"/>
        <w:gridCol w:w="160"/>
      </w:tblGrid>
      <w:tr>
        <w:trPr/>
        <w:tc>
          <w:tcPr>
            <w:tcW w:w="62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0" w:type="dxa"/>
            <w:gridSpan w:val="4"/>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Paid-In Capital</w:t>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51" w:type="dxa"/>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Accumulated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Deficit </w:t>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273" w:type="dxa"/>
            <w:vMerge w:val="restart"/>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Total Stockholders'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Deficit </w:t>
            </w:r>
          </w:p>
        </w:tc>
        <w:tc>
          <w:tcPr>
            <w:tcW w:w="1044" w:type="dxa"/>
            <w:gridSpan w:val="3"/>
            <w:tcBorders/>
            <w:shd w:fill="auto" w:val="clea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243" w:type="dxa"/>
            <w:tcBorders/>
            <w:shd w:fill="auto" w:val="cle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1031" w:type="dxa"/>
            <w:gridSpan w:val="3"/>
            <w:vMerge w:val="continue"/>
            <w:tcBorders/>
            <w:shd w:fill="auto" w:val="clear"/>
            <w:tcMar>
              <w:top w:w="0" w:type="dxa"/>
              <w:left w:w="0" w:type="dxa"/>
              <w:bottom w:w="0" w:type="dxa"/>
              <w:right w:w="0" w:type="dxa"/>
            </w:tcMar>
            <w:vAlign w:val="center"/>
          </w:tcPr>
          <w:p>
            <w:pPr>
              <w:pStyle w:val="Normal"/>
              <w:rPr/>
            </w:pPr>
            <w:r>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vMerge w:val="continue"/>
            <w:tcBorders/>
            <w:shd w:fill="auto" w:val="clear"/>
            <w:tcMar>
              <w:top w:w="0" w:type="dxa"/>
              <w:left w:w="0" w:type="dxa"/>
              <w:bottom w:w="0" w:type="dxa"/>
              <w:right w:w="0" w:type="dxa"/>
            </w:tcMar>
            <w:vAlign w:val="center"/>
          </w:tcPr>
          <w:p>
            <w:pPr>
              <w:pStyle w:val="Normal"/>
              <w:rPr/>
            </w:pPr>
            <w:r>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273" w:type="dxa"/>
            <w:vMerge w:val="continue"/>
            <w:tcBorders/>
            <w:shd w:fill="auto" w:val="clear"/>
            <w:tcMar>
              <w:top w:w="0" w:type="dxa"/>
              <w:left w:w="0" w:type="dxa"/>
              <w:bottom w:w="0" w:type="dxa"/>
              <w:right w:w="0" w:type="dxa"/>
            </w:tcMar>
            <w:vAlign w:val="center"/>
          </w:tcPr>
          <w:p>
            <w:pPr>
              <w:pStyle w:val="Normal"/>
              <w:rPr/>
            </w:pPr>
            <w:r>
              <w:rPr/>
            </w:r>
          </w:p>
        </w:tc>
        <w:tc>
          <w:tcPr>
            <w:tcW w:w="1044" w:type="dxa"/>
            <w:gridSpan w:val="3"/>
            <w:tcBorders/>
            <w:shd w:fill="auto" w:val="clear"/>
            <w:vAlign w:val="center"/>
          </w:tcPr>
          <w:p>
            <w:pPr>
              <w:pStyle w:val="TableContents"/>
              <w:spacing w:before="0" w:after="283"/>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 December 31, 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498,269 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(71,761)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(68,793)</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4,368 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5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Vesting of early exercised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11,916 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Share-based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53"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(5,355)</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BALANCE — March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514,553 </w:t>
            </w:r>
          </w:p>
        </w:tc>
        <w:tc>
          <w:tcPr>
            <w:tcW w:w="24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0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3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3,164 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(77,116)</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8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(73,951)</w:t>
            </w:r>
          </w:p>
        </w:tc>
        <w:tc>
          <w:tcPr>
            <w:tcW w:w="1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the Condensed Consolidated Financial Statements.</w:t>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TEMPEST THERAPEUTICS, INC.</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Condensed 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8694" w:type="dxa"/>
        <w:jc w:val="center"/>
        <w:tblInd w:w="0" w:type="dxa"/>
        <w:tblCellMar>
          <w:top w:w="28" w:type="dxa"/>
          <w:left w:w="28" w:type="dxa"/>
          <w:bottom w:w="28" w:type="dxa"/>
          <w:right w:w="28" w:type="dxa"/>
        </w:tblCellMar>
      </w:tblPr>
      <w:tblGrid>
        <w:gridCol w:w="2261"/>
        <w:gridCol w:w="1983"/>
        <w:gridCol w:w="1996"/>
        <w:gridCol w:w="211"/>
        <w:gridCol w:w="721"/>
        <w:gridCol w:w="109"/>
        <w:gridCol w:w="109"/>
        <w:gridCol w:w="109"/>
        <w:gridCol w:w="109"/>
        <w:gridCol w:w="211"/>
        <w:gridCol w:w="721"/>
        <w:gridCol w:w="154"/>
      </w:tblGrid>
      <w:tr>
        <w:trPr/>
        <w:tc>
          <w:tcPr>
            <w:tcW w:w="2261" w:type="dxa"/>
            <w:tcBorders/>
            <w:shd w:fill="auto" w:val="clear"/>
            <w:vAlign w:val="center"/>
          </w:tcPr>
          <w:p>
            <w:pPr>
              <w:pStyle w:val="TableContents"/>
              <w:spacing w:before="0" w:after="283"/>
              <w:rPr>
                <w:sz w:val="4"/>
                <w:szCs w:val="4"/>
              </w:rPr>
            </w:pPr>
            <w:r>
              <w:rPr>
                <w:sz w:val="4"/>
                <w:szCs w:val="4"/>
              </w:rPr>
            </w:r>
          </w:p>
        </w:tc>
        <w:tc>
          <w:tcPr>
            <w:tcW w:w="1983" w:type="dxa"/>
            <w:tcBorders/>
            <w:shd w:fill="auto" w:val="clear"/>
            <w:vAlign w:val="center"/>
          </w:tcPr>
          <w:p>
            <w:pPr>
              <w:pStyle w:val="TableContents"/>
              <w:spacing w:before="0" w:after="283"/>
              <w:rPr>
                <w:sz w:val="4"/>
                <w:szCs w:val="4"/>
              </w:rPr>
            </w:pPr>
            <w:r>
              <w:rPr>
                <w:sz w:val="4"/>
                <w:szCs w:val="4"/>
              </w:rPr>
            </w:r>
          </w:p>
        </w:tc>
        <w:tc>
          <w:tcPr>
            <w:tcW w:w="19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Three Months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Ended March 31, </w:t>
            </w:r>
          </w:p>
        </w:tc>
      </w:tr>
      <w:tr>
        <w:trPr/>
        <w:tc>
          <w:tcPr>
            <w:tcW w:w="6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and other expense,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of property and equipment</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common stock, net of equity issuance costs</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loan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loan issuance costs</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option exercises</w:t>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27,440 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cash flow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 xml:space="preserve">Non-cash investing activities: </w:t>
            </w:r>
            <w:r>
              <w:rPr>
                <w:rFonts w:ascii="Times New Roman;sans-serif" w:hAnsi="Times New Roman;sans-serif"/>
                <w:b w:val="false"/>
                <w:color w:val="000000"/>
                <w:sz w:val="20"/>
              </w:rPr>
              <w:t>Property and equipment in accounts payable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Non-cash financing activities:</w:t>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early exercise stock options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the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TEMPEST THERAPEUTICS, INC.</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Notes to the Condensed Consolidated Financial Statements</w:t>
      </w:r>
    </w:p>
    <w:p>
      <w:pPr>
        <w:pStyle w:val="TextBody"/>
        <w:spacing w:lineRule="auto" w:line="268" w:before="0" w:after="0"/>
        <w:jc w:val="center"/>
        <w:rPr>
          <w:rFonts w:ascii="Times New Roman;sans-serif" w:hAnsi="Times New Roman;sans-serif"/>
          <w:b/>
          <w:color w:val="000000"/>
          <w:sz w:val="18"/>
        </w:rPr>
      </w:pPr>
      <w:r>
        <w:rPr>
          <w:rFonts w:ascii="Times New Roman;sans-serif" w:hAnsi="Times New Roman;sans-serif"/>
          <w:b/>
          <w:color w:val="000000"/>
          <w:sz w:val="18"/>
        </w:rPr>
        <w:t>(Amounts are in thousands except share and per share data)</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1.ORGANIZATION AND DESCRIPTION OF THE BUSINESS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Description of Business</w:t>
      </w:r>
      <w:r>
        <w:rPr>
          <w:color w:val="000000"/>
        </w:rPr>
        <w:t>—</w:t>
      </w:r>
      <w:r>
        <w:rPr>
          <w:rFonts w:ascii="Times New Roman;sans-serif" w:hAnsi="Times New Roman;sans-serif"/>
          <w:b w:val="false"/>
          <w:color w:val="000000"/>
          <w:sz w:val="20"/>
        </w:rPr>
        <w:t>Tempest Therapeutics, Inc. (“Tempest” or the “Company”) is a clinical-stage oncology company advancing small molecules that combine both tumor-targeted and immune-mediated mechanisms with the potential to treat a wide range of tumors. The Company’s two clinical programs are TPST-1120 and TPST-1495, antagonists of PPARα and EP2/EP4, respectively. Both TPST-1120 and TPST-1495 are advancing through Phase 1 clinical trials designed to study both agents as monotherapies and in combination with other approved agents. In collaboration with F. Hoffmann La Roche, TPST-1120 is also advancing through a randomized first line, global, Phase 1b/2 clinical study in combination with the standard-of-care regimen of atezolizumab and bevacizumab in patients with advanced or metastatic hepatocellular carcinoma. Tempest is also developing an orally available inhibitor of TREX-1 designed to activate selectively the cGAS/STING pathway, an innate immune response pathway important for the development of anti-tumor immunity. Tempest is headquartered in South San Francisco, California.</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Merger with Millendo</w:t>
      </w:r>
      <w:r>
        <w:rPr>
          <w:color w:val="000000"/>
        </w:rPr>
        <w:t>—</w:t>
      </w:r>
      <w:r>
        <w:rPr>
          <w:rFonts w:ascii="Times New Roman;sans-serif" w:hAnsi="Times New Roman;sans-serif"/>
          <w:b w:val="false"/>
          <w:color w:val="000000"/>
          <w:sz w:val="20"/>
        </w:rPr>
        <w:t>On March 29, 2021, TempestTx, Inc. (“Private Tempest”) entered into an Agreement and Plan of Merger (the “Merger</w:t>
      </w:r>
      <w:r>
        <w:rPr>
          <w:color w:val="000000"/>
        </w:rPr>
        <w:t xml:space="preserve"> </w:t>
      </w:r>
      <w:r>
        <w:rPr>
          <w:rFonts w:ascii="Times New Roman;sans-serif" w:hAnsi="Times New Roman;sans-serif"/>
          <w:b w:val="false"/>
          <w:color w:val="000000"/>
          <w:sz w:val="20"/>
        </w:rPr>
        <w:t>Agreement”) with Millendo Therapeutics, Inc. (“Millendo”).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25, 2021, Private Tempest completed the merger with Millendo in accordance with the Merger Agreement. Prior to the effective time of the merger, Millendo effected a 1-for-15 reverse stock split, and right after the merger, Millendo changed its name to Tempest Therapeutics, Inc. Under the terms of the Merger Agreement, immediately prior to the effective time of the merger, each share of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resulting in approximately 6,635,345 shares of the Company’s common stock being issued and outstanding immediately following the effective time of the merger. The Company also assumed all of the outstanding and unexercised stock options and warrants to purchase shares of Private Tempest capital stock. The assumed options continue to be governed by the terms of the 2011 and 2017 Equity Incentive Plans (as discussed more in Note 10) under which the options were originally granted, with such options hence forth representing the right to purchase a number of shares of the Company’s common stock equal to 0.0322 multiplied by the number of shares of Private Tempest common stock previously represented by such options.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merger was accounted for as a reverse recapitalization in accordance with U.S. generally accepted accounting principles (“GAAP”). Under this method of accounting, Private Tempest was be deemed to be the accounting acquirer for financial reporting purposes. This determination was primarily based on the expectation that, immediately following the merger: (i) Private Tempest stockholders would own a substantial majority of the voting rights; (ii) Private Tempest would designate a substantial majority of the initial members of the board of directors of the combined company; (iii) Private Tempest’s executive management team would become the management of the combined company; and (iv) the combined company would be named Tempest Therapeutics, Inc. Accordingly, for accounting purposes, the merger was treated as the equivalent of Tempest issuing stock to acquire the net assets of Millendo. As a result of the merger, the net assets of Millendo were recorded at their acquisition-date fair value in the financial statements of Private Tempest and the reported operating results prior to the merger will be those of Private Tempest. Historical per share figures of Private Tempest have been retroactively restated based on the exchange ratio of 0.0322.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Liquidity and Management Plans</w:t>
      </w:r>
      <w:r>
        <w:rPr>
          <w:color w:val="000000"/>
        </w:rPr>
        <w:t>—</w:t>
      </w:r>
      <w:r>
        <w:rPr>
          <w:rFonts w:ascii="Times New Roman;sans-serif" w:hAnsi="Times New Roman;sans-serif"/>
          <w:b w:val="false"/>
          <w:color w:val="000000"/>
          <w:sz w:val="20"/>
        </w:rPr>
        <w:t xml:space="preserve">The accompanying financial statements have been prepared assuming the Company will continue as a going concern. The Company has incurred operating losses since inception. The Company’s ultimate success depends on the outcome of the ongoing research and development activities. The Company has not yet generated product sales and as a result has experienced operating losses since inception. The Company expects to incur additional losses in the future to conduct research and development and will need to raise additional capital to fully implement management’s business plan. The Company intends to raise such capital through the issuance of additional equity and potentially through borrowings, strategic alliances with partner companies and other licensing transactions. However, if such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financing is not available at adequate levels, the Company may need to reevaluate its operating plans. Management believes that its cash and cash equivalents as of March 31, 2022 will be sufficient to fund the Company’s cash requirements for the next 12 months following the issuance of these financial statements.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the Company completed a $15 million private investment in public equity (“PIPE”) financing from the sale of 3,149,912 shares of its common stock at a price per share of $2.36 and, and in lieu of shares of common stock, pre-funded warrants to purchase up to 3,206,020 shares of its common stock at price per pre-funded warrant of $2.359 to EcoR1 Capital, LLC and Versant Venture Capital (the “PIPE Investors”). Gross proceeds from the PIPE financings total approximately $15.0 million, before deducting offering expenses.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 xml:space="preserve">Significant Accounting Policies -- </w:t>
      </w:r>
      <w:r>
        <w:rPr>
          <w:rFonts w:ascii="Times New Roman;sans-serif" w:hAnsi="Times New Roman;sans-serif"/>
          <w:b w:val="false"/>
          <w:color w:val="000000"/>
          <w:sz w:val="20"/>
        </w:rPr>
        <w:t>The Company’s significant accounting policies are described in Note 2, “Summary of Significant Accounting Policies,” in the Company’s Annual Report on Form 10-K filed with the U.S. Securities and Exchange Commission (“SEC”) on March 29, 2022. There have been no material changes to the significant accounting policies during the period ended March 31, 2022, except for items mentioned below.</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Basis of Presentation</w:t>
      </w:r>
      <w:r>
        <w:rPr>
          <w:color w:val="000000"/>
        </w:rPr>
        <w:t>—</w:t>
      </w:r>
      <w:r>
        <w:rPr>
          <w:rFonts w:ascii="Times New Roman;sans-serif" w:hAnsi="Times New Roman;sans-serif"/>
          <w:b w:val="false"/>
          <w:color w:val="000000"/>
          <w:sz w:val="20"/>
        </w:rPr>
        <w:t>The unaudited interim condensed consolidated financial statements have been prepared pursuant to the rules and regulations of the U.S. Securities and Exchange Commission. Accordingly, certain information and footnote disclosures normally included in annual financial statements prepared in accordance with GAAP have been omitted. These unaudited interim condensed consolidated financial statements should be read in conjunction with the Company’s audited consolidated financial statements and notes included in the company’s Annual Report on Form 10-K for the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prepared the accompanying condensed consolidated financial statements on the same basis as the audited financial statements, and the unaudited interim financial statements include, in the Company’s opinion, all adjustments, consisting only of normal recurring adjustments that the Company considers necessary for a fair presentation of its financial position and results of operations for these periods. </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Use of Estimates</w:t>
      </w:r>
      <w:r>
        <w:rPr>
          <w:color w:val="000000"/>
        </w:rPr>
        <w:t>—</w:t>
      </w:r>
      <w:r>
        <w:rPr>
          <w:rFonts w:ascii="Times New Roman;sans-serif" w:hAnsi="Times New Roman;sans-serif"/>
          <w:b w:val="false"/>
          <w:color w:val="000000"/>
          <w:sz w:val="20"/>
        </w:rPr>
        <w:t>The preparation of financial statements in conformity with GAAP requires management to make estimates and assumptions that affect the reported amounts of assets, liabilities, and the disclosure of contingent assets and liabilities at the date of the financial statements and the reported amounts of expenses during the reporting period. On an ongoing basis, the Company evaluates its estimates and assumptions, including those related to research and development accruals, recoverability of long-lived assets, right-of-use assets, lease obligations, stock-based compensation and income taxes uncertainties and valuation allowances.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those estimates.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MILLENDO MERGER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 1, Private Tempest merged with the Company on June 25, 2021. The merger was accounted for as a reverse recapitalization with Private Tempest as the accounting acquirer. The primary pre-combination assets of Millendo were cash, cash equivalents and restricted cash. Under reverse recapitalization accounting, the assets and liabilities of Millendo were recorded at their fair value which approximated book value due to the short-term nature of the instruments. No goodwill or intangible assets were recognized. Consequently, the condensed consolidated financial statements of Tempest reflect the operations of Millendo for accounting purposes together with a deemed issuance of shares, equivalent to the shares held by the former stockholders of the legal acquirer and a recapitalization of the equity of the accounting acquirer.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reverse recapitalization, the Company obtained approximately $17.0 million of cash, cash equivalents and restricted cash. The Company also obtained prepaids and other assets of approximately $1.4 million and assumed payables and accruals of approximately $0.5 million. The Company also acquired the operating lease right-of-use asset of $2.1 million and the related operating lease liability of $2.1 million. All of the development programs and associated collaboration arrangements were terminated prior to the merger and were deemed to have no value at the transaction date and the Company is winding down the legacy Millendo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incurred transaction costs of approximately $6.4 million and this amount is recorded in additional paid-in capital in the condensed consolidated statements of stockholders’ equity for the year ended December 31, 2021.</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FAIR VALUE MEASUREMENTS</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fair value hierarchy for assets and liabilities measured at fair value on a recurring basis:</w:t>
      </w:r>
    </w:p>
    <w:p>
      <w:pPr>
        <w:pStyle w:val="TextBody"/>
        <w:spacing w:before="0" w:after="0"/>
        <w:jc w:val="both"/>
        <w:rPr/>
      </w:pPr>
      <w:r>
        <w:rPr/>
      </w:r>
    </w:p>
    <w:tbl>
      <w:tblPr>
        <w:tblW w:w="6824" w:type="dxa"/>
        <w:jc w:val="left"/>
        <w:tblInd w:w="0" w:type="dxa"/>
        <w:tblCellMar>
          <w:top w:w="28" w:type="dxa"/>
          <w:left w:w="28" w:type="dxa"/>
          <w:bottom w:w="28" w:type="dxa"/>
          <w:right w:w="28" w:type="dxa"/>
        </w:tblCellMar>
      </w:tblPr>
      <w:tblGrid>
        <w:gridCol w:w="820"/>
        <w:gridCol w:w="720"/>
        <w:gridCol w:w="724"/>
        <w:gridCol w:w="211"/>
        <w:gridCol w:w="721"/>
        <w:gridCol w:w="109"/>
        <w:gridCol w:w="109"/>
        <w:gridCol w:w="109"/>
        <w:gridCol w:w="109"/>
        <w:gridCol w:w="211"/>
        <w:gridCol w:w="406"/>
        <w:gridCol w:w="109"/>
        <w:gridCol w:w="109"/>
        <w:gridCol w:w="109"/>
        <w:gridCol w:w="109"/>
        <w:gridCol w:w="211"/>
        <w:gridCol w:w="406"/>
        <w:gridCol w:w="109"/>
        <w:gridCol w:w="109"/>
        <w:gridCol w:w="109"/>
        <w:gridCol w:w="109"/>
        <w:gridCol w:w="211"/>
        <w:gridCol w:w="721"/>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0" w:type="dxa"/>
            <w:gridSpan w:val="21"/>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51,829 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51,829 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5. BALANCE SHEET ITEMS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 consist of the following as of March 31, 2022 and December 31, 2021:</w:t>
      </w:r>
    </w:p>
    <w:p>
      <w:pPr>
        <w:pStyle w:val="TextBody"/>
        <w:spacing w:before="0" w:after="0"/>
        <w:jc w:val="both"/>
        <w:rPr/>
      </w:pPr>
      <w:r>
        <w:rPr/>
      </w:r>
    </w:p>
    <w:tbl>
      <w:tblPr>
        <w:tblW w:w="5748" w:type="dxa"/>
        <w:jc w:val="left"/>
        <w:tblInd w:w="0" w:type="dxa"/>
        <w:tblCellMar>
          <w:top w:w="28" w:type="dxa"/>
          <w:left w:w="28" w:type="dxa"/>
          <w:bottom w:w="28" w:type="dxa"/>
          <w:right w:w="28" w:type="dxa"/>
        </w:tblCellMar>
      </w:tblPr>
      <w:tblGrid>
        <w:gridCol w:w="1212"/>
        <w:gridCol w:w="1062"/>
        <w:gridCol w:w="1071"/>
        <w:gridCol w:w="211"/>
        <w:gridCol w:w="616"/>
        <w:gridCol w:w="109"/>
        <w:gridCol w:w="109"/>
        <w:gridCol w:w="109"/>
        <w:gridCol w:w="109"/>
        <w:gridCol w:w="245"/>
        <w:gridCol w:w="716"/>
        <w:gridCol w:w="179"/>
      </w:tblGrid>
      <w:tr>
        <w:trPr/>
        <w:tc>
          <w:tcPr>
            <w:tcW w:w="1212"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 costs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 as of March 31, 2022 and December 31, 2021:</w:t>
      </w:r>
    </w:p>
    <w:p>
      <w:pPr>
        <w:pStyle w:val="TextBody"/>
        <w:spacing w:before="0" w:after="0"/>
        <w:jc w:val="both"/>
        <w:rPr/>
      </w:pPr>
      <w:r>
        <w:rPr/>
      </w:r>
    </w:p>
    <w:tbl>
      <w:tblPr>
        <w:tblW w:w="5313" w:type="dxa"/>
        <w:jc w:val="left"/>
        <w:tblInd w:w="0" w:type="dxa"/>
        <w:tblCellMar>
          <w:top w:w="28" w:type="dxa"/>
          <w:left w:w="28" w:type="dxa"/>
          <w:bottom w:w="28" w:type="dxa"/>
          <w:right w:w="28" w:type="dxa"/>
        </w:tblCellMar>
      </w:tblPr>
      <w:tblGrid>
        <w:gridCol w:w="1054"/>
        <w:gridCol w:w="925"/>
        <w:gridCol w:w="931"/>
        <w:gridCol w:w="211"/>
        <w:gridCol w:w="616"/>
        <w:gridCol w:w="109"/>
        <w:gridCol w:w="109"/>
        <w:gridCol w:w="109"/>
        <w:gridCol w:w="109"/>
        <w:gridCol w:w="245"/>
        <w:gridCol w:w="716"/>
        <w:gridCol w:w="179"/>
      </w:tblGrid>
      <w:tr>
        <w:trPr/>
        <w:tc>
          <w:tcPr>
            <w:tcW w:w="1054"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w:t>
            </w:r>
          </w:p>
        </w:tc>
        <w:tc>
          <w:tcPr>
            <w:tcW w:w="82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for the three months ended March 31, 2022 and 2021 were $108 and $78, respectively.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Accrued liabilities as of March 31, 2022 and December 31, 2021 consist of the following:</w:t>
      </w:r>
    </w:p>
    <w:p>
      <w:pPr>
        <w:pStyle w:val="TextBody"/>
        <w:spacing w:before="0" w:after="0"/>
        <w:jc w:val="both"/>
        <w:rPr/>
      </w:pPr>
      <w:r>
        <w:rPr/>
      </w:r>
    </w:p>
    <w:tbl>
      <w:tblPr>
        <w:tblW w:w="4938" w:type="dxa"/>
        <w:jc w:val="left"/>
        <w:tblInd w:w="0" w:type="dxa"/>
        <w:tblCellMar>
          <w:top w:w="28" w:type="dxa"/>
          <w:left w:w="28" w:type="dxa"/>
          <w:bottom w:w="28" w:type="dxa"/>
          <w:right w:w="28" w:type="dxa"/>
        </w:tblCellMar>
      </w:tblPr>
      <w:tblGrid>
        <w:gridCol w:w="917"/>
        <w:gridCol w:w="808"/>
        <w:gridCol w:w="810"/>
        <w:gridCol w:w="211"/>
        <w:gridCol w:w="616"/>
        <w:gridCol w:w="109"/>
        <w:gridCol w:w="109"/>
        <w:gridCol w:w="109"/>
        <w:gridCol w:w="109"/>
        <w:gridCol w:w="245"/>
        <w:gridCol w:w="716"/>
        <w:gridCol w:w="179"/>
      </w:tblGrid>
      <w:tr>
        <w:trPr/>
        <w:tc>
          <w:tcPr>
            <w:tcW w:w="917"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5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3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other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clinical trial liability</w:t>
            </w:r>
          </w:p>
        </w:tc>
        <w:tc>
          <w:tcPr>
            <w:tcW w:w="82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17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6. COMMITMENTS AND CONTINGENCIES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Facilities Lease Agreements</w:t>
      </w:r>
      <w:r>
        <w:rPr>
          <w:color w:val="000000"/>
        </w:rPr>
        <w:t>—</w:t>
      </w:r>
      <w:r>
        <w:rPr>
          <w:rFonts w:ascii="Times New Roman;sans-serif" w:hAnsi="Times New Roman;sans-serif"/>
          <w:b w:val="false"/>
          <w:color w:val="000000"/>
          <w:sz w:val="20"/>
        </w:rPr>
        <w:t>In February 2019, the Company entered into a 5-year office lease agreement for a 9,780 square feet facility in</w:t>
      </w:r>
      <w:r>
        <w:rPr>
          <w:color w:val="000000"/>
        </w:rPr>
        <w:t xml:space="preserve"> </w:t>
      </w:r>
      <w:r>
        <w:rPr>
          <w:rFonts w:ascii="Times New Roman;sans-serif" w:hAnsi="Times New Roman;sans-serif"/>
          <w:b w:val="false"/>
          <w:color w:val="000000"/>
          <w:sz w:val="20"/>
        </w:rPr>
        <w:t xml:space="preserve">South San Francisco, California (“SSF Lease”). The remaining lease term of the SSF Lease is one year and eleven months as of March 31, 2022.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merger with Millendo, the Company assumed Millendo’s noncancelable operating leases for office space which have remaining lease terms of approximately 2.1 years. In February 2019 and October 2018, Millendo entered into two noncancellable operating leases for office space in Ann Arbor, Michigan (“Ann Arbor Leases”) of which one that Millendo took possession of in April 2019 and the other that Millendo took possession of in July 2019, respectively. One of its leases in Ann Arbor, Michigan expires in June 2024 and the other expires in March 2024. There were no other leases assumed by the Company as of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the balance of the operating lease right of use assets were $2,739 and $3,051, respectively, and the related operating lease liability were $3,121 and $3,468 respectively, as shown in the accompanying condensed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Rent expense was $359 and $161 for the three months ended March 31, 2022 and 2021, respectively.</w:t>
      </w:r>
    </w:p>
    <w:p>
      <w:pPr>
        <w:pStyle w:val="TextBody"/>
        <w:spacing w:before="0" w:after="0"/>
        <w:jc w:val="both"/>
        <w:rPr/>
      </w:pPr>
      <w:r>
        <w:rPr/>
      </w:r>
    </w:p>
    <w:p>
      <w:pPr>
        <w:pStyle w:val="TextBody"/>
        <w:spacing w:lineRule="auto" w:line="33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future minimum annual lease payments were as follows:</w:t>
      </w:r>
    </w:p>
    <w:tbl>
      <w:tblPr>
        <w:tblW w:w="6329" w:type="dxa"/>
        <w:jc w:val="left"/>
        <w:tblInd w:w="0" w:type="dxa"/>
        <w:tblCellMar>
          <w:top w:w="28" w:type="dxa"/>
          <w:left w:w="28" w:type="dxa"/>
          <w:bottom w:w="28" w:type="dxa"/>
          <w:right w:w="28" w:type="dxa"/>
        </w:tblCellMar>
      </w:tblPr>
      <w:tblGrid>
        <w:gridCol w:w="1734"/>
        <w:gridCol w:w="1530"/>
        <w:gridCol w:w="1535"/>
        <w:gridCol w:w="328"/>
        <w:gridCol w:w="961"/>
        <w:gridCol w:w="241"/>
      </w:tblGrid>
      <w:tr>
        <w:trPr/>
        <w:tc>
          <w:tcPr>
            <w:tcW w:w="1734"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Commitment</w:t>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Year Ending</w:t>
            </w:r>
          </w:p>
        </w:tc>
        <w:tc>
          <w:tcPr>
            <w:tcW w:w="1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(excluding the three months ended March 31, 2022)</w:t>
            </w:r>
          </w:p>
        </w:tc>
        <w:tc>
          <w:tcPr>
            <w:tcW w:w="32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8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28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obligations</w:t>
            </w:r>
          </w:p>
        </w:tc>
        <w:tc>
          <w:tcPr>
            <w:tcW w:w="1289"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3,121 </w:t>
            </w:r>
          </w:p>
        </w:tc>
        <w:tc>
          <w:tcPr>
            <w:tcW w:w="2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w:t>
            </w:r>
          </w:p>
        </w:tc>
        <w:tc>
          <w:tcPr>
            <w:tcW w:w="1289"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w:t>
            </w:r>
          </w:p>
        </w:tc>
        <w:tc>
          <w:tcPr>
            <w:tcW w:w="24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obligations</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entered into a new 8-year office lease agreement for a 20,116 square feet facility in Brisbane, California. The lease is scheduled to commence in October 2022. Related to this office lease agreement, the Company entered into a letter of credit with a bank to deposit $368 in a separate account that is restricted cash to serve as security rent deposit. This amount is included in other noncurrent assets in the accompanying condensed consolidated balance sheet as of March 31,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Guarantees and Indemnifications</w:t>
      </w:r>
      <w:r>
        <w:rPr>
          <w:color w:val="000000"/>
        </w:rPr>
        <w:t>—</w:t>
      </w:r>
      <w:r>
        <w:rPr>
          <w:rFonts w:ascii="Times New Roman;sans-serif" w:hAnsi="Times New Roman;sans-serif"/>
          <w:b w:val="false"/>
          <w:color w:val="000000"/>
          <w:sz w:val="20"/>
        </w:rPr>
        <w:t>In the normal course of business, the Company enters into agreements that contain a variety of representations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As of March 31, 2022 and December 31, 2021, the Company does not have any material indemnification claims that were probable or reasonably possible and consequently has not recorded related liabilities.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Legal Proceedings—</w:t>
      </w:r>
      <w:r>
        <w:rPr>
          <w:rFonts w:ascii="Times New Roman;sans-serif" w:hAnsi="Times New Roman;sans-serif"/>
          <w:b w:val="false"/>
          <w:color w:val="000000"/>
          <w:sz w:val="20"/>
        </w:rPr>
        <w:t>Liabilities for loss contingencies arising from claims, assessments, litigation, fines, penalties, and other sources are recorded when it is probable that a liability has been incurred and the amount can be reasonably estimated. As a result of the merger with Millendo, the Company is party to various litigation matters given Millendo’s role as successor to OvaScience, Inc. (“OvaScience”). OvaScience merged with Millendo in 2018. Prior to the merger with Millendo, OvaScience was sued in three matters that are disclosed below.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9, 2016, a purported shareholder derivative action was filed in Massachusetts State court (Cima v. Dipp) against OvaScience and certain former officers and directors of OvaScience and OvaScience alleging breach of fiduciary duties, unjust enrichment, abuse of control, gross mismanagement and waste of corporate assets for purported actions related to OvaScience’s January 2015 follow-on public offering. No material proceedings have occurred since the case was filed. On February 25, 2022, the parties filed a joint status report with the Court. During a May 4, 2022 status conference, the court continued the stay and scheduled a further status conference for June 14, 2022.</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24, 2017, a purported shareholder class action lawsuit was filed in Massachusetts Federal court (Dahhan v. OvaScience, Inc.) against OvaScience and certain former officers of OvaScience alleging violations of Sections 10(b) and 20(a) of the Exchange Act (the “Dahhan Action”). On March 4, 2022, the parties filed a motion to preliminarily approve a settlement of the action. The settlement amount of $15 million will be funded entirely by insurance. All defendants expressly deny liability. On April 1, 2022, the Court preliminarily approved the settlement. The settlement remains subject to final approval. The amount of $15 million was recorded as Accrued legal settlement with offsetting Insurance recovery of legal settlement in the accompanying condensed consolidated balance sheet as of March 31, 2022 and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27, 2017, a purported shareholder derivative complaint was filed in Massachusetts Federal court (Chiu v. Dipp) against OvaScience and certain former officers and directors of OvaScience alleging breach of fiduciary duties, unjust enrichment and violations of Section 14(a) of the Exchange Act. related to OvaScience’s January 2015 follow-on public offering and other public statements concerning OvaScience’s AUGMENT treatment. Following the Court’s dismissal of an amended complaint, the parties agreed that plaintiffs could file a second amended complaint and that the case would be stayed pending the resolution of the Dahhan Action. In May 2018, the court entered an order staying this case pending the resolution of the Dahhan Action.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the two OvaScience matters described above (Cima v. Dipp and Chiu v. Dipp), the Company is unable to estimate potential losses, if any. However, the Company believes the matters are without merit, and that in light of applicable insurance, any material exposure to the Company is remote.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7. LOAN PAYABLE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15, 2021, the Company entered into a loan agreement with a lender to borrow a term loan amount of $35,000 to be funded in three tranches. Tranche A of $15,000 was wired to the Company on January 15, 2021. Tranche B of $10,000 will be available through March 31, 2022 contingent upon achievement of each of the following: i) receipt of at least $50,000 in Series C equity capital, ii) initiation of the Phase 1 combination study of TPST-1495 or monotherapy expansion study, and iii) initiation of Phase 2 trial of TPST-1120 or the 1L Triplet Collaboration study. And Tranche C of $10,000 is available at lender’s option. The term loan matures on August 1, 2025 and has an annual floating interest rate of 7.15% which is an Index Rate plus 7%. Index Rate is the greater of (i) 30-day US LIBOR or (ii) 0.15%. Monthly principal payments of $500 will begin on March 1, 2023. Related to this borrowing, the Company recorded loan discounts totaling $898 and paid $95 of debt issuance costs. These amounts would be amortized as additional interest expense over the life of the loan. As of March 31, 2022, the balance of the loan payable (net of debt issuance costs) was $15,133. The carrying value of the loan approximates fair value (Level 2).</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and 2021, total interest expense was $333 and $231, respectively.</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CONVERTIBLE PREFERRED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merger with Millendo on June 25, 2021, Private Tempest had issued and outstanding convertible preferred stock. The authorized, issued and outstanding shares of the convertible preferred stock and liquidation preferences of Private Tempest as of December 31, 2020 and March 31, 2021 were as follows (in thousands except share and per share amounts):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32"/>
        <w:gridCol w:w="204"/>
        <w:gridCol w:w="206"/>
        <w:gridCol w:w="592"/>
        <w:gridCol w:w="594"/>
        <w:gridCol w:w="330"/>
        <w:gridCol w:w="109"/>
        <w:gridCol w:w="109"/>
        <w:gridCol w:w="109"/>
        <w:gridCol w:w="774"/>
        <w:gridCol w:w="456"/>
        <w:gridCol w:w="390"/>
        <w:gridCol w:w="109"/>
        <w:gridCol w:w="109"/>
        <w:gridCol w:w="109"/>
        <w:gridCol w:w="289"/>
        <w:gridCol w:w="701"/>
        <w:gridCol w:w="151"/>
        <w:gridCol w:w="109"/>
        <w:gridCol w:w="109"/>
        <w:gridCol w:w="109"/>
        <w:gridCol w:w="239"/>
        <w:gridCol w:w="936"/>
        <w:gridCol w:w="123"/>
        <w:gridCol w:w="109"/>
        <w:gridCol w:w="109"/>
        <w:gridCol w:w="109"/>
        <w:gridCol w:w="242"/>
        <w:gridCol w:w="829"/>
        <w:gridCol w:w="125"/>
        <w:gridCol w:w="109"/>
        <w:gridCol w:w="109"/>
        <w:gridCol w:w="109"/>
        <w:gridCol w:w="223"/>
        <w:gridCol w:w="762"/>
        <w:gridCol w:w="172"/>
      </w:tblGrid>
      <w:tr>
        <w:trPr/>
        <w:tc>
          <w:tcPr>
            <w:tcW w:w="2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Series</w:t>
            </w:r>
          </w:p>
        </w:tc>
        <w:tc>
          <w:tcPr>
            <w:tcW w:w="151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r>
              <w:rPr>
                <w:rFonts w:ascii="Times New Roman;sans-serif" w:hAnsi="Times New Roman;sans-serif"/>
                <w:b/>
                <w:color w:val="000000"/>
                <w:sz w:val="16"/>
              </w:rPr>
              <w:t>Shares Authorized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 Issued and Outstanding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 Share Liquidation Preference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8"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 Liquidation Amount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Proceeds Net of Issuance Cost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Value</w:t>
            </w:r>
          </w:p>
        </w:tc>
      </w:tr>
      <w:tr>
        <w:trPr/>
        <w:tc>
          <w:tcPr>
            <w:tcW w:w="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17,000,000 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17,000,000 </w:t>
            </w:r>
          </w:p>
        </w:tc>
        <w:tc>
          <w:tcPr>
            <w:tcW w:w="3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16,982 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w:t>
            </w:r>
          </w:p>
        </w:tc>
        <w:tc>
          <w:tcPr>
            <w:tcW w:w="118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25,186,738 </w:t>
            </w:r>
          </w:p>
        </w:tc>
        <w:tc>
          <w:tcPr>
            <w:tcW w:w="3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25,186,738 </w:t>
            </w:r>
          </w:p>
        </w:tc>
        <w:tc>
          <w:tcPr>
            <w:tcW w:w="3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25,187 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24,943 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12,235 </w:t>
            </w:r>
          </w:p>
        </w:tc>
        <w:tc>
          <w:tcPr>
            <w:tcW w:w="1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B-1</w:t>
            </w:r>
          </w:p>
        </w:tc>
        <w:tc>
          <w:tcPr>
            <w:tcW w:w="118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93,749,993 </w:t>
            </w:r>
          </w:p>
        </w:tc>
        <w:tc>
          <w:tcPr>
            <w:tcW w:w="3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72,499,993 </w:t>
            </w:r>
          </w:p>
        </w:tc>
        <w:tc>
          <w:tcPr>
            <w:tcW w:w="3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0.80 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58,000 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57,489 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57,489 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135,936,731 </w:t>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114,686,731 </w:t>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100,187 </w:t>
            </w:r>
          </w:p>
        </w:tc>
        <w:tc>
          <w:tcPr>
            <w:tcW w:w="12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99,414 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25, 2021, Private Tempest completed the merger with Millendo in accordance with the Merger Agreement. Under the terms of the Merger Agreement, immediately prior to the effective time of the merger, each share Private Tempest’s preferred stock was converted into a share of Private Tempest’s common stock. At closing of the merger,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3,692,912 shares of common stock issued upon conversion of the Private Tempest preferred stock.</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rights, preferences, and privileges of this convertible preferred stock were as follows: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Dividends</w:t>
      </w:r>
      <w:r>
        <w:rPr>
          <w:color w:val="000000"/>
        </w:rPr>
        <w:t>—</w:t>
      </w:r>
      <w:r>
        <w:rPr>
          <w:rFonts w:ascii="Times New Roman;sans-serif" w:hAnsi="Times New Roman;sans-serif"/>
          <w:b w:val="false"/>
          <w:color w:val="000000"/>
          <w:sz w:val="20"/>
        </w:rPr>
        <w:t>The holders of the Company’s convertible preferred stock are entitled to receive noncumulative dividends of 8% per share (as</w:t>
      </w:r>
      <w:r>
        <w:rPr>
          <w:color w:val="000000"/>
        </w:rPr>
        <w:t xml:space="preserve"> </w:t>
      </w:r>
      <w:r>
        <w:rPr>
          <w:rFonts w:ascii="Times New Roman;sans-serif" w:hAnsi="Times New Roman;sans-serif"/>
          <w:b w:val="false"/>
          <w:color w:val="000000"/>
          <w:sz w:val="20"/>
        </w:rPr>
        <w:t>adjusted for stock splits, combinations, and reorganizations) per annum on each outstanding share of Series convertible preferred stock. Such dividends shall be payable only when and if declared by the Board of Directors. As of December 31, 2020, the Company’s Board of Directors had not declared any dividends. Dividends on convertible preferred stock shall be payable in preference to and prior to any payments of any dividends on common stock. No dividends have been declared to date.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Voting Rights</w:t>
      </w:r>
      <w:r>
        <w:rPr>
          <w:color w:val="000000"/>
        </w:rPr>
        <w:t>—</w:t>
      </w:r>
      <w:r>
        <w:rPr>
          <w:rFonts w:ascii="Times New Roman;sans-serif" w:hAnsi="Times New Roman;sans-serif"/>
          <w:b w:val="false"/>
          <w:color w:val="000000"/>
          <w:sz w:val="20"/>
        </w:rPr>
        <w:t>The holders of preferred stock are entitled to one vote for each share of common stock into which such preferred stock could then</w:t>
      </w:r>
      <w:r>
        <w:rPr>
          <w:color w:val="000000"/>
        </w:rPr>
        <w:t xml:space="preserve"> </w:t>
      </w:r>
      <w:r>
        <w:rPr>
          <w:rFonts w:ascii="Times New Roman;sans-serif" w:hAnsi="Times New Roman;sans-serif"/>
          <w:b w:val="false"/>
          <w:color w:val="000000"/>
          <w:sz w:val="20"/>
        </w:rPr>
        <w:t>be converted; and with respect to such vote, such holder shall have full voting rights and powers equal to the voting rights and powers of the holders of common stock.</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Liquidation</w:t>
      </w:r>
      <w:r>
        <w:rPr>
          <w:color w:val="000000"/>
        </w:rPr>
        <w:t>—</w:t>
      </w:r>
      <w:r>
        <w:rPr>
          <w:rFonts w:ascii="Times New Roman;sans-serif" w:hAnsi="Times New Roman;sans-serif"/>
          <w:b w:val="false"/>
          <w:color w:val="000000"/>
          <w:sz w:val="20"/>
        </w:rPr>
        <w:t>The holders of preferred stock are entitled to receive liquidation preferences at an amount per share of preferred stock equal to the</w:t>
      </w:r>
      <w:r>
        <w:rPr>
          <w:color w:val="000000"/>
        </w:rPr>
        <w:t xml:space="preserve"> </w:t>
      </w:r>
      <w:r>
        <w:rPr>
          <w:rFonts w:ascii="Times New Roman;sans-serif" w:hAnsi="Times New Roman;sans-serif"/>
          <w:b w:val="false"/>
          <w:color w:val="000000"/>
          <w:sz w:val="20"/>
        </w:rPr>
        <w:t>original price plus all declared and unpaid dividends on the preferred stock. Liquidation payments to the holders of preferred stock have priority and are made in preference to any payments to the holders of common stock. After full payment of the liquidation preference to the holders of the preferred stock, the remaining assets, if any, will be distributed ratably to the holders of the common stock and preferred stock on an as-if-converted to common stock basis.</w:t>
      </w:r>
    </w:p>
    <w:p>
      <w:pPr>
        <w:pStyle w:val="TextBody"/>
        <w:spacing w:before="0" w:after="0"/>
        <w:jc w:val="center"/>
        <w:rPr/>
      </w:pPr>
      <w:r>
        <w:rPr/>
      </w:r>
    </w:p>
    <w:p>
      <w:pPr>
        <w:pStyle w:val="TextBody"/>
        <w:spacing w:lineRule="auto" w:line="288" w:before="0" w:after="0"/>
        <w:jc w:val="both"/>
        <w:rPr/>
      </w:pPr>
      <w:r>
        <w:rPr>
          <w:rFonts w:ascii="Times New Roman;sans-serif" w:hAnsi="Times New Roman;sans-serif"/>
          <w:b/>
          <w:i/>
          <w:color w:val="000000"/>
          <w:sz w:val="20"/>
        </w:rPr>
        <w:t>Redemption and Balance Sheet Classification</w:t>
      </w:r>
      <w:r>
        <w:rPr>
          <w:color w:val="000000"/>
        </w:rPr>
        <w:t xml:space="preserve">— </w:t>
      </w:r>
      <w:r>
        <w:rPr>
          <w:rFonts w:ascii="Times New Roman;sans-serif" w:hAnsi="Times New Roman;sans-serif"/>
          <w:b w:val="false"/>
          <w:color w:val="000000"/>
          <w:sz w:val="20"/>
        </w:rPr>
        <w:t>The convertible preferred stock was recorded within mezzanine equity because while it is not</w:t>
      </w:r>
      <w:r>
        <w:rPr>
          <w:color w:val="000000"/>
        </w:rPr>
        <w:t xml:space="preserve"> </w:t>
      </w:r>
      <w:r>
        <w:rPr>
          <w:rFonts w:ascii="Times New Roman;sans-serif" w:hAnsi="Times New Roman;sans-serif"/>
          <w:b w:val="false"/>
          <w:color w:val="000000"/>
          <w:sz w:val="20"/>
        </w:rPr>
        <w:t>mandatorily redeemable, it would become redeemable at the option of the stockholders upon the occurrence of certain deemed liquidation events that were considered not solely within the Company’s control.</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9. COMMON STOCK AND CONVERTIBLE PREFERRED STOCK</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Upon completion of the merger on June 25, 2021, the Company issued an aggregate of approximately 5,365,899 shares of its common stock to Private Tempest stockholders, based on an exchange ratio of 0.0322 shares of the Company’s common stock for each share of Private Tempest common stock outstanding immediately prior to the merger, including those shares of common stock issued upon conversion of the Private Tempest preferred stock (3,692,912 common shares) and those shares of common stock issued with its pre-merger financing of $30.0 million (1,136,849 common shares).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the Company was authorized to issue 100,000,000 shares of common stock at a par value of $0.001. Of the 100,000,000 common stock shares authorized, 7,173,094 and 6,910,324 were legally issued and outstanding at March 31, 2022 and December 31, 2021, respectively. There were no shares subject to repurchase due to remaining vesting requirements. Common stockholders are entitled to dividends as declared by the Board of Directors, subject to rights of holders of all classes of stock outstanding having priority rights as to dividends. There have been no dividends declared to date. The holders of each share of common stock are entitled to one vote. Except for effecting or validating certain specific actions intended to protect the preferred stockholders, the holders of common stock vote together with preferred stockholders and have the right to elect one member of the Company’s Board of Directors.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23, 2021, the Company entered into a sales agreement with Jefferies LLC, pursuant to which the Company may sell,     from time to time, up to an aggregate sales price of $100,000,000 of its common stock through Jefferies LLC.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December 31, 2021, the Company was authorized to issue up to 5,000,000 shares of preferred stock at a par value of $0.001. There was no preferred stock issued nor outstanding as of March 31, 2022 and December 31, 2021.</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STOCK COMPENSATION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Equity Plans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2011 Private Tempest adopted the 2011 Equity Incentive Plan (the “2011 Plan), and in 2017, Private Tempest adopted the 2017 Equity Incentive Plan (the “2017 Plan,” and together with the 2011 Plan, “the Tempest Equity Plans”. Upon adoption of the 2017 Plan, the 2011 Plan was terminated.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Board of Millendo adopted the 2019 Equity Incentive Plan (the “2019 Plan”) on April 29, 2019, subject to approval by the Company’s stockholders, and became effective with such stockholder approval on June 11, 2019. As a result of the merger, the Tempest Equity Plans were assumed by the Company.</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Both the 2017 Plan and the 2019 Plan allow the Company to grant stock awards to employees, directors and consultants of the Company, including incentive stock options (“ISOs”), nonqualified stock options (“NSOs”), stock appreciation rights, restricted stock awards, restricted stock unit awards and other stock awards. The 2019 ESPP enables employees to purchase shares of the Company’s common stock through offerings of rights to purchase the Company’s common stock to all eligible 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Company's common stock reserved for issuance under the 2019 Plan will automatically increase on January 1st of each year, for a period of 10 years, from January 1, 2020 continuing through January 1, 2029, by 4% of the total number of shares of the Company's common stock outstanding on December 31 of the preceding calendar year, or a lesser number of shares as may be determined by the Board. On January 1, 2022, the common stock reserved for issuance was increased by 276,412 shares.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employee and nonemployee stock-based awards at grant date fair value and records compensation expense on a straight-line basis over the vesting period of the award.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 total of 393,598 shares are available for future grant under the 2017 Plan and 2019 Plan.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Employee Stock Ownership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Millendo adopted the 2019 Employee Stock Purchase Plan (the “2019 ESPP”) on April 29, 2019, subject to approval by the Company’s stockholders, and became effective with such stockholder approval on June 11, 2019. The number of shares of the Company's common stock reserved for issuance under the 2019 ESPP will automatically increase on January 1st of each year, for a period of up to ten years, from January 1, 2020 continuing through January 1, 2029, by the lesser of (i) 1% of the total number of shares of the Company's capital stock outstanding on December 31 of the preceding calendar year, or (ii) 133,580 shares of the Company's common stock, unless a lesser number of shares is determined by the Board. As of March 31, 2022, 35,621 shares of common stock remained available for future issuance under the ESPP. </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Employee Stock Options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Options to purchase the Company’s common stock may be granted at a price not less than the fair market value in the case of both NSOs and ISOs, except for an employee or non-employee with options who owns more than 10% of the voting power of all classes of stock of the Company, in which case the exercise price shall be no less than 110% of the fair market value per share on the grant date. Stock options granted under the Plans generally vest over four years and expire no later than ten (10) years from the date of grant. Vested options can be exercised at any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merger, the grant date fair market value of the shares of common stock underlying stock options has historically been determined by the Company’s Board of Directors. Up until the merger, there had been no public market for the Company’s common stock, and therefore the Board of Directors exercised reasonable judgment and considered a number of objective and subjective factors to determine the best estimate of the fair market value, which included valuations performed by an independent third-party, important developments in the Company’s operations, sales of convertible preferred stock, actual operating results, financial performance, the conditions in the life sciences industry, the economy in general, the stock price performance and volatility of comparable public companies, and the lack of liquidity of the Company’s common stock.</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shows the stock option activities for the three months ended March 31, 2022 and 2021:</w:t>
      </w:r>
    </w:p>
    <w:tbl>
      <w:tblPr>
        <w:tblW w:w="8244" w:type="dxa"/>
        <w:jc w:val="left"/>
        <w:tblInd w:w="0" w:type="dxa"/>
        <w:tblCellMar>
          <w:top w:w="28" w:type="dxa"/>
          <w:left w:w="28" w:type="dxa"/>
          <w:bottom w:w="28" w:type="dxa"/>
          <w:right w:w="28" w:type="dxa"/>
        </w:tblCellMar>
      </w:tblPr>
      <w:tblGrid>
        <w:gridCol w:w="922"/>
        <w:gridCol w:w="812"/>
        <w:gridCol w:w="815"/>
        <w:gridCol w:w="784"/>
        <w:gridCol w:w="784"/>
        <w:gridCol w:w="786"/>
        <w:gridCol w:w="109"/>
        <w:gridCol w:w="109"/>
        <w:gridCol w:w="109"/>
        <w:gridCol w:w="647"/>
        <w:gridCol w:w="1893"/>
        <w:gridCol w:w="474"/>
      </w:tblGrid>
      <w:tr>
        <w:trPr/>
        <w:tc>
          <w:tcPr>
            <w:tcW w:w="92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c>
          <w:tcPr>
            <w:tcW w:w="1893"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 Options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2021</w:t>
            </w:r>
          </w:p>
        </w:tc>
        <w:tc>
          <w:tcPr>
            <w:tcW w:w="15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790,637 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303,125 </w:t>
            </w:r>
          </w:p>
        </w:tc>
        <w:tc>
          <w:tcPr>
            <w:tcW w:w="7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4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5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and forfeited</w:t>
            </w:r>
          </w:p>
        </w:tc>
        <w:tc>
          <w:tcPr>
            <w:tcW w:w="15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(17,202)</w:t>
            </w:r>
          </w:p>
        </w:tc>
        <w:tc>
          <w:tcPr>
            <w:tcW w:w="7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7.49 </w:t>
            </w:r>
          </w:p>
        </w:tc>
        <w:tc>
          <w:tcPr>
            <w:tcW w:w="4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2022</w:t>
            </w:r>
          </w:p>
        </w:tc>
        <w:tc>
          <w:tcPr>
            <w:tcW w:w="15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1,076,560 </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Balance—December 31, 2020</w:t>
            </w:r>
          </w:p>
        </w:tc>
        <w:tc>
          <w:tcPr>
            <w:tcW w:w="15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452,165 </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93"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5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62,468 </w:t>
            </w:r>
          </w:p>
        </w:tc>
        <w:tc>
          <w:tcPr>
            <w:tcW w:w="7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10.25 </w:t>
            </w:r>
          </w:p>
        </w:tc>
        <w:tc>
          <w:tcPr>
            <w:tcW w:w="4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56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w:t>
            </w:r>
          </w:p>
        </w:tc>
        <w:tc>
          <w:tcPr>
            <w:tcW w:w="7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Cancelled and forfeited</w:t>
            </w:r>
          </w:p>
        </w:tc>
        <w:tc>
          <w:tcPr>
            <w:tcW w:w="156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(5,667)</w:t>
            </w:r>
          </w:p>
        </w:tc>
        <w:tc>
          <w:tcPr>
            <w:tcW w:w="7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47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Balance—March 31, 2021</w:t>
            </w:r>
          </w:p>
        </w:tc>
        <w:tc>
          <w:tcPr>
            <w:tcW w:w="15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504,598 </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5.96 </w:t>
            </w:r>
          </w:p>
        </w:tc>
        <w:tc>
          <w:tcPr>
            <w:tcW w:w="4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stock options outstanding at March 31, 2022:</w:t>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619"/>
        <w:gridCol w:w="545"/>
        <w:gridCol w:w="547"/>
        <w:gridCol w:w="309"/>
        <w:gridCol w:w="309"/>
        <w:gridCol w:w="313"/>
        <w:gridCol w:w="109"/>
        <w:gridCol w:w="109"/>
        <w:gridCol w:w="109"/>
        <w:gridCol w:w="990"/>
        <w:gridCol w:w="990"/>
        <w:gridCol w:w="993"/>
        <w:gridCol w:w="109"/>
        <w:gridCol w:w="109"/>
        <w:gridCol w:w="109"/>
        <w:gridCol w:w="929"/>
        <w:gridCol w:w="533"/>
        <w:gridCol w:w="483"/>
        <w:gridCol w:w="109"/>
        <w:gridCol w:w="109"/>
        <w:gridCol w:w="109"/>
        <w:gridCol w:w="738"/>
        <w:gridCol w:w="380"/>
        <w:gridCol w:w="546"/>
      </w:tblGrid>
      <w:tr>
        <w:trPr/>
        <w:tc>
          <w:tcPr>
            <w:tcW w:w="61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Remaining Contractual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Aggregate Intrinsic Value</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3"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171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and 2021, the Company granted employees stock options to purchase 303,125 and 60,858 shares of common stock with a weighted-average grant date fair value of $4.24 and $6.13 per share, respectively. As of March 31, 2022, there was total unrecognized compensation costs related to unvested employee stock options of $3,992. These costs are expected to be recognized over a weighted-average period of approximately 3.2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stock options using the Black-Scholes option pricing valuation model. The fair value of employee stock options is being amortized on the straight-line basis over the requisite service period of the awards. The fair value of employee stock options was estimated using the following assumptions for the three months ended March 31, 2022 and 2021:</w:t>
      </w:r>
    </w:p>
    <w:tbl>
      <w:tblPr>
        <w:tblW w:w="4296" w:type="dxa"/>
        <w:jc w:val="left"/>
        <w:tblInd w:w="0" w:type="dxa"/>
        <w:tblCellMar>
          <w:top w:w="28" w:type="dxa"/>
          <w:left w:w="28" w:type="dxa"/>
          <w:bottom w:w="28" w:type="dxa"/>
          <w:right w:w="28" w:type="dxa"/>
        </w:tblCellMar>
      </w:tblPr>
      <w:tblGrid>
        <w:gridCol w:w="755"/>
        <w:gridCol w:w="663"/>
        <w:gridCol w:w="666"/>
        <w:gridCol w:w="314"/>
        <w:gridCol w:w="316"/>
        <w:gridCol w:w="510"/>
        <w:gridCol w:w="109"/>
        <w:gridCol w:w="109"/>
        <w:gridCol w:w="109"/>
        <w:gridCol w:w="202"/>
        <w:gridCol w:w="204"/>
        <w:gridCol w:w="339"/>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14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5"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51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33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140"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1.5% - 1.7%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39"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10"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39"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jc w:val="both"/>
        <w:rPr/>
      </w:pPr>
      <w:r>
        <w:rPr>
          <w:rFonts w:ascii="Times New Roman;sans-serif" w:hAnsi="Times New Roman;sans-serif"/>
          <w:b/>
          <w:i/>
          <w:color w:val="000000"/>
          <w:sz w:val="20"/>
        </w:rPr>
        <w:t>Expected Term</w:t>
      </w:r>
      <w:r>
        <w:rPr>
          <w:color w:val="000000"/>
        </w:rPr>
        <w:t>—</w:t>
      </w:r>
      <w:r>
        <w:rPr>
          <w:rFonts w:ascii="Times New Roman;sans-serif" w:hAnsi="Times New Roman;sans-serif"/>
          <w:b w:val="false"/>
          <w:color w:val="000000"/>
          <w:sz w:val="20"/>
        </w:rPr>
        <w:t>The expected term of options granted represents the period of time that the options are expected to be outstanding. Due to the</w:t>
      </w:r>
      <w:r>
        <w:rPr>
          <w:color w:val="000000"/>
        </w:rPr>
        <w:t xml:space="preserve"> </w:t>
      </w:r>
      <w:r>
        <w:rPr>
          <w:rFonts w:ascii="Times New Roman;sans-serif" w:hAnsi="Times New Roman;sans-serif"/>
          <w:b w:val="false"/>
          <w:color w:val="000000"/>
          <w:sz w:val="20"/>
        </w:rPr>
        <w:t>lack of historical exercise history, the expected term of the Company’s employee stock options has been determined utilizing the simplified method for awards that qualify as plain-vanilla options.</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Expected Volatility</w:t>
      </w:r>
      <w:r>
        <w:rPr>
          <w:color w:val="000000"/>
        </w:rPr>
        <w:t>—</w:t>
      </w:r>
      <w:r>
        <w:rPr>
          <w:rFonts w:ascii="Times New Roman;sans-serif" w:hAnsi="Times New Roman;sans-serif"/>
          <w:b w:val="false"/>
          <w:color w:val="000000"/>
          <w:sz w:val="20"/>
        </w:rPr>
        <w:t>The expected stock price volatility assumption was determined by examining the historical volatilities for industry peers, as</w:t>
      </w:r>
      <w:r>
        <w:rPr>
          <w:color w:val="000000"/>
        </w:rPr>
        <w:t xml:space="preserve"> </w:t>
      </w:r>
      <w:r>
        <w:rPr>
          <w:rFonts w:ascii="Times New Roman;sans-serif" w:hAnsi="Times New Roman;sans-serif"/>
          <w:b w:val="false"/>
          <w:color w:val="000000"/>
          <w:sz w:val="20"/>
        </w:rPr>
        <w:t>the Company did not have any trading history for the Company’s common stock. The Company will continue to analyze the historical stock price volatility and expected term assumption as more historical data for the Company’s common stock becomes available.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Risk-Free Interest Rate</w:t>
      </w:r>
      <w:r>
        <w:rPr>
          <w:color w:val="000000"/>
        </w:rPr>
        <w:t>—</w:t>
      </w:r>
      <w:r>
        <w:rPr>
          <w:rFonts w:ascii="Times New Roman;sans-serif" w:hAnsi="Times New Roman;sans-serif"/>
          <w:b w:val="false"/>
          <w:color w:val="000000"/>
          <w:sz w:val="20"/>
        </w:rPr>
        <w:t>The risk-free interest rate assumption is based on the U.S. Treasury instruments whose term was consistent with the expected term of the Company’s stock options.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lineRule="auto" w:line="288" w:before="0" w:after="0"/>
        <w:jc w:val="both"/>
        <w:rPr/>
      </w:pPr>
      <w:r>
        <w:rPr>
          <w:rFonts w:ascii="Times New Roman;sans-serif" w:hAnsi="Times New Roman;sans-serif"/>
          <w:b/>
          <w:i/>
          <w:color w:val="000000"/>
          <w:sz w:val="20"/>
        </w:rPr>
        <w:t>Dividends</w:t>
      </w:r>
      <w:r>
        <w:rPr>
          <w:color w:val="000000"/>
        </w:rPr>
        <w:t>—</w:t>
      </w:r>
      <w:r>
        <w:rPr>
          <w:rFonts w:ascii="Times New Roman;sans-serif" w:hAnsi="Times New Roman;sans-serif"/>
          <w:b w:val="false"/>
          <w:color w:val="000000"/>
          <w:sz w:val="20"/>
        </w:rPr>
        <w:t>The Company has not paid any cash dividends on common stock since inception and does not anticipate paying any dividends in the</w:t>
      </w:r>
      <w:r>
        <w:rPr>
          <w:color w:val="000000"/>
        </w:rPr>
        <w:t xml:space="preserve"> </w:t>
      </w:r>
      <w:r>
        <w:rPr>
          <w:rFonts w:ascii="Times New Roman;sans-serif" w:hAnsi="Times New Roman;sans-serif"/>
          <w:b w:val="false"/>
          <w:color w:val="000000"/>
          <w:sz w:val="20"/>
        </w:rPr>
        <w:t>foreseeable future. Consequently, an expected dividend yield of zero was used.</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Stock-Based Compensation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stock-based compensation expense recognized in the Company’s condensed consolidated statement of operations for the three months ended March 31, 2022:</w:t>
      </w:r>
    </w:p>
    <w:p>
      <w:pPr>
        <w:pStyle w:val="TextBody"/>
        <w:spacing w:before="0" w:after="0"/>
        <w:jc w:val="both"/>
        <w:rPr/>
      </w:pPr>
      <w:r>
        <w:rPr/>
      </w:r>
    </w:p>
    <w:tbl>
      <w:tblPr>
        <w:tblW w:w="4796" w:type="dxa"/>
        <w:jc w:val="left"/>
        <w:tblInd w:w="0" w:type="dxa"/>
        <w:tblCellMar>
          <w:top w:w="28" w:type="dxa"/>
          <w:left w:w="28" w:type="dxa"/>
          <w:bottom w:w="28" w:type="dxa"/>
          <w:right w:w="28" w:type="dxa"/>
        </w:tblCellMar>
      </w:tblPr>
      <w:tblGrid>
        <w:gridCol w:w="837"/>
        <w:gridCol w:w="734"/>
        <w:gridCol w:w="738"/>
        <w:gridCol w:w="270"/>
        <w:gridCol w:w="597"/>
        <w:gridCol w:w="139"/>
        <w:gridCol w:w="139"/>
        <w:gridCol w:w="139"/>
        <w:gridCol w:w="139"/>
        <w:gridCol w:w="270"/>
        <w:gridCol w:w="597"/>
        <w:gridCol w:w="197"/>
      </w:tblGrid>
      <w:tr>
        <w:trPr/>
        <w:tc>
          <w:tcPr>
            <w:tcW w:w="837"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7"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March 31, </w:t>
            </w:r>
          </w:p>
        </w:tc>
      </w:tr>
      <w:tr>
        <w:trPr/>
        <w:tc>
          <w:tcPr>
            <w:tcW w:w="23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2022</w:t>
            </w:r>
          </w:p>
        </w:tc>
        <w:tc>
          <w:tcPr>
            <w:tcW w:w="41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9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6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3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7"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9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RETIREMENT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participates in a qualified 401(k) Plan sponsored by its professional service organization. The retirement plan is a defined contribution plan covering eligible employees. Participants may contribute a portion of their annual compensation limited to a maximum annual amount set by the Internal Revenue Service. There was no contribution from the Company for the three months ended March 31, 2021. During the three months ended March 31, 2022, the Company contributed $24 to the 401(k) Plan.</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NET LOSS PER SHARE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the Company’s basis in diluted net loss per share for the three months ended March 31, 2022 and 2021 (in thousands except share and per share amounts):</w:t>
      </w:r>
    </w:p>
    <w:p>
      <w:pPr>
        <w:pStyle w:val="TextBody"/>
        <w:spacing w:before="0" w:after="0"/>
        <w:jc w:val="both"/>
        <w:rPr/>
      </w:pPr>
      <w:r>
        <w:rPr/>
      </w:r>
    </w:p>
    <w:tbl>
      <w:tblPr>
        <w:tblW w:w="9322" w:type="dxa"/>
        <w:jc w:val="left"/>
        <w:tblInd w:w="0" w:type="dxa"/>
        <w:tblCellMar>
          <w:top w:w="28" w:type="dxa"/>
          <w:left w:w="28" w:type="dxa"/>
          <w:bottom w:w="28" w:type="dxa"/>
          <w:right w:w="28" w:type="dxa"/>
        </w:tblCellMar>
      </w:tblPr>
      <w:tblGrid>
        <w:gridCol w:w="2469"/>
        <w:gridCol w:w="2167"/>
        <w:gridCol w:w="2188"/>
        <w:gridCol w:w="244"/>
        <w:gridCol w:w="732"/>
        <w:gridCol w:w="111"/>
        <w:gridCol w:w="111"/>
        <w:gridCol w:w="111"/>
        <w:gridCol w:w="111"/>
        <w:gridCol w:w="215"/>
        <w:gridCol w:w="706"/>
        <w:gridCol w:w="157"/>
      </w:tblGrid>
      <w:tr>
        <w:trPr/>
        <w:tc>
          <w:tcPr>
            <w:tcW w:w="2469"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8"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824"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0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8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4"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2"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0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7,167,255 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527,693 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Weighted-average unvested restricted shares and shares subject to repurchase</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(20,243)</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to computing basic and diluted net loss per share</w:t>
            </w:r>
          </w:p>
        </w:tc>
        <w:tc>
          <w:tcPr>
            <w:tcW w:w="9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7,167,255 </w:t>
            </w:r>
          </w:p>
        </w:tc>
        <w:tc>
          <w:tcPr>
            <w:tcW w:w="1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507,450 </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2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stockholders—basic and diluted</w:t>
            </w:r>
          </w:p>
        </w:tc>
        <w:tc>
          <w:tcPr>
            <w:tcW w:w="244"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(1.18)</w:t>
            </w:r>
          </w:p>
        </w:tc>
        <w:tc>
          <w:tcPr>
            <w:tcW w:w="111"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0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(10.55)</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and 2021, the Company’s potentially dilutive securities included outstanding convertible preferred stock, stock options, unvested restricted stock and stock warrants, which have been excluded from the computation of diluted net loss per share attributable to common stockholders as the effect would be anti-dilutive. Based on the amounts outstanding as of March 31, 2022 and 2021, the Company excluded the following potential common shares from the computation of diluted net loss per share attributable to common stockholders because including them would have had an anti-dilutive effect:</w:t>
      </w:r>
    </w:p>
    <w:tbl>
      <w:tblPr>
        <w:tblW w:w="5710" w:type="dxa"/>
        <w:jc w:val="left"/>
        <w:tblInd w:w="0" w:type="dxa"/>
        <w:tblCellMar>
          <w:top w:w="28" w:type="dxa"/>
          <w:left w:w="28" w:type="dxa"/>
          <w:bottom w:w="28" w:type="dxa"/>
          <w:right w:w="28" w:type="dxa"/>
        </w:tblCellMar>
      </w:tblPr>
      <w:tblGrid>
        <w:gridCol w:w="1074"/>
        <w:gridCol w:w="945"/>
        <w:gridCol w:w="950"/>
        <w:gridCol w:w="488"/>
        <w:gridCol w:w="488"/>
        <w:gridCol w:w="156"/>
        <w:gridCol w:w="140"/>
        <w:gridCol w:w="140"/>
        <w:gridCol w:w="140"/>
        <w:gridCol w:w="488"/>
        <w:gridCol w:w="488"/>
        <w:gridCol w:w="213"/>
      </w:tblGrid>
      <w:tr>
        <w:trPr/>
        <w:tc>
          <w:tcPr>
            <w:tcW w:w="1074"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1"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29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969"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CCEE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547,400 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top w:val="single" w:sz="8" w:space="0" w:color="CCEEFF"/>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 preferred stock</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CCEE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811,013 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top w:val="single" w:sz="8" w:space="0" w:color="CCEEFF"/>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B-1 preferred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CCEE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2,334,500 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top w:val="single" w:sz="8" w:space="0" w:color="CCEEFF"/>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1,076,560 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top w:val="single" w:sz="8" w:space="0" w:color="CCEE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504,598 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common stock</w:t>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17,081 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6,036 </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6,036 </w:t>
            </w:r>
          </w:p>
        </w:tc>
        <w:tc>
          <w:tcPr>
            <w:tcW w:w="2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4,220,628 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18"/>
            <w:u w:val="single"/>
          </w:rPr>
          <w:t>Table of Contents</w:t>
        </w:r>
      </w:hyperlink>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SUBSEQUENT EVENTS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the Company completed a $15 million private investment in public equity (“PIPE”) financing from the sale of 3,149,912 shares of its common stock at a price per share of $2.36 and, in lieu of shares of common stock, pre-funded warrants to purchase up to 3,206,020 shares of its common stock at price per pre-funded warrant of $2.359 to EcoR1 Capital, LLC and Versant Venture Capital (the “PIPE Investors”). Gross proceeds from the PIPE financings total approximately $15.0 million, before deducting offering expenses. 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to the Company, but not to any percentage in excess of 19.99%. The securities sold in this private placement, including the shares of common stock underlying the pre-funded warrants, have not been registered under the Securities Act of 1933, as amended, and may not be offered or sold in the United States except pursuant to an effective registration statement or an applicable exemption from the registration requirements. The Company entered into a registration rights agreement (the “Registration Rights Agreement”) with the PIPE Investors pursuant to which the Company agreed to file a registration statement with the Securities and Exchange Commission registering the resale of the shares of common stock issued in the PIPE and the shares of common stock underlying the pre-funded warrants. </w:t>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both"/>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of our financial condition and results of operations in conjunction with our unaudited Interim Financial Statements and the notes thereto included elsewhere in this Quarterly Report on Form 10-Q. This discussion and other parts of this report contains forward-looking statements that involve risks and uncertainties, such as our plans, objectives, expectations, intentions, and beliefs, as well as assumptions made by, and information currently available to, our management. Our actual results could differ materially from those discussed in these forward-looking statements. Factors that could cause or contribute to such differences include, but are not limited to, those discussed in the section of this report entitled “Risk Factors,” under Part II, Item 1A of this report and those discussed in our other disclosures and filings.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oncology company focused on leveraging a deep scientific understanding of cancer biology and medicinal chemistry to develop and advance novel, orally available therapies for the treatment of solid tumors. Our philosophy is to build a company based upon not only creative science and thoughtful management, but also upon the efficient translation of those ideas into therapies that will improve patient’s lives. To this end, we currently are advancing three programs, TPST-1495, TPST-1120 and a third program targeting the three prime repair exonuclease ("TREX-1"). TPST-1495 is a dual antagonist of the EP2 and EP4 prostaglandin E2 receptors, and, to our knowledge, is the only such dual antagonist in clinical development. TPST-1495 is currently in a Phase 1 trial in solid tumors. Our second clinical program, TPST-1120, is a selective antagonist of peroxisome proliferator-activated receptor alpha (" PPARα"), and is also in a Phase 1 trial in solid tumors. Similar to TPST-1495, we believe TPST-1120 is the only PPARα antagonist in clinical development. We also have a third program in preclinical studies that could be the first to target TREX-1, a cellular enzyme that regulates the innate immune response in tumors.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no products approved for commercial sale and have not generated any revenue from product sales. From inception to March 31, 2022, we have raised $149.4 million, through sales of common stock, convertible preferred stock and issuance of 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been profitable and has incurred operating losses in each period since inception. Our net losses were $8.5 million and $5.4 million for the three months ended March 31, 2022 and 2021, respectively. As of March 31, 2022, we had an accumulated deficit of $108.6 million. Substantially all of the operating losses resulted from expenses incurred in connection with our research and development programs and from general and administrative costs associated with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and increasing operating losses for at least the next several years as we initiate and continue the clinical development of, and seek regulatory approval for, our product candidates and add personnel necessary to advance our pipeline of clinical-stage product candidates. In addition, operating as a publicly traded company will involve the hiring of additional financial and other personnel, upgrading our financial information and other systems, and incurring substantial costs associated with operating as a public company. We expect our operating losses will fluctuate significantly from quarter to quarter and year to year due to timing of clinical development programs and efforts to achieve regulatory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2022, we had cash and cash equivalents of $45.8 million. Our ability to fund continued development will require additional capital, and we intend to raise such capital through the issuance of additional debt or equity including in connection with potential merger opportunities, or through business development activities. Our ability to continue as a going concern is dependent upon our ability to successfully accomplish these plans and secure sources of financing and ultimately attain profitable operations. If we are unable to obtain adequate capital, we could be forced to cease operations.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PIPE Offering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29, 2022, we completed a $15 million private investment in public equity (“PIPE”) financing from the sale of 3,149,912 shares of our common stock at a price per share of $2.36 and, in lieu of shares of common stock, pre-funded warrants to purchase up to 3,206,020 shares of our common stock at price per pre-funded warrant of $2.359 to EcoR1 Capital, LLC and Versant Venture Capital (the “PIPE Investors”). Gross proceeds from the PIPE financings total approximately $15.0 million, before deducting offering expenses. The pre-funded warrants provide that the holder will not have the right to exercise any portion of its warrants if such holder, together with its affiliates, would beneficially own in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securities sold in this private placement, including the shares of common stock underlying the pre-funded warrants, have not been registered under the Securities Act of 1933, as amended, and may not be offered or sold in the United States except pursuant to an effective registration statement or an applicable exemption from the registration requirements. We entered into a registration rights agreement (the “Registration Rights Agreement”) with the PIPE Investors pursuant to which we agreed to file a registration statement with the Securities and Exchange Commission (“SEC”) registering the resale of the shares of common stock issued in the PIPE and the shares of common stock underlying the pre-funded warrants. </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Merger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29, 2021, TempestTx, Inc. (“Private Tempest”) and Millendo Therapeutics, Inc. (“Millendo”) entered into an Agreement and Plan of Merger (the "Merger Agreement"). Concurrent with the execution and delivery of the Merger Agreement, Private Tempest entered into funding agreements with certain investors named therein, pursuant to which the investors agreed to purchase, in the aggregate, $30.0 million of common stock of Private Tempest, convertible into securities of Millendo.</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June 25, 2021, Private Tempest closed the merger with Millendo. Pursuant to the Merger Agreement, Mars Merger Corp. (“Merger Sub”), a direct, wholly owned subsidiary of Millendo merged with and into Private Tempest, with Private Tempest surviving as a wholly owned subsidiary of Millendo. Following the closing of the merger, Millendo effected a 1-for-15 reverse stock split of its common stock and changed its corporate name to Tempest Therapeutics, Inc.</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Research and Development Expense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represent costs incurred to conduct research and development, such as the development of 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all research and development costs as they are incurred. Research and development expenses consist primarily of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Salaries, benefits and stock-based compensation;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licensing costs;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allocated occupancy;</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materials and supplies;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contracted research and manufacturing;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consulting arrangements; and</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 expenses incurred to advance our research and development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largest component of our operating expenses has historically been the investment in research and development activities. We expect research and development expenses will increase in the future as we advance our product candidates into and through clinical trials and pursues regulatory approvals, which will require a significant investment in costs of clinical trials, regulatory support and contract manufacturing and inventory build-up. In addition, we continue to evaluate opportunities to acquire or in-license other product candidates and technologies, which may result in higher research and development expenses due to license fee and/or milestone payments, as well as added clinical development costs.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process of conducting clinical trials necessary to obtain regulatory approval is costly and time consuming. We may never succeed in timely developing and achieving regulatory approval for our product candidates. The probability of success of our product candidates may be affected by numerous factors, including clinical data, competition, manufacturing capability and commercial viability. As a result, we are unable to determine the duration and completion costs of our development projects or when and to what extent we will generate revenue from the commercialization and sale of any of our product candidates.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employee-related expenses, including salaries, benefits, travel and noncash stock-based compensation, for our personnel in executive, finance and accounting, and other administrative functions, as well as fees paid for legal, accounting and tax services, consulting fees and facilities costs not otherwise included in research and development expense. Legal costs include general corporate legal fees and patent costs. We expect to incur additional expenses as a result of becoming a public company following completion of the merger, including expenses related to compliance with the rules and regulations of the SEC and Nasdaq, additional insurance, investor relations and other administrative expenses and professional services.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(Expense) Income,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income, net consists primarily of interest expense, interest income, and various income or expense items of a non-recurring nature.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operating results for the three months ended March 31, 2022 and 2021:</w:t>
      </w:r>
    </w:p>
    <w:p>
      <w:pPr>
        <w:pStyle w:val="TextBody"/>
        <w:spacing w:before="0" w:after="0"/>
        <w:jc w:val="both"/>
        <w:rPr/>
      </w:pPr>
      <w:r>
        <w:rPr/>
      </w:r>
    </w:p>
    <w:tbl>
      <w:tblPr>
        <w:tblW w:w="5739" w:type="dxa"/>
        <w:jc w:val="left"/>
        <w:tblInd w:w="0" w:type="dxa"/>
        <w:tblCellMar>
          <w:top w:w="28" w:type="dxa"/>
          <w:left w:w="28" w:type="dxa"/>
          <w:bottom w:w="28" w:type="dxa"/>
          <w:right w:w="28" w:type="dxa"/>
        </w:tblCellMar>
      </w:tblPr>
      <w:tblGrid>
        <w:gridCol w:w="1210"/>
        <w:gridCol w:w="1063"/>
        <w:gridCol w:w="1072"/>
        <w:gridCol w:w="211"/>
        <w:gridCol w:w="691"/>
        <w:gridCol w:w="109"/>
        <w:gridCol w:w="109"/>
        <w:gridCol w:w="109"/>
        <w:gridCol w:w="109"/>
        <w:gridCol w:w="211"/>
        <w:gridCol w:w="691"/>
        <w:gridCol w:w="154"/>
      </w:tblGrid>
      <w:tr>
        <w:trPr/>
        <w:tc>
          <w:tcPr>
            <w:tcW w:w="1210"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 March 31,</w:t>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9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(expense) income, net</w:t>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for the three months ended March 31, 2022 and 2021 were primarily incurred in connection with our most advanced product candidates, TPST-1120 and TPST-1495. We have not historically tracked research and development expense by program other than direct external expenses in conducting clinical trials for TPST-1120 and TPST-1495. We typically have various early-stage research and drug discovery projects, as well as various potential product candidates undergoing clinical trials. Our internal resources, employees and infrastructure are not directly tied to any one research and drug discovery project and our resources are typically deployed across multiple projects. As such, we do not maintain information regarding these costs incurred for these early-stage research and drug discovery programs on a project specific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$1.5 million to $5.1 million for the three months ended March 31, 2022. The following table summarizes our research and development expenses for the three months ended March 31, 2022 and 2021:</w: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tbl>
      <w:tblPr>
        <w:tblW w:w="6083" w:type="dxa"/>
        <w:jc w:val="left"/>
        <w:tblInd w:w="0" w:type="dxa"/>
        <w:tblCellMar>
          <w:top w:w="28" w:type="dxa"/>
          <w:left w:w="28" w:type="dxa"/>
          <w:bottom w:w="28" w:type="dxa"/>
          <w:right w:w="28" w:type="dxa"/>
        </w:tblCellMar>
      </w:tblPr>
      <w:tblGrid>
        <w:gridCol w:w="1321"/>
        <w:gridCol w:w="1158"/>
        <w:gridCol w:w="1165"/>
        <w:gridCol w:w="229"/>
        <w:gridCol w:w="671"/>
        <w:gridCol w:w="118"/>
        <w:gridCol w:w="118"/>
        <w:gridCol w:w="118"/>
        <w:gridCol w:w="118"/>
        <w:gridCol w:w="229"/>
        <w:gridCol w:w="671"/>
        <w:gridCol w:w="167"/>
      </w:tblGrid>
      <w:tr>
        <w:trPr/>
        <w:tc>
          <w:tcPr>
            <w:tcW w:w="132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outside services</w:t>
            </w:r>
          </w:p>
        </w:tc>
        <w:tc>
          <w:tcPr>
            <w:tcW w:w="2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Consulting and professional services</w:t>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6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1,857 </w:t>
            </w:r>
          </w:p>
        </w:tc>
        <w:tc>
          <w:tcPr>
            <w:tcW w:w="1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w:t>
            </w:r>
          </w:p>
        </w:tc>
        <w:tc>
          <w:tcPr>
            <w:tcW w:w="2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5,109 </w:t>
            </w:r>
          </w:p>
        </w:tc>
        <w:tc>
          <w:tcPr>
            <w:tcW w:w="11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3,592 </w:t>
            </w:r>
          </w:p>
        </w:tc>
        <w:tc>
          <w:tcPr>
            <w:tcW w:w="16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growth in total research and development expense of $1.5 million for the three months ended March 31, 2022 was primarily attributable to expanded research and development efforts and increased fees for consulting services and compensation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General and administrative expenses increased by $1.5 million to $3.1 million for the three months ended March 31, 2022. </w:t>
      </w:r>
      <w:r>
        <w:rPr>
          <w:rFonts w:ascii="Arial;sans-serif" w:hAnsi="Arial;sans-serif"/>
          <w:b w:val="false"/>
          <w:color w:val="000000"/>
          <w:sz w:val="18"/>
        </w:rPr>
        <w:t>T</w:t>
      </w:r>
      <w:r>
        <w:rPr>
          <w:rFonts w:ascii="Times New Roman;sans-serif" w:hAnsi="Times New Roman;sans-serif"/>
          <w:b w:val="false"/>
          <w:color w:val="000000"/>
          <w:sz w:val="20"/>
        </w:rPr>
        <w:t>he increase was primarily due to an increase of $0.1 million in compensation related expense, an increase of $0.9 million in professional and consulting fees and an increase of $0.3 million in insurance expense as a result of operating as a publicly traded company after the Millendo merger.</w:t>
      </w:r>
    </w:p>
    <w:p>
      <w:pPr>
        <w:pStyle w:val="TextBody"/>
        <w:spacing w:before="0" w:after="0"/>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(expense) income, Net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and 2021, other (expense) income, net consisted of total interest expense of $333 thousand and $231 thousand, respectively, related to the Oxford Loan and interest income of $3 thousand.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through March 31, 2022, our operations have been financed primarily by net cash proceeds from the sale of its common stock, convertible preferred stock and issuance of debt. As of March 31, 2022, we had $45.8 million in cash and cash equivalents and an accumulated deficit of $108.6 million. We expect that our research and development and general and administrative expenses will increase, and, as a result, we anticipate that we will continue to incur increasing losses in the foreseeable future.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our cash and cash equivalents as of March 31, 2022 and our access to our term loan will fund our ongoing working capital, investing, and financing requirements for at least the next 12 months.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July 23, 2021, we entered into a sales agreement with Jefferies LLC, pursuant to which we may sell, from time to time, up to an aggregate sales price of $100.0 million of our common stock through the Agent in a series of one or more ATM equity offerings (the “ATM Program”). As of March 31, 2022, we sold 510,930 shares of common stock under the ATM Program for net proceeds of approximately $5.1 million.</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three months ended March 31, 2022 and 2021:</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tbl>
      <w:tblPr>
        <w:tblW w:w="6762" w:type="dxa"/>
        <w:jc w:val="left"/>
        <w:tblInd w:w="0" w:type="dxa"/>
        <w:tblCellMar>
          <w:top w:w="28" w:type="dxa"/>
          <w:left w:w="28" w:type="dxa"/>
          <w:bottom w:w="28" w:type="dxa"/>
          <w:right w:w="28" w:type="dxa"/>
        </w:tblCellMar>
      </w:tblPr>
      <w:tblGrid>
        <w:gridCol w:w="1563"/>
        <w:gridCol w:w="1376"/>
        <w:gridCol w:w="1380"/>
        <w:gridCol w:w="215"/>
        <w:gridCol w:w="706"/>
        <w:gridCol w:w="111"/>
        <w:gridCol w:w="111"/>
        <w:gridCol w:w="111"/>
        <w:gridCol w:w="111"/>
        <w:gridCol w:w="215"/>
        <w:gridCol w:w="706"/>
        <w:gridCol w:w="157"/>
      </w:tblGrid>
      <w:tr>
        <w:trPr/>
        <w:tc>
          <w:tcPr>
            <w:tcW w:w="1563" w:type="dxa"/>
            <w:tcBorders/>
            <w:shd w:fill="auto" w:val="clear"/>
            <w:vAlign w:val="center"/>
          </w:tcPr>
          <w:p>
            <w:pPr>
              <w:pStyle w:val="TableContents"/>
              <w:spacing w:before="0" w:after="283"/>
              <w:rPr>
                <w:sz w:val="4"/>
                <w:szCs w:val="4"/>
              </w:rPr>
            </w:pPr>
            <w:r>
              <w:rPr>
                <w:sz w:val="4"/>
                <w:szCs w:val="4"/>
              </w:rPr>
            </w:r>
          </w:p>
        </w:tc>
        <w:tc>
          <w:tcPr>
            <w:tcW w:w="1376" w:type="dxa"/>
            <w:tcBorders/>
            <w:shd w:fill="auto" w:val="clear"/>
            <w:vAlign w:val="center"/>
          </w:tcPr>
          <w:p>
            <w:pPr>
              <w:pStyle w:val="TableContents"/>
              <w:spacing w:before="0" w:after="283"/>
              <w:rPr>
                <w:sz w:val="4"/>
                <w:szCs w:val="4"/>
              </w:rPr>
            </w:pPr>
            <w:r>
              <w:rPr>
                <w:sz w:val="4"/>
                <w:szCs w:val="4"/>
              </w:rPr>
            </w:r>
          </w:p>
        </w:tc>
        <w:tc>
          <w:tcPr>
            <w:tcW w:w="138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both"/>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3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3" w:type="dxa"/>
            <w:gridSpan w:val="9"/>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w:t>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(7,107)</w:t>
            </w:r>
          </w:p>
        </w:tc>
        <w:tc>
          <w:tcPr>
            <w:tcW w:w="11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w:t>
            </w:r>
          </w:p>
        </w:tc>
        <w:tc>
          <w:tcPr>
            <w:tcW w:w="1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9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w:t>
            </w:r>
          </w:p>
        </w:tc>
        <w:tc>
          <w:tcPr>
            <w:tcW w:w="9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1,403 </w:t>
            </w:r>
          </w:p>
        </w:tc>
        <w:tc>
          <w:tcPr>
            <w:tcW w:w="11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14,944 </w:t>
            </w:r>
          </w:p>
        </w:tc>
        <w:tc>
          <w:tcPr>
            <w:tcW w:w="15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and cash equivalents</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for the three months ended March 31, 2022 was $7.1 million, consisting of a net loss of $8.5 million, add back of non-cash adjustments for depreciation, stock-based compensation, non-cash operating lease expense and other non-cash items totaling $0.8 million, plus changes in operating assets and liabilities of $0.6 million.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for the three months ended March 31, 2021 was $6.3 million consisting of a net loss of $5.4 million, add back of non-cash adjustments for depreciation, stock-based compensation, non-cash operating lease expense and other non-cash items totaling $0.3 million, less changes in operating assets and liabilities of $1.2 million.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investing activities for the three months ended March 31, 2022 and 2021 was related to purchases of property and equipment, primarily related to office, laboratory and computer equipment. </w: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three months ended March 31, 2022 was $1.4 million, primarily related to proceeds from the issuance of common stock of $1.4 million (net of issuance costs). Cash provided by financing activities for the three months ended March 31, 2021 was primarily related to proceeds from Oxford Loan of $14.9 million (net of issuance costs).</w:t>
      </w:r>
    </w:p>
    <w:p>
      <w:pPr>
        <w:pStyle w:val="TextBody"/>
        <w:spacing w:before="0" w:after="0"/>
        <w:jc w:val="both"/>
        <w:rPr/>
      </w:pPr>
      <w:r>
        <w:rPr/>
      </w:r>
    </w:p>
    <w:p>
      <w:pPr>
        <w:pStyle w:val="TextBody"/>
        <w:spacing w:lineRule="auto" w:line="276" w:before="0" w:after="0"/>
        <w:jc w:val="both"/>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expenses to increase in connection with our ongoing development activities, particularly as we continue the research, development and clinical trials of, and seek regulatory approval for, our product candidates. In addition, subject to obtaining regulatory approval for our product candidates, we anticipate that we will need substantial additional funding in connection with our continuing operations.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Until we can generate a sufficient amount of product revenue to finance our cash requirements, we expect to finance our future cash needs primarily through the issuance of additional equity, borrowings and strategic alliances with partner companies. To the extent that we raise additional capital through the issuance of additional equity or convertible debt securities, the ownership interest of our stockholders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 If we raise additional funds through marketing and distribution arrangements or other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commercialization efforts or grant rights to develop and market product candidates to third parties that we would otherwise prefer to develop and market ourself.</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2 to our Condensed Consolidated Financial Statements for a description of recent accounting pronouncements applicable to our Condensed Consolidated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Smaller Reporting Company Status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the Securities Exchange Act of 1934, as amended.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spacing w:before="16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333" w:before="0" w:after="0"/>
        <w:rPr/>
      </w:pPr>
      <w:r>
        <w:rPr>
          <w:rFonts w:ascii="Times New Roman;sans-serif" w:hAnsi="Times New Roman;sans-serif"/>
          <w:b/>
          <w:color w:val="000000"/>
          <w:sz w:val="20"/>
        </w:rPr>
        <w:t xml:space="preserve">Item 4. </w:t>
      </w:r>
      <w:r>
        <w:rPr>
          <w:rFonts w:ascii="Times New Roman;sans-serif" w:hAnsi="Times New Roman;sans-serif"/>
          <w:b/>
          <w:i/>
          <w:color w:val="000000"/>
          <w:sz w:val="20"/>
        </w:rPr>
        <w:t>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Chief Executive Officer (principal executive officer) and Vice-President, Strategy and Finance (principal financial officer), evaluated the effectiveness of our disclosure controls and procedures (as defined in the Securities Exchange Act of 1934 Rules 13a-15(e) or 15d-15(e)) as required by paragraph (b) of Exchange Act Rules 13a-15 or 15d-15, as of March 31, 2022. Based on the evaluation of our disclosure controls and procedures as of March 31, 2022, our Chief Executive Officer and Vice-President, Strategy and Finance concluded that, as of such date, our disclosure controls and procedures were not effective at a reasonable assurance level because of the material weaknesses in internal control over financial reporting set forth below; provided, however, that we have made improvements with respect to addressing such material weaknesses and will continue to execute on an existing plan to remedy them.</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Rules 13a-15(f) and 15d (f) under the Exchange Act). Internal control over financial reporting is a process designed to provide reasonable assurance regarding the reliability of financial reporting and the preparation of financial statements for external reporting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company’s internal control over financial reporting is a process designed by, or under the supervision of, a company’s principal executive and principal financial officers, or persons performing similar functions, and effected by a company’s board of directors, management and other personnel to provide reasonable assurance regarding the reliability of financial reporting and the preparation of financial statements in accordance with generally accepted accounting principles. A material weakness is a deficiency or combination of deficiencies in internal control over financial reporting, such that there is a reasonable possibility that a material misstatement of our annual or interim financial statements will not be prevented or detected and corrected on a timely basis.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preparing the financial statements as of and for the year ended December 31, 2020, our management identified material weaknesses in its internal control over financial reporting. The material weaknesses identified were as follows: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There was a material weakness in our internal control environment over financial reporting as a result of insufficient resources with appropriate knowledge and expertise to design, implement, document and operate effective internal controls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(ii) There was a material weakness in our internal control activities due to a failure in design and implementation of     controls to review clinical trial expenses, including the evaluation of the terms of clinical trial contracts. Specifically, Tempest failed to properly review and evaluate progress of expense incurred in clinical trial contracts which resulted in the inaccurate actual of our clinical trial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Remediation of Material Weaknesses in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under the supervision of our Chief Executive Officer, has undertaken a plan to remediate the material weaknesses identified above, including adjustment to the methodology used to reflect clinical trial expenses in our financial statements and leveraging additional accounting resources. The additional efforts summarized below, which are in the process of being implemented, are intended to finalize the remediation, which our management expects to complete in the first half of 2022.</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We will seek to recruit and hire additional accounting personnel with appropriate experience, certification, education and training to help design, implement, document and operate effective internal controls over financial reporting; and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We will finalize our internal control design, and implement management review controls to review clinical trial expenses and the completeness of our reserves based on the status of clinical development and the progress of expense incurred.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cannot assure you that the material weaknesses identified will be remediated on the timelines currently anticipated by us, or at all, or that there will not be additional material weaknesses or significant deficiencies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existence of the material weaknesses as described above, we believe that the Consolidated Financial Statements in this Annual Report fairly present, in all material respects, our financial position, results of operations and cash flows as of the dates, and for the periods, presented, in conformity with GAAP.</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internal control over financial reporting during the quarter ended March 31, 2022 that have materially affected, or are reasonably likely to materially affect, our internal control over financial reporting. </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Inherent Limitations on Effectiveness of Controls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our Vice-President, Strategy and Finance,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 xml:space="preserve">Item 1. </w:t>
      </w:r>
      <w:r>
        <w:rPr>
          <w:rFonts w:ascii="Times New Roman;sans-serif" w:hAnsi="Times New Roman;sans-serif"/>
          <w:b/>
          <w:i/>
          <w:color w:val="000000"/>
          <w:sz w:val="20"/>
        </w:rPr>
        <w:t>Legal Proceedings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pertaining to legal proceedings is provided in Note 6 to the Condensed Consolidated Financial Statements contained in this report and is incorporated by reference herein.</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pPr>
      <w:r>
        <w:rPr>
          <w:rFonts w:ascii="Times New Roman;sans-serif" w:hAnsi="Times New Roman;sans-serif"/>
          <w:b/>
          <w:color w:val="000000"/>
          <w:sz w:val="20"/>
        </w:rPr>
        <w:t xml:space="preserve">Item 1A. </w:t>
      </w:r>
      <w:r>
        <w:rPr>
          <w:rFonts w:ascii="Times New Roman;sans-serif" w:hAnsi="Times New Roman;sans-serif"/>
          <w:b/>
          <w:i/>
          <w:color w:val="000000"/>
          <w:sz w:val="20"/>
        </w:rPr>
        <w:t>Risk Factors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Our business involves significant risks, some of which are described below. You should carefully consider the risks described below, together with all of the other information contained in this Quarterly Report on Form 10-Q, including the section entitled “Management’s Discussion and Analysis of Financial Condition and Results of Operations” and the financial statements and the related notes. Any of these events could cause the trading price of our common stock to decline, which would cause you to lose all or part of your investment. The occurrence of any of the following risks could have a material adverse effect on our business, financial condition, results of operations and future growth prospects or cause our actual results to differ materially from those contained in forward-looking statements we have made or may make from time to time. Such risks may be amplified by the COVID-19 pandemic and its potential impact on our business and the global economy.</w:t>
      </w:r>
    </w:p>
    <w:p>
      <w:pPr>
        <w:pStyle w:val="TextBody"/>
        <w:spacing w:before="0" w:after="0"/>
        <w:rPr/>
      </w:pPr>
      <w:r>
        <w:rPr/>
      </w:r>
    </w:p>
    <w:p>
      <w:pPr>
        <w:pStyle w:val="TextBody"/>
        <w:spacing w:lineRule="auto" w:line="288" w:before="0" w:after="0"/>
        <w:jc w:val="both"/>
        <w:rPr>
          <w:rFonts w:ascii="Times New Roman;sans-serif" w:hAnsi="Times New Roman;sans-serif"/>
          <w:b/>
          <w:color w:val="000000"/>
          <w:sz w:val="20"/>
          <w:u w:val="single"/>
        </w:rPr>
      </w:pPr>
      <w:r>
        <w:rPr>
          <w:rFonts w:ascii="Times New Roman;sans-serif" w:hAnsi="Times New Roman;sans-serif"/>
          <w:b/>
          <w:color w:val="000000"/>
          <w:sz w:val="20"/>
          <w:u w:val="single"/>
        </w:rPr>
        <w:t>Summary of Selected Risks Associated with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discussed at length in the section titled "Risk Factors." Below is a summary of some of the risks and uncertainties as of the date of the filing of this Quarterly Report on Form 10-Q, any one of which could materially adversely affect our business, financial condition, operating results, and prospects. You should read this summary together with the more detailed description of each risk factor contained below.</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 xml:space="preserve">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 </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We have identified material weaknesses in our internal control over financial reporting. Failure to achieve and maintain effective internal control over financial reporting could harm our business and negatively impact the value of our common stock.</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If we are unable to develop, obtain regulatory approval for and commercialize TPST-1495 and TPST-1120 and its future product candidates, or if we experience significant delays in doing so, our business will be materially harmed.</w:t>
      </w:r>
    </w:p>
    <w:p>
      <w:pPr>
        <w:pStyle w:val="TextBody"/>
        <w:spacing w:lineRule="auto" w:line="288" w:before="0" w:after="0"/>
        <w:jc w:val="both"/>
        <w:rPr/>
      </w:pPr>
      <w:r>
        <w:rPr>
          <w:color w:val="000000"/>
        </w:rPr>
        <w:t>•</w:t>
      </w:r>
      <w:r>
        <w:rPr>
          <w:rFonts w:ascii="Times New Roman;sans-serif" w:hAnsi="Times New Roman;sans-serif"/>
          <w:b w:val="false"/>
          <w:color w:val="000000"/>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The ongoing COVID-19 pandemic, or similar public health crises, could have a material adverse impact on our business, financial condition and results of operations, including the execution of our planned clinical trials.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We may not be successful in our efforts to expand our pipeline of product candidates and develop marketable products.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The commercial success of our product candidates, including TPST-1495 and TPST-1120, will depend upon their degree of market acceptance by providers, patients, patient advocacy groups, third-party payors and the general medical community.</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We face significant competition in an environment of rapid technological change, and it is possible that our competitors may achieve regulatory approval before us or develop therapies that are more advanced or effective than ours, which may harm our business, financial condition and ability to successfully market or commercialize TPST-1495, TPST-1120, and our other product candidates.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If we are unable to establish sales and marketing capabilities or enter into agreements with third parties to market and sell our product candidates, we may be unable to generate any revenues.</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We may not be successful in finding strategic collaborators for continuing development of certain of our future product candidates or successfully commercializing or competing in the market for certain indications.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The U.S. Food and Drug Administration (“FDA”) regulatory approval process is lengthy and time-consuming, and we may experience significant delays in the clinical development and regulatory approval of our product candidates.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We expect to expand our development and regulatory capabilities, and as a result, we may encounter difficulties in managing our growth, which could disrupt our operations.</w:t>
      </w:r>
    </w:p>
    <w:p>
      <w:pPr>
        <w:pStyle w:val="TextBody"/>
        <w:spacing w:before="0" w:after="0"/>
        <w:jc w:val="both"/>
        <w:rPr/>
      </w:pPr>
      <w:r>
        <w:rPr/>
      </w:r>
    </w:p>
    <w:p>
      <w:pPr>
        <w:pStyle w:val="TextBody"/>
        <w:spacing w:lineRule="auto" w:line="288" w:before="0" w:after="0"/>
        <w:jc w:val="both"/>
        <w:rPr/>
      </w:pPr>
      <w:r>
        <w:rPr>
          <w:color w:val="000000"/>
        </w:rPr>
        <w:t>•</w:t>
      </w:r>
      <w:r>
        <w:rPr>
          <w:rFonts w:ascii="Times New Roman;sans-serif" w:hAnsi="Times New Roman;sans-serif"/>
          <w:b w:val="false"/>
          <w:color w:val="000000"/>
          <w:sz w:val="20"/>
        </w:rPr>
        <w:t>If we fail to maintain proper and effective internal controls, our ability to produce accurate financial statements on a timely basis could be impaired.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 xml:space="preserve">Risks Related to Our </w:t>
      </w:r>
      <w:r>
        <w:rPr>
          <w:rFonts w:ascii="Times New Roman;sans-serif" w:hAnsi="Times New Roman;sans-serif"/>
          <w:b/>
          <w:color w:val="000000"/>
          <w:sz w:val="20"/>
          <w:highlight w:val="white"/>
        </w:rPr>
        <w:t>Financial Position and Capital Needs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a history of operating losses, and we may not achieve or sustain profitability. We anticipate that we will continue to incur losses for the foreseeable future. If we fail to obtain additional funding to conduct our planned research and development efforts, we could be forced to delay, reduce or eliminate our product development programs or commercial development efforts.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clinical-stage biotechnology company with a limited operating history. Biotechnology product development is a highly speculative undertaking and involves a substantial degree of risk. Our operations to date have been limited primarily to organizing and staffing, business planning, raising capital, acquiring and developing product and technology rights, manufacturing, and conducting research and development activities for our product candidates. We have never generated any revenue from product sales and we have not obtained regulatory approvals for any of our product candidates.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incurred net losses of $28.3 million for the year ended December 31, 2021, and $8.5 million for the three months ended March 31, 2022. As of March 31, 2022, we had an accumulated deficit of $108.6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as we continue to conduct research and development, clinical testing, regulatory compliance activities, manufacturing activities, and, if any of our product candidates is approved, sales and marketing activities. Our prior losses, combined with our expected future losses, have had and will continue to have an adverse effect on our stockholders’ equity and working capital.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expect that we will need to raise additional funding to finance our operations. This additional financing may not be available on acceptable terms or at all. Failure to obtain this necessary capital when needed may force us to delay, limit or terminate our product development efforts or other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require substantial future capital in order to complete planned and future preclinical and clinical development for our product candidates and potentially commercialize these product candidates. We expect our spending levels to increase in connection with our preclinical studies and clinical trials of our product candidates. In addition, if we obtain marketing approval for any of our product candidates, we expect to incur significant expenses related to commercial launch, product sales, medical affairs, marketing, manufacturing and distribution. Furthermore, we expect to incur additional costs associated with operating as a public company. Accordingly, we will need to obtain substantial additional funding in connection with our continuing operations before any commercial revenue may occur.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 capital might not be available when we need it and our actual cash requirements might be greater than anticipated. If we require additional capital at a time when investment in our industry or in the marketplace in general is limited, we might not be able to raise funding on favorable terms, if at all. If we are not able to obtain financing when needed or on terms favorable to us, we may need to delay, reduce or eliminate certain research and development programs or other operations, sell some or all of our assets or merge with another entity.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have consumed significant amounts of cash since inception. Our future capital requirements will depend on many factors,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associated with the scope, progress and results of discovery, preclinical development, laboratory testing and clinical trials for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associated with the manufacturing of our product candidates;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related to the extent to which we enter into partnerships or other arrangements with third parties to further develop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and fees associated with the discovery, acquisition or in-license of product candidates or technologies;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establish collaborations on favorable terms, if at all;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of future commercialization activities, if any, including product sales, marketing, manufacturing and distribution, for any of our product candidates for which we receive marketing approval;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revenue, if any, received from commercial sales of our product candidates, should any of our product candidates receive marketing approval;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candidates, if approved, may not achieve commercial success. Our commercial revenues, if any, will be derived from sales of product candidates that we do not expect to be commercially available for many years, if at all. Accordingly, we will need to continue to rely on additional financing to achieve our business objectives, which may not be available to us on acceptable terms, or at all.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you to evaluate the success of our business to date and to assess our future viability.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to date have been limited to organizing and staffing, business planning, raising capital, acquiring our technology, identifying potential product candidates, undertaking research and preclinical studies of our product candidates, manufacturing, and establishing licensing arrangements. We have not yet demonstrated the ability to complete clinical trials of our product candidates, obtain marketing approvals, manufacture a commercial scale product or conduct sales and marketing activities necessary for successful commercialization. Consequently, any predictions you make about our future success or viability may not be as accurate as they could be if we had a longer operating history.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a new business, we may encounter unforeseen expenses, difficulties, complications, delays and other known and unknown factors. We will need to transition from a company with a licensing and research focus to a company that is also capable of supporting clinical development and commercial activities. We may not be successful in such a transition.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identified material weaknesses in our internal control over financial reporting. Failure to achieve and maintain effective internal control over financial reporting could harm our business and negatively impact the value of our common stock.</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preparation and audit of our financial statements as of and for the year ended December 31, 2020, a material weakness was identified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Specifically, we identified the following material weaknesses in our internal control over financial reporting: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did not have sufficient resources with appropriate knowledge and expertise to design, implement, document and operate effective internal controls over financial reporting.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did not design and implement controls surrounding review of clinical trial expenses, including the evaluation of the terms of our clinical trial contracts. Specifically, we failed to properly review and evaluate the progress of expenses incurred in our clinical trial contracts that resulted in the inaccurate accrual of clinical trial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material weaknesses resulted in adjustments to our financial statements for the year ended December 31, 2020. Additionally, these material weaknesses could result in a misstatement of our accounts or disclosures that would result in a material misstatement of our annual or interim financial statements that would not be prevented or detected.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actively recruiting additional accounting personnel with appropriate experience, certification, education and training as a component of our plans to remediate the material weaknesses. We also plan to design and implement controls related to review of clinical trial expenses to properly evaluate progress of expense incurred in clinical trial contracts. To the extent that we are not able to hire and retain such individuals, or are unable to successfully design and implement such controls, the material weaknesses identified may not be remediated and management may be required to record additional adjustments to our financial statements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ability to utilize our net operating loss carryforwards and tax credit carryforwards may be subject to limitations.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use our federal and state net operating losses (“NOLs”) to offset potential future taxable income and related income taxes that would otherwise be due is dependent upon our generation of future taxable income, and we cannot predict with certainty when, or whether, we will generate sufficient taxable income to use all of our NOLs.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382 and Section 383 of the Code and corresponding provisions of state law, if a corporation undergoes an “ownership change,” its ability to use its pre-change NOL carryforwards and other pre-change tax attributes (such as research tax credits) to offset its post-change income or taxes may be limited. A Section 382 “ownership change” is generally defined as a greater than 50 percentage point change (by value) in its equity ownership by certain stockholders over a three-year period. We may have experienced ownership changes in the past, including as a result of the merger with Millendo, and may experience ownership changes in the future due to subsequent shifts in our stock ownership (some of which are outside of our control). Furthermore, the merger constituted an ownership change (within the meaning of Section 382 of the Code) of Millendo which may have eliminated or otherwise substantially limited our ability to use Millendo’s federal and state NOLs to offset our future taxable income. Consequently, even if we achieve profitability, we may not be able to utilize a material portion of Private Tempest’s, Millendo’s or our combined NOL carryforwards and other tax attributes, which could have a material adverse effect on cash flow and results of operations. Similar provisions of state tax law may also apply to limit our ability to use of accumulated state tax attributes. There is also a risk that due to regulatory changes, such as suspensions on the use of NOLs, or other unforeseen reasons, our existing NOLs could expire or otherwise be unavailable to offset future income tax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Business and Strategy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business disruption and related risks resulting from the COVID-19 pandemic, which could have a material adverse effect on our business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development of our product candidates has been, and could continue to be, disrupted and materially adversely affected by past and continuing impacts of the COVID-19 pandemic. This is largely a result of measures imposed by the governments and hospitals in affected regions, businesses and schools were suspended due to quarantines intended to contain this outbreak. While the constraints of the pandemic are being lifted, we are still assessing the longer-term impact of the COVID-19 pandemic on our development plans, and on the ability to conduct our clinical trials. COVID-19 could continue to disrupt production and cause delays in the supply and delivery of products used in our operations, may affect our operations, including the conduct of clinical studies, or the ability of regulatory bodies to grant approvals or supervise our candidates and products, may further divert the attention and efforts of the medical community to coping with the COVID-19 and disrupt the marketplace in which we operate and may have a material adverse effects on our operations. COVID-19 may also affect our employees and employees and operations at suppliers that may result in delays or disruptions in supply. In addition, a recession or market correction resulting from the spread of COVID-19 could materially affect our business and the value of our common stock. Additionally, if the COVID-19 pandemic has a significant impact on our business and financial results for an extended period of time, our liquidity and cash resources could be negatively impacted. The extent to which the COVID-19 pandemic and ongoing global efforts to contain its spread will impact our operations will depend on future developments, which are highly uncertain, and include the duration, severity and scope of the pandemic and the actions taken to contain or treat the COVID-19 pandemic. Further, the specific clinical outcomes, or future pandemic-related impacts of emerging COVID-19 variants cannot be reliably predicted.</w:t>
      </w:r>
    </w:p>
    <w:p>
      <w:pPr>
        <w:pStyle w:val="TextBody"/>
        <w:spacing w:before="0" w:after="0"/>
        <w:rPr/>
      </w:pPr>
      <w:r>
        <w:rPr/>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expect to expand our development and regulatory capabilities, and as a result, we may encounter difficulties in managing our growth, which could disrupt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to experience significant growth in the number of our employees and the scope of our operations, particularly in the areas of product candidate development, growing our capability to conduct clinical trials, and, if approved, through commercialization of our product candidates. To manage our anticipated future growth, we must continue to implement and improve our managerial, operational and financial systems, expand our facilities and continue to recruit and train additional qualified personnel, or contract with third parties to provide these capabilities.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must attract and retain highly skilled employees to succeed.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succeed, we must recruit, retain, manage and motivate qualified clinical, scientific, technical and management personnel, and we face significant competition for experienced personnel. If we do not succeed in attracting and retaining qualified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personnel, particularly at the management level, it could adversely affect our ability to execute our business plan, harm our results of operations and increase our capabilities to successfully commercialize our product candidates. In particular, we believe that our future success is highly dependent upon the contributions of our senior management, particularly our Chief Executive Officer, Stephen Brady, our President, Thomas Dubensky and our Chief Medical Officer, Sam Whiting. The loss of services of Messrs. Dubensky or Brady or Whiting, or any of our other senior management, could delay or prevent the successful development of our product pipeline, completion of our planned clinical trials or the commercialization of our product candidates, if approved. The competition for qualified personnel in the biotechnology field is intense and as a result, we may be unable to continue to attract and retain qualified personnel necessary for the development of our business or to recruit suitable replacement personnel.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acquisitions or strategic alliances could disrupt our business and harm our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 The risks we face in connection with acquisitions,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diversion of management time and focus from operating our business to addressing acquisition integration challenges;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coordination of research and development efforts;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retention of key employees from the acquired company;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relationships with strategic partners as a result of product acquisitions or strategic positioning resulting from the acquisition;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cultural challenges associated with integrating employees from the acquired company into our organization;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need to implement or improve controls, procedures and policies at a business that prior to the acquisition may have lacked sufficiently effective controls, procedures and policies;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liability for activities of the acquired company before the acquisition, including intellectual property infringement claims, violation of laws, commercial disputes, tax liabilities and other known liabilities;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unanticipated write-offs or charges;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litigation or other claims in connection with the acquired company, including claims from terminated employees, customers, former stockholders or other third parties.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failure to address these risks or other problems encountered in connection with our past or future acquisitions or strategic alliances could cause us to fail to realize the anticipated benefits of these transactions, cause us to incur unanticipated liabilities and harm the business generally. There is also a risk that future acquisitions will result in the incurrence of debt, contingent liabilities, amortization expenses or incremental operating expenses, any of which could harm our financial condition or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Product Development and Regulatory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develop, obtain regulatory approval for and commercialize TPST-1495 and TPST-1120 and our future product candidates, or if we experience significant delays in doing so, our business will be materially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invest a substantial amount of our efforts and financial resources in our current lead product candidates, TPST-1495, a dual EP2/EP4 prostaglandin (“PGE2”) receptor antagonist, and TPST-1120, a peroxisome proliferator-activated receptor alpha (“PPARα”) antagonist for the treatment of various cancers. We have initiated Phase 1 clinical trials of TPST-1495 and TPST-1120 for the treatment of advanced solid tumors. In addition, we plan to advance our program targeting the three prime repair exonuclease (“TREX-1”) and select a development candidate for this program by first half of 2022. Our ability to generate product revenue will depend heavily on the successful development and eventual commercialization of TPST-1495 and TPST-1120 and our other product candidates, which may never occur. We currently generate no revenue from sales of any product and we may never be able to develop or commercialize a marketable product.</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Each of our programs and product candidates will require further clinical and/or preclinical development, regulatory approval in multiple jurisdictions, obtaining preclinical, clinical and commercial manufacturing supply, capacity and expertise, building of a commercial organization, substantial investment and significant marketing efforts before we generate any revenue from product sales. TPST-1495 and TPST-1120 and our other product candidates must be authorized for marketing by the FDA, the Health Products and Food Branch of Health Canada (“HPFB”), the European Medicines Agency (“EMA”), and certain other foreign regulatory agencies before we may commercialize any of our product candidates in the United States, Canada, EU, or other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TPST-1495 and TPST-1120 and our other product candidates depends on multiple factors,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successful completion of preclinical studies, including those compliant with Good Laboratory Practice (“GLP”), or GLP toxicology studies, biodistribution studies and minimum effective dose studies in animals, and successful enrollment and completion of clinical trials compliant with current Good Clinical Practices (“GCPs”);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effective Investigational New Drug applications or other regulatory applications, that allow commencement of our planned clinical trials or future clinical trials for our product candidates in relevant territories;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establishing and maintaining relationships with contract research organizations (“CROs”) and clinical sites for the clinical development of our product candidates, both in the United States and internationally;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maintenance of arrangements with third-party contract manufacturing organizations (“CMOs”) for key materials used in our manufacturing processes and to establish backup sources for clinical and large-scale commercial supply;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positive results from our clinical programs that are supportive of safety and efficacy and provide an acceptable risk-benefit profile for our product candidates in the intended patient populations;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receipt of regulatory approvals from applicable regulatory authorities, including those necessary for pricing and reimbursement of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establishment and maintenance of patent and trade secret protection and regulatory exclusivity for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commercial launch of our product candidates, if and when approved, whether alone or in collaboration with others;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acceptance of our product candidates, if and when approved, by patients, patient advocacy groups, third-party payors and the general medical community;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effectively compete with developers of other therapies available in the market;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establishment and maintenance of adequate reimbursement from third-party payors for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acquire or in-license additional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prosecution, maintenance, enforcement and defense of intellectual property rights and claims;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maintenance of a continued acceptable safety profile of our product candidates following approval, including meeting any post-marketing commitments or requirements imposed by or agreed to with applicable regulatory authorities;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political factors surrounding the approval process, such as government shutdowns;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business interruptions resulting from geopolitical actions, including war and terrorism such as Russia's recent incursion into Ukraine, natural disasters including earthquakes, typhoons, floods and fires, and public health emergencies, such as the ongoing COVID-19 pandemic,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disruptions in enrollment of our clinical trials due to the COVID-19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do not succeed in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Success in preclinical studies and earlier clinical trials for our product candidates may not be indicative of the results that may be obtained in later clinical trials, which may delay or prevent obtaining regulatory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Clinical development is expensive and can take many years to complete, and our outcome is inherently uncertain. Failure can occur at any time during the clinical trial process. Success in preclinical studies and early clinical trials may not be predictive of results in later-stage clinical trials, and successful results from early or small clinical trials may not be replicated or show as favorable an outcome in later-stage or larger clinical trials, even if successful. We will be required to demonstrate through adequate and well-controlled clinical trials that our product candidates are safe and effective for their intended uses before we can seek regulatory approvals for their commercial sale. The conduct of phase 3 trials and the submission of a New Drug Application (“NDA”) is a complicated process. We have not previously completed any clinical trials, has limited experience in preparing, submitting and supporting regulatory filings, and has not previously submitted an NDA. Consequently, we may be unable to successfully and efficiently execute and complete necessary clinical trials and other requirements in a way that leads to NDA submission and approval of any product candidate we are developing.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TPST-1495 and TPST-1120 are being evaluated in clinical trials, our other product candidates, such as TREX-1, have not been evaluated in human clinical trials, and we may experience unexpected or negative results in the future if and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when TREX-1 or our other product candidates are evaluated in clinical trials. Any positive results we observe for TREX-1 in preclinical animal models may not be predictive of our future clinical trials in humans, as animal models carry inherent limitations relevant to all preclinical studies. Our product candidates, including TREX-1, may also fail to show the desired safety and efficacy in later stages of clinical development even if they successfully advance through initial clinical trials. Even if our clinical trials demonstrate acceptable safety and efficacy of TPST-1495, TPST-1120 or TREX-1 or any other product candidates and such product candidates receive regulatory approval, the labeling we obtain through negotiations with the FDA or foreign regulatory authorities may not include data on secondary endpoints and may not provide us with a competitive advantage over other products approved for the same or similar indications.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in the biotechnology industry have suffered significant setbacks in late-stage clinical trials after achieving positive results in early-stage development, and there is a high failure rate for product candidates proceeding through clinical trials. In addition, different methodologies, assumptions and applications we utilize to assess particular safety or efficacy parameters may yield different statistical results. Even if we believe the data collected from clinical trials of our product candidates are promising, these data may not be sufficient to support approval by the FDA or foreign regulatory authorities. Preclinical and clinical data can be interpreted in different ways. Accordingly, the FDA or foreign regulatory authorities could interpret these data in different ways from us or our partners, which could delay, limit or prevent regulatory approval. If our study data does not consistently or sufficiently demonstrate the safety or efficacy of any of our product candidates, including TPST-1495 and TPST-1120, to the satisfaction of the FDA or foreign regulatory authorities, then the regulatory approvals for such product candidates could be significantly delayed as we work to meet approval requirements, or, if we are not able to meet these requirements, such approvals could be withheld or withdrawn.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including, without limitation, the impact of the COVID-19 pandemic. The timely completion of clinical trials in accordance with our protocols depends, among other things, on our ability to enroll a sufficient number of patients who remain in the study until our conclusion. The enrollment of patients depends on many factors,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patient eligibility criteria defined in the protocol;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size of the patient population required for analysis of the trial’s primary endpoints;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proximity of patients to study sites;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design of the trial;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obtain and maintain patient consents;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risk that patients enrolled in our clinical trials will drop out of the trials before the infusion of our product candidates or trial completion.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conduct a number of clinical trials for product candidates in the fields of cancer in geographies which are affected by the ongoing COVID-19 pandemic. We believe COVID-19 could have an impact on various aspects of our future clinical trials. For example, investigators may not want to take the risk of exposing cancer patients to COVID-19 since the dosing of patients is conducted within an in-patient setting. Other potential impacts of the COVID-19 pandemic on our future various clinical trials include patient dosing and study monitoring, which may be paused or delayed due to changes in policies at various clinical sites, federal, state, local or foreign laws, rules and regulations, including quarantines or other travel restrictions, prioritization of healthcare resources toward pandemic efforts, including diminished attention of physicians serving as our clinical trial investigators and reduced availability of site staff supporting the conduct of our clinical trials, interruption or delays in the operations of the government regulators, or other reasons related to the COVID-19 pandemic. It is unknown how long these pauses or disruptions could continue.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some of our clinical trial sites are also being used by some of our competitors, which may reduce the number of patients who are available for our clinical trials in that clinical trial site.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our product candidates represent unproven methods for cancer treatment, potential patients and their doctors may be inclined to use existing therapies rather than enroll patients in our clinical trials.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ongoing clinical trial and planned clinical trials, which could prevent completion of these trials and adversely affect our ability to advance the development of 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Interim and preliminary data from our clinical trials that we may announce or publish from time to time may change as more patient data becomes available and are subject to audit and verification procedures that could result in material changes in the final data.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publish interim or preliminary data from our clinical studies. Interim data from clinical trials that we may complete are subject to the risk that one or more of the clinical outcomes may materially change as patient enrollment continues and more patient data become available.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Preliminary or interim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business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Even if we complete the necessary preclinical studies and clinical trials, we cannot predict when, or if, we will obtain regulatory approval to commercialize a product candidate and the approval may be for a narrower indication than we seek.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Prior to commercialization, TPST-1495, TPST-1120 and our other product candidates must be approved by the FDA pursuant to an NDA in the United States and pursuant to similar marketing applications by the HPFB, EMA and similar regulatory authorities outside the United States. The process of obtaining marketing approvals, both in the United States and abroad, is expensive and takes many years, if approval is obtained at all, and can vary substantially based upon a variety of factors, including the type, complexity and novelty of the product candidates involved. Failure to obtain marketing approval for a product candidate will prevent us from commercializing the product candidate. We have not received approval to market TPST-1495, TPST-1120 or any of our other product candidates from regulatory authorities in any jurisdiction. We have no experience in submitting and supporting the applications necessary to gain marketing approvals, and, in the event regulatory authorities indicate that we may submit such applications, we may be unable to do so as quickly and efficiently as desired.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us from obtaining marketing approval or prevent or limit commercial use. Regulatory authorities have substantial discretion in the approval process and may refuse to accept or file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Approval of TPST-1495 and TPST-1120 and our other product candidates may be delayed or refused for many reasons,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FDA or comparable foreign regulatory authorities may disagree with the design or implementation of our clinical trials;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unable to demonstrate, to the satisfaction of the FDA or comparable foreign regulatory authorities, that our product candidates are safe and effective for any of their proposed indications;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populations studied in clinical trials may not be sufficiently broad or representative to assure efficacy and safety in the populations for which we seek approval;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results of clinical trials may not meet the level of statistical significance required by the FDA or comparable foreign regulatory authorities for approval;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unable to demonstrate that our product candidates’ clinical and other benefits outweigh their safety risks;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data collected from clinical trials of our product candidates may not be sufficient to support the submission of an NDA or other comparable submission in foreign jurisdictions or to obtain regulatory approval in the United States or elsewhere;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facilities of third-party manufacturers with which we contract or procure certain service or raw materials, may not be adequate to support approval of our product candidates;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approval policies or regulations of the FDA or comparable foreign regulatory authorities may significantly change in a manner rendering our clinical data insufficient for approval.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our product candidates meet their pre-specified safety and efficacy endpoints in clinical trials, the regulatory authorities may not complete their review processes in a timely manner and may not consider such clinical trial results sufficient to grant,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Regulatory authorities also may approve a product candidate for more limited indications than requested or they may impose significant limitations in the form of narrow indications, warnings, contraindications or Risk Evaluation and Mitigation Strategies ("REMS"). These regulatory authorities may also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adversely affect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TPST-1495, TPST-1120 and our other product candidates may cause undesirable and/or unforeseen side effects or be perceived by the public as unsafe, which could delay or prevent their advancement into clinical trials or regulatory approval, limit the commercial potential or result in significant negative consequences.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is the case with pharmaceuticals generally, it is likely that there may be side effects and adverse events associated with our product candidates’ use. Results of our clinical trials could reveal a high and unacceptable severity and prevalence of side effects or unexpected characteristics. As we continue developing our product candidates and initiate clinical trials of our additional product candidates, serious adverse events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any such adverse events occur, our clinical trials could be suspended or terminated and the FDA, the HPFB, the European Commission, the EMA or other regulatory authorities could order us to cease further development of, or deny approval of, our product candidates for any or all targeted indications. Even if we can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adversely affect our business, financial condition, results of operations and prospects significantly, including our ability to successfully sign collaboration or license agreements with external partners. Other treatments for cancers that utilize prostaglandin E2 antagonist or a PPARα antagonist or similar mechanism of action could also generate data that could adversely affect the clinical, regulatory or commercial perception of TPST-1495 and TPST-1120 and our other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any of our product candidates receives marketing approval, the FDA could require us to adopt a REMS to ensure that the benefits of the product outweigh our risks, which may include, for example, a Medication Guide outlining the risks of the product for distribution to patients and a communication plan to health care practitioners, or other elements to assure safe use of the product.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if we or others later identify undesirable side effects caused by our product candidates, several potentially significant negative consequences could result,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regulatory authorities may suspend or withdraw approvals of such product candidate;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regulatory authorities may require additional warnings in the product labeling;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required to change the way a product candidate is administered or conduct additional clinical trials;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could be sued and held liable for harm caused to patients;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reputation may suffer.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occurrences may harm our business, financial condition, results of operations and prospects significantly.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expand our pipeline of product candidates and develop marketable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have limited financial and managerial resources, we focus on research programs and product candidates that we identify for specific indications. Our business depends on our successful development and commercialization of the limited number of internal product candidates we are researching or have in preclinical development. Even if we are successful in continuing to build our pipeline, development of the potential product candidates that we identify will require substantial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investment in additional clinical development, management of clinical, preclinical and manufacturing activities, regulatory approval in multiple jurisdictions, obtaining manufacturing supply capability,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develop further product candidates, we may not be able to obtain product revenue in future periods, which would adversely affect our business, prospects,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pipeline includes multiple programs, we are primarily focused on our lead product candidates, TPST-1495 and TPST-1120, and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 candidates, when and if any of them are approved.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product candidates and the activities associated with their development and potential commercialization, including their testing, manufacturing, recordkeeping, labeling, storage, approval, advertising, promotion, sale and distribution, are subject to comprehensive regulation by the FDA and other U.S. and international regulatory authorities. These requirements include submissions of safety and other post-marketing information and reports, registration and listing requirements, requirements relating to manufacturing, including current Good Manufacturing Practices (“cGMP”), quality control, quality assurance and corresponding maintenance of records and documents, including periodic inspections by the FDA and other regulatory authorities and requirements regarding the distribution of samples to providers and recordkeeping. In addition, manufacturers of drug products and their facilities are subject to continual review and periodic, unannounced inspections by the FDA and other regulatory authorities for compliance with cGMP.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may also impose requirements for costly post-marketing studies or clinical trials and surveillance to monitor the safety or efficacy of any approved product. The FDA closely regulates the post-approval marketing and promotion of drugs to ensure that they are marketed in a manner consistent with the provisions of the approved labeling. The FDA imposes stringent restrictions on manufacturers’ communications regarding use of their products. If we promote our product candidates in a manner inconsistent with FDA-approved labeling or otherwise not in compliance with FDA regulations, we may be subject to enforcement action. Violations of the Federal Food, Drug, and Cosmetic Act relating to the promotion of prescription drugs may lead to investigations alleging violations of federal and state healthcare fraud and abuse laws, as well as state consumer protection laws and similar laws in international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later discovery of previously unknown adverse events or other problems with our product candidates, manufacturers or manufacturing processes, or failure to comply with regulatory requirements, may yield various results, including: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restrictions on such product candidates, manufacturers or manufacturing processes;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restrictions on the labeling or marketing of a product;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restrictions on product distribution or use;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requirements to conduct post-marketing studies or clinical trials;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warning or untitled letters;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withdrawal of any approved product from the market;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refusal to approve pending applications or supplements to approved applications that we submit;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recall of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fines, restitution or disgorgement of profits or revenues;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suspension or withdrawal of marketing approvals;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refusal to permit the import or export of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product seizure;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injunctions or the imposition of civil or criminal penalties.</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any event or penalty described above may inhibit our ability to commercialize our product candidates and generate revenue and could require us to expend significant time and resources in response and could generate negative publicity. 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it may lose any marketing approval that we have obtained, and we may not achieve or sustain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Non-compliance with Canadian and European requirements regarding safety monitoring or pharmacovigilance, and with requirements related to the development of products for the pediatric population, can also result in significant financial penalties. Similarly, failure to comply with Canada’s or Europe’s requirements regarding the protection of personal information can also lead to significant penalties and sanctions.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failure to obtain regulatory approval in international jurisdictions would prevent us from marketing our product candidates outside the United States.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market and sell TPST-1495, TPST-1120 and our other product candidates in other jurisdictions, we must obtain separate marketing approvals and comply with numerous and varying regulatory requirements. The approval procedure varies among countries and can involve additional testing. The time and data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Failure to obtain foreign regulatory approvals or non-compliance with foreign regulatory requirements could result in significant delays, difficulties and costs for us and could delay or prevent the introduction of our product candidates in certain countries.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Our failure to obtain approval of any of our product candidates by regulatory authorities in another country may significantly diminish the commercial prospects of that product candidate and our business prospects could decline.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Commercialization and Manufacturing</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commercial success of our product candidates, including TPST-1495 and TPST-1120, will depend upon their degree of market acceptance by providers, patients, patient advocacy groups, third-party payors and the general medical community.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Even if the requisite approvals from the FDA, the HPFB, the EMA and other regulatory authorities internationally are obtained, the commercial success of our product candidates will depend, in part, on the acceptance of providers, patients and third-party payors of drugs designed to act as a dual antagonist of EP2 and EP4 and PPARα antagonists in general, and our product candidates in particular, as medically necessary, cost-effective and safe. In addition, we may face challenges in seeking to establish and grow sales of TPST-1495 and TPST-1120 or our other product candidates. Any product that we commercialize may not gain acceptance by providers, patients, patient advocacy groups, third-party payors and the general medical community. If these products do not achieve an adequate level of acceptance, we may not generate significant product revenue and may not become profitable.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Even if a potential product displays a favorable efficacy and safety profile in preclinical studies and clinical trials, market acceptance of the product will not be fully known until after it is launched.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pricing, insurance coverage and reimbursement status of newly approved products is uncertain. Failure to obtain or maintain adequate coverage and reimbursement for our product candidates, if approved, could limit our ability to market those products and decrease our ability to generate product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Successful sales of our product candidates, if approved, depend on the availability of coverage and adequate reimbursement from third-party payors including governmental healthcare programs, such as Medicare and Medicaid, managed care organizations and commercial payors, among others. Significant uncertainty exists as to the coverage and reimbursement status of any product candidates for which we obtain regulatory approval. In addition, because our product candidates represent new approaches to the treatment of cancer, we cannot accurately estimate the potential revenue from our product candidates.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coverage and reimbursement by third-party payors will be essential for most patients to be able to afford these treatments. Accordingly, sales of our product candidates will depend substantially, both domestically and internationally, on the extent to which the costs of our product candidates will be paid by health maintenance, managed care, pharmacy benefit and similar healthcare management organizations, or will be reimbursed by government payors, private health coverage insurers and other third-party payors. Even if coverage is provided, the established reimbursement amount may not be high enough to allow us to establish or maintain pricing sufficient to realize a sufficient return on our investment.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will be covered and reimbursed. The Medicare program covers certain individuals aged 65 or older, disabled or suffering from end-stage renal disease. The Medicaid program, which varies from state-to-state, covers certain individuals and families who have limited financial means. The Medicare and Medicaid programs increasingly are used as models for how private payors and other government payors develop their coverage and reimbursement policies for drugs. One payor’s determination to provide coverage for a drug product, however, does not assure that other payors will also provide coverage for the drug product. Further, a payor’s decision to provide coverage for a drug product does not imply that an adequate reimbursement rate will be approved.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government and private payors, professional organizations such as the American Medical Association, can influence decisions about coverage and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compared to existing alternatives. Such organizations may set guidelines that limit reimbursement or utilization of our product candidates, if approved. Even if favorable coverage and reimbursement status is attained for one or more product candidates for which our collaborators receive regulatory approval, less favorable coverage policies and reimbursement rates may be implemented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international operations are generally subject to extensive governmental price controls and other market regulations, and we believe the increasing emphasis on cost-containment initiatives in Europe, Canada and other countries has and will continue to put pressure on the pricing and usage of therapeutics such as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revenues and profits.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increasing efforts by government and other third-party payors, in the United States and internationally, to cap or reduce healthcare costs may cause such payors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certain third-party payors, such as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 Recently there have been instances in which third-party payors have refused to reimburse treatments for patients for whom the treatment is indicated in the FDA-approved product labeling. Even if we are successful in obtaining FDA approval to commercialize our product candidates, we cannot guarantee that we will be able to secure reimbursement for all patients for whom treatment with our product candidates is indicated.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third parties on which we depend to conduct our planned preclinical studies or clinical trials do not perform as contractually required, fail to satisfy regulatory or legal requirements or miss expected deadlines, our development program could be delayed with adverse effects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 party CROs, CMOs, consultants and others to design, conduct, supervise and monitor key activities relating to, testing, discovery, manufacturing, preclinical studies and clinical trials of our product candidates, and we intend to do the same for future activities relating to existing and future programs. Because we rely on third parties and does not have the ability to conduct all required testing,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testing, discovery, manufacturing, preclinical studies or clinical trials being delayed or unsuccessful, in whole or in part.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 responsible for ensuring that each of our preclinical studies and clinical trials is conducted in accordance with the general investigational plan and protocols for the trial, as well as in accordance with GLP, GCP and other applicable laws, regulations and standards. Our reliance on third parties that we do not control does not relieve us of these responsibilities and requirements. The FDA and other regulatory authorities enforce GCP through periodic inspections of trial sponsors, principal investigators and trial sites. If we or any of these third parties fails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have complied with GCP. In addition, our clinical trials must be conducted with product produced in accordance with cGMP. Our failure to comply with these regulations may require us to repeat clinical trials, which could delay or prevent the receipt of regulatory approvals. Any such event could have an adverse effect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face significant competition in an environment of rapid technological change, and it is possible that our competitors may achieve regulatory approval before us or develop therapies that are more advanced or effective than our therapies, which may harm our business, financial condition and our ability to successfully market or commercialize TPST-1495, TPST-1120, and our other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biopharmaceutical industry, and the immuno-oncology industry specifically, is characterized by intense competition and rapid innovation. We are aware of other companies focused on developing cancer therapies in various indications. We may also face competition from large and specialty pharmaceutical and biotechnology companies, academic research institutions, government agencies and public and private research institutions that conduct research, seek patent protection, and establish collaborative arrangements for research, development, manufacturing and commercialization.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our potential competitors, alone or with their strategic partners, may have substantially greater financial, technical and other resources than we do, such as larger research and development, clinical, marketing and manufacturing organizations. Mergers and acquisitions in the biotechnology and pharmaceutical industries may result in even more resources being concentrated among a smaller number of competitors. Our commercial opportunity could be reduced or eliminated if competitors develop and commercialize products that are safer, more effective, have fewer or less severe side effects, are more convenient or are less expensive than any product candidates that we may develop. Competitors also may obtain FDA or other regulatory approval for their products more rapidly than we may obtain approval for our products, which could result in our competitors establishing a strong market position before we are able to enter the market, if ever. Additionally, new or advanced technologies developed by our competitors may render our current or future product candidates uneconomical or obsolete, and we may not be successful in marketing our product candidates against competitors.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 candidates with significant market potential, which will require us to be successful in a range of challenging activities. These activities include, among other things, completing preclinical studies and initiating and completing clinical trials of our product candidates, obtaining marketing approval for these product candidates, manufacturing, marketing and selling those products that are approved and satisfying any post 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common stock and could impair our ability to raise capital, maintain our research and development efforts, expand our business or continue operations. A decline in the value of our common stock also could cause you to lose all or part of your investment.</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rely on third parties to manufacture our clinical product supplies, and we may have to rely on third parties to produce and process our product candidates, if approved.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currently rely on outside vendors to manufacture supplies and process our product candidates. We have not yet manufactured or processed our product candidates on a commercial scale and may not be able to achieve manufacturing and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processing and may be unable to create an inventory of mass-produced, off-the-shelf product to satisfy demands for any of 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do not yet have sufficient information to reliably estimate the cost of the commercial manufacturing and processing of our product candidates, and the actual cost to manufacture and process our product candidates could materially and adversely affect the commercial viability of our product candidates. As a result, we may never be able to develop a commercially viable product.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anticipate reliance on a limited number of third-party manufacturers exposes us to the following risks: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unable to identify manufacturers on acceptable terms or at all because the number of potential manufacturers is limited, and the FDA may have questions regarding any replacement contractor. This may require new testing and regulatory interactions. In addition, a new manufacturer would have to be educated in, or develop substantially equivalent processes for, production of our products after receipt of FDA questions, if any.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third-party manufacturers might be unable to timely formulate and manufacture our product or produce the quantity and quality required to meet our clinical and commercial needs, if any.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Contract manufacturers may not be able to execute our manufacturing procedures appropriately.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future contract manufacturers may not perform as agreed or may not remain in the contract manufacturing business for the time required to supply our clinical trials or to successfully produce, store and distribute our products.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Manufacturers are subject to ongoing periodic unannounced inspection by the FDA, the Drug Enforcement Administration and corresponding state agencies to ensure strict compliance with cGMP and other government regulations and corresponding foreign standards. We do not have control over third-party manufacturers’ compliance with these regulations and standards.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own, or may have to share, the intellectual property rights to any improvements made by our third-party manufacturers in the manufacturing process for our products.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third-party manufacturers could breach or terminate their agreement(s) with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 manufacturers would also be subject to the same risks we face in developing our own manufacturing capabilities, as described above. Each of these risks could delay our clinical trials, the approval, if any, of our product candidates by the FDA or the commercialization of our product candidates or result in higher costs or deprive us of potential product revenue. In addition, we will rely on third parties to perform release tests on our product candidates prior to delivery to patients. If these tests are not appropriately done and test data are not reliable, patients could be put at risk of serious harm.</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manufacture of drugs is complex, and our third-party manufacturers may encounter difficulties in production. If any of our third-party manufacturers encounter such difficulties, our ability to provide adequate supply of our product candidates for clinical trials, our ability to obtain marketing approval, or our ability to provide supply of our product candidates for patients, if approved, could be delayed or stopped.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establish manufacturing relationships with a limited number of suppliers to manufacture raw materials, the drug substance and finished product of any product candidate for which we are responsible for preclinical or clinical development. Each supplier may require licenses to manufacture such components if such processes are not owned by the supplier or in the public domain. As part of any marketing approval, a manufacturer and its processes are required to be qualified by the FDA prior to regulatory approval. If supply from the approved vendor is interrupted, there could be a significant disruption in commercial supply. An alternative vendor would need to be qualified through an NDA supplement which could result in further delay. The FDA or other regulatory agencies outside of the United States may also require additional studies if a new supplier is relied upon for commercial production. Switching vendors may involve substantial costs and is likely to result in a delay in our desired clinical and commercial timelines.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process of manufacturing drugs is complex, highly regulated and subject to multiple risks. Manufacturing drugs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at the facilities of our manufacturers, such facilities may need to be closed for an extended period of time to investigate and remedy the contamination, which could delay clinical trials and adversely harm our business. Moreover, if the FDA determines that our CMOs are not in compliance with FDA laws and regulations, including those governing cGMP, the FDA may deny an NDA approval until the deficiencies are corrected or we replace the manufacturer in our NDA with a manufacturer that is in compliance.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 Furthermore, although we do not have day-to-day control </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over the operations of our CMOs, we are responsible for ensuring compliance with applicable laws and regulations, including cGMP.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If our manufacturers are unable to produce sufficient quantities for clinical trials or for commercialization, commercialization efforts would be impaired, which would have an adverse effect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we will rely upon on a limited number of manufacturers for our product candidates, which may include single-source suppliers for the various steps of manufacture. This reliance on a limited number of manufacturers and the complexity of drug manufacturing and the difficulty of scaling up a manufacturing process could cause the delay of clinical trials, regulatory submissions, required approvals or commercialization of our product candidates, cause us to incur higher costs and prevent us from commercializing our product candidates successfully. Furthermore, if our suppliers fail to deliver the required commercial quantities of materials on a timely basis and at commercially reasonable prices, and we are unable to secure one or more replacement suppliers capable of production in a timely manner at a substantially equivalent cost, our clinical trials may be delayed or we could lose potential revenue.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are unable to establish sales and marketing capabilities or enter into agreements with third parties to market and sell our product candidates, we may be unable to generate any revenues.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do not have an organization for the sales, marketing and distribution of TPST-1495, TPST-1120, TREX-1 and our other product candidates, and the cost of establishing and maintaining such an organization may exceed the cost-effectiveness of doing so. To market any products that may be approved, we must build our sales, marketing, managerial and other non-technical capabilities or make arrangements with third parties to perform these services. With respect to certain of our current programs as well as future programs, we may rely completely on an alliance partner for sales and marketing. In addition, although we intend to establish a sales organization if we are able to obtain approval to market any product candidates, we may enter into strategic alliances with third parties to develop and commercialize TPST-1495, TPST-1120 and other product candidates, including in markets outside of the United States or for other large markets that are beyond our resources. This will reduce the revenue generated from the sales of these products.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future strategic alliance partners may not dedicate sufficient resources to the commercialization of our product candidates or may otherwise fail in their commercialization due to factors beyond our control. If we are unable to establish effective alliances to enable the sale of our product candidates to healthcare professionals and in geographical regions, including the United States, that will not be covered by our marketing and sales force, or if our potential future strategic alliance partners do not successfully commercialize the product candidates, our ability to generate revenues from product sales will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unable to establish adequate sales, marketing and distribution capabilities, whether independently or with third parties, we may not be able to generate sufficient product revenue and may not become profitable. We will be competing with many companies that currently have extensive and well-funded marketing and sales operations. Without an internal team or the support of a third party to perform marketing and sales functions, we may be unable to compete successfully against these more established companies.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finding strategic collaborators for continuing development of certain of our future product candidates or successfully commercializing or competing in the market for certain indications.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decide to collaborate with non-profit organizations, universities and pharmaceutical and biotechnology companies for the development and potential commercialization of existing and new product candidates. 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technologies for similar indications that may be available to collaborate on and whether such a collaboration could be more attractive than the one for our product candidate. The terms of any additional collaborations or other arrangements that we may establish may not be favorable to us.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expense. If we elect to increase our expenditures to fund development or commercialization activities on our product candidates,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success of any potential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such collaboration arrangements.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FDA regulatory approval process is lengthy and time consuming, and we may experience significant delays in the clinical development and regulatory approval of 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Obtaining FDA approval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may approve our product candidates for a more limited indication or a narrower patient population than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experience delays in obtaining regulatory approvals, including but not limited 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obtaining regulatory authorization to begin a trial, if applicable;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redesigning our study protocols and needing to conduct additional studies as may be required by a regulator;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governmental or regulatory delays and changes in regulation or policy relating to the development and commercialization of our product candidate by the FDA or other comparable foreign regulatory authorities;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availability of financial resources to commence and complete the planned trials;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negotiating the terms of any collaboration agreements we may choose to initiate or conclude;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reaching agreement on acceptable terms with prospective CROs and clinical trial sites, the terms of which can be subject to extensive negotiation and may vary significantly among different CROs and trial sites;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of third-party contractors, such as CROs, or investigators to comply with regulatory requirements, including GCPs;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clinical sites deviating from trial protocol or dropping out of a trial;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delay or failure in obtaining the necessary approvals from regulators or institutional review boards ("IRBs"), in order to commence a clinical trial at a prospective trial site, or their suspension or termination of a clinical trial once commenced;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inability to recruit and enroll suitable patients to participate in a trial;</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having patients complete a trial, including having patients enrolled in clinical trials dropping out of the trial before the product candidate is manufactured and returned to the site, or return for post-treatment follow-up;</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difficulty in having patients complete a trial or return for post-treatment follow-up;</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clinical trial sites deviating from trial protocol or dropping out of a trial;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addressing any patient safety concerns that arise during the course of a trial;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inability to add new clinical trial sites;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varying interpretations of the data generated from our preclinical or clinical trials;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 and timing of establishing, expanding and scaling manufacturing capabilities;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inability to manufacture, or obtain from third parties, sufficient quantities of qualified materials under cGMP, for the completion in pre-clinical and clinical studies;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problems with biopharmaceutical product candidate storage, stability and distribution resulting in global supply chain disruptions;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cost of establishing sales, marketing and distribution capabilities for any product candidate for which we may receive regulatory approval in regions where we choose to commercialize our products on our own;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potential unforeseen business disruptions or market fluctuations that delay our product development or clinical trials and increase our costs or expenses, such as business or operational disruptions, delays, or system failures due to malware, unauthorized access, terrorism, war, natural disasters, strikes, geopolitical conflicts (such as Russia's recent incursion into Ukraine), restrictions on trade, import or export restrictions, or public health crises, such as the ongoing COVID-19 pandemic.</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could also encounter delays if physicians encounter unresolved ethical issues associated with enrolling patients in clinical trials of our product candidates in lieu of prescribing existing treatments that have established safety and efficacy profiles. Further, a clinical trial may be suspended or terminated by us, the IRBs for the institutions in which such trials are being conducted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safety issues or adverse side effects, failure to demonstrate a benefit from using a product candidate, changes in governmental regulations or administrative actions, lack of adequate funding to continue the clinical trial, or based on a recommendation by the Data Safety Monitoring Committee.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of the factors that cause, or lead to, a delay in the commencement or completion of clinical trials may ultimately lead to the denial of regulatory approval of 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seek Breakthrough Therapy designation or Fast Track designation by the FDA for one or more of our product candidates but may not receive such designation. Even if we secure such designation, it may not lead to a faster development or regulatory review or approval process and it does not increase the likelihood that our product candidates will receive marketing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Breakthrough Therapy or Fast Track designation for some of our product candidates. If a product candidate is intended for the treatment of a serious or life-threatening condition and clinical or preclinical data demonstrate the potential to address unmet medical needs for this condition, the product candidate may be eligible for Fast Track designation. The benefits of Fast Track designation include more frequent meetings with FDA to discuss the drug’s development plan and ensure collection of appropriate data needed to support drug approval, more frequent written communication from FDA about such things as the design of the proposed clinical trials and use of biomarkers, eligibility for Accelerated Approval and Priority Review, if relevant criteria are met, and rolling review, which means that a drug company can submit completed sections of our NDA for review by FDA, rather than waiting until every section of our NDA is completed before the entire application can be reviewed. NDA review usually does not begin until the entire application has been submitted to the FDA.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breakthrough therapy is defined as a drug that is intended, alone or in combination with one or more other drugs or biologics,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by the FDA may be eligible for all features of Fast Track designation, intensive guidance on an efficient drug development program, beginning as early as Phase 1, and organizational commitment involving senior managers at FDA.</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FDA has broad discretion whether or not to grant these designations, so even if we believe a particular product candidate is eligible, we cannot assure that the FDA would decide to grant the designation. Even if we obtain Fast Track designation and/or Breakthrough Therapy designation for one or more of our product candidates, it may not experience a faster development process, review or approval compared to non-expedited FDA review procedures. In addition, the FDA may withdraw Fast Track designation or Breakthrough Therapy designation if it believes that the designation is no longer supported. These designations do not guarantee qualification for the FDA’s priority review procedures or a faster review or approval process.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attempt to secure FDA approval of our product candidates through the accelerated approval pathway. If we are unable to obtain accelerated approval, we may be required to conduct additional preclinical studies or clinical trials beyond those that we currently contemplate, which could increase the expense of obtaining, and delay the receipt of, necessary marketing approvals.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developing certain product candidates for the treatment of serious conditions, and therefore may decide to seek approval of such product candidates under the FDA’s accelerated approval pathway. A product may be eligible for accelerated approval if it is designed to treat a serious or life-threatening disease or condition and provides a meaningful therapeutic benefit over existing treatments based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of or lack of alternative treatments. For the purposes of accelerated approval, a surrogate endpoint is a marker, such as a laboratory measurement, radiographic image, physical sign, or other measure that is thought to predict clinical benefit, but is not itself a measure of clinical benefit.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anticipated effect on irreversible morbidity or mortality or other clinical benefit. In some cases, the FDA may require that the trial be designed, initiated, and/or fully enrolled prior to approval. If the sponsor fails to conduct such studies in a timely manner, or if such post-approval studies fail to verify the drug’s predicted clinical benefit, or if other evidence demonstrates that our product candidate is not shown to be safe and effective under the conditions of use, the FDA may withdraw its approval of the drug on an expedited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decide to submit an NDA seeking accelerated approval or receives an expedited regulatory designation for any of our product candidates, there can be no assurance that such submission or application will be accepted or that any expedited development, review or approval will be granted on a timely basis, or at all.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Failure to obtain accelerated approval or any other form of expedited development, review or approval for our product candidates would result in a longer time period to commercialization of such product candidate, if any, and could increase the cost of development of such product candidate harm our competitive position in the marketplace.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unsuccessful in obtaining Orphan Drug Designation for our product candidates or transfer of designations obtained by others for future product candidates, and, even if we obtain such designation, we may be unable to maintain the benefits associated with Orphan Drug Designation, including the potential for market exclusivity.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may designate drugs intended to treat relatively small patient populations as orphan drugs. Under the Orphan Drug Act, the FDA may designate a drug as an orphan drug if it is intended to treat a rare disease or condition, which is defined as a patient population of fewer than 200,000 individuals in the United States, or a patient population greater than 200,000 in the United States when there is no reasonable expectation that the cost of developing and making available the drug in the United States will be recovered from sales in the United States for that drug. Orphan drug designation must be requested before submitting an NDA. In the United States, Orphan Drug Designation entitles a party to financial incentives such as opportunities for tax credits for qualified clinical research costs and exemption from prescription drug user fees. Generally, if a drug with an Orphan Drug Designation subsequently receives the first marketing approval for the indication for which it has such designation, the drug is entitled to a period of marketing exclusivity, which precludes FDA from approving another marketing application for the same drug and indication for that time period, except in limited circumstances. If a competitor is able to obtain orphan drug exclusivity prior to us for a product that constitutes the same active moiety and treats the same indications as our product candidates, we may not be able to obtain approval of our drug by the applicable regulatory </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authority for a significant period of time unless we are able to show that our drug is clinically superior to the approved drug. The applicable period is seven years in the United States.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seek Orphan Drug Designation for one or more of our product candidates in the United States as part of our    business strategy. However, Orphan Drug Designation does not guarantee future orphan drug marketing exclusivity. Even after an orphan drug is approved, the FDA can also subsequently approve a later application for the same drug for the same condition if the FDA concludes that the later drug is clinically superior in that it is shown to be safer in a substantial portion of the target populations, more effective or makes a major contribution to patient care. In addition, a designated orphan drug may not receive orphan drug exclusivity if it is approved for a use that is broader than the indication for which it received orphan designation.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orphan drug exclusive marketing rights in the United States may be lost if the FDA later determines that the request for designation was materially defective or if we are unable to manufacture sufficient quantities of the product to meet the needs of patients with the rare disease or condition. Orphan Drug Designation neither shortens the development time or regulatory review time of a drug nor gives the drug any advantage in the regulatory review or approval process.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Enacted and future legislation may increase the difficulty and cost for us to commercialize and obtain marketing approval of our product candidates and may affect the prices we may set.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2010, the Patient Protection and Affordable Care Act, as amended by the Health Care and Education Reconciliation Act of 2010, or collectively the Affordable Care Act (“ACA”), was enacted to broaden access to health insurance, reduce or constrain the growth of healthcare spending, enhance remedies against fraud and abuse, add new transparency requirements for health care and health insurance industries, impose new taxes and fees on the health industry and impose additional health policy reforms. The ACA contains provisions that may potentially affect the profitability of our product candidates, if approved,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and expansion of the entities eligible for discounts under the 340B Drug Pricing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Congress has not passed legislation to comprehensively repeal the ACA, legislation affecting the ACA has been signed into law, including the Tax Cuts and Jobs Act of 2017, which eliminated, effective January 1, 2019, the tax-based shared responsibility payment imposed by the ACA on certain individuals who fail to maintain qualifying health coverage for all or part of a year, which is commonly referred to as the “individual mandate.” On June 17, 2021, the U.S. Supreme Court dismissed the most recent judicial challenge to the ACA brought by several states without specifically ruling on the constitutionality of the law. While Congress continues to amend the ACA, the law appears likely to continue the downward pressure on pharmaceutical pricing, and may also increase our regulatory burdens and operating costs. In the future, there may be other efforts to challenge, repeal or replace the ACA. We are continuing to monitor any changes to the ACA that, in turn, may potentially impact our business in the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on May 30, 2018, the Trickett Wendler, Frank Mongiello, Jordan McLinn and Matthew Bellina Right to Try Act of 2017 was signed into law. The law, among other things, provides a federal framework for certain patients who have been diagnosed with life-threatening diseases or conditions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authorization under an FDA expanded access program; however, manufacturers are not obligated to provide investigational new drug products under the current federal right to try law. We may choose to seek an expanded access program for our product candidates, or to utilize comparable rules in other countries that allow the use of a drug, on a named patient basis or under a compassionate use program.</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the cost of prescription pharmaceuticals has been the subject of considerable discussion in the United States at both the federal and state levels. While several proposed reform measures will require Congress to pass legislation to become effective, Congress and the new Biden administration have each indicated that it will seek new legislative and/or administrative measures to address prescription drug costs. Since the Presidential inauguration, the Biden administration has taken several executive actions that signal changes in policy from the prior administration. For example, on July 9, 2021, </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President Biden signed an executive order to promote competition in the U.S. economy that included several initiatives aimed prescription drugs. Among other provisions, the executive order directed the Secretary of the U.S. Department of Health and Human Services to issue a report to the White House within 45 days that includes a plan to, among other things, reduce prices for prescription drugs, including prices paid by the federal government for such drugs. At the state level, legislatures and agencies are increasingly passing legislation and implementing regulations designed to control spending on and patient out-of-pocket costs for drug products. These measures include constraints on pricing, discounting and reimbursement; restrictions on certain product access and marketing; cost disclosure and transparency measures that require detailed reporting of drug pricing and marketing information both at product launch and in the event of a price increase; and, in some cases, measures designed to encourage importation from other countries and bulk purchasing.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Legislative and regulatory proposals have also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Separately, in response to the COVID-19 pandemic, on March 10, 2020, the FDA announced its intention to postpone most foreign inspections of manufacturing facilities and, subsequently, on March 18, 2020, the FDA temporarily postponed routine surveillance inspections of domestic manufacturing facilities. Regulatory authorities outside the United States may adopt similar restrictions or other policy measures in response to the COVID-19 pandemic.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internal computer and information systems, or those used by our CROs, CMOs or other contractors or consultants, may fail or suffer security breaches, which could result in a material disruption of our development programs.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Despite the implementation of appropriate security measures, our internal computer and information systems and those of our current and any future CROs, CMOs and other contractors or consultants may become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and our business operations, whether due to a loss of our trade secrets or other proprietary information or other similar disruptions. For example, the loss of data from completed or future preclinical studies or clinical trials could result in significant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significantly delayed.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our day-to-day operations, which could harm our ability to conduct business or delay our financial reporting. Such failures could materially adversely affect our operating results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subject to a variety of privacy and data security laws, and our failure to comply with them could harm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large quantity of sensitive information, including confidential business and patient health information in connection with our preclinical and clinical studies, and is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health information privacy laws, security breach notification laws, and consumer protection laws. Each of these laws is subject to varying interpretations and constantly evolving. In addition, we may obtain health information from third parties (including research institutions from which it obtains clinical trial data) that are subject to privacy and security requirements under the Health Insurance Portability and Accountability Act of 1996 (“HIPAA”). Depending on the facts and circumstances, we could be subject to criminal penalties if it knowingly obtains, uses or discloses individually identifiable health information maintained by a HIPAA covered entity in a manner that is not authorized or permitted by HIPAA.</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states have also adopted comparable privacy and security laws and regulations, some of which may be more stringent than HIPAA. For example, California enacted the California Consumer Privacy Act (the “CCPA”), which took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Canada, the Personal Information Protection and Electronic Documents Act (“PIPEDA”) and similar provincial laws may impose obligations with respect to processing personal information, including health-related information. PIPEDA requires companies to obtain an individual’s consent when collecting, using or disclosing that individual’s personal information. Individuals have the right to access and challenge the accuracy of their personal information held by an organization, and personal information may only be used for the purposes for which it was collected. If an organization intends to use personal information for another purpose, it must again obtain that individual’s consent. Failure to comply with PIPEDA could result in significant fines and penalties.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the General Data Protection Regulation (the “GDPR”), took effect in the European Economic Area (the “EEA”). The GDPR governs the collection, use, disclosure, transfer or other processing of personal data of natural persons. Among other things, the GDPR imposes strict obligations on the ability to process health-related and other personal data of data subjects in the EEA, including in relation to use, collection, analysis and transfer (including cross-border transfer) of such personal data. The GDPR includes requirements relating to the consent of the individuals to whom the personal data relates, including detailed notices for clinical trial subjects and investigators. The GDPR also includes certain requirements regarding the security of personal data and notification of data processing obligations or security incidents to appropriate data protection authorities or data subjects as well as requirements for establishing a lawful basis on which personal data can be processed. In addition, the GDPR increases the scrutiny of transfers of personal data from clinical trial sites located in the EEA to the United States and other jurisdictions that the European Commission does not recognize as having “adequate” data protection laws, and imposes substantial fines for breaches and violations (up to the greater of €20 million or 4% of our annual worldwide gross revenue). Further, recent legal developments in Europe have created complexity and compliance uncertainty regarding certain transfers of information from the EEA to the United States. For example, on June 16, 2020, the Court of Justice of the European Union (the “CJEU”), declared the EU-U.S. Privacy Shield framework (the “Privacy Shield”), to be invalid. As a result, the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w:t>
      </w: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practice on government surveillance. The GDPR also confers a private right of action on data subjects and consumer associations to lodge complaints with supervisory authorities, seek judicial remedies and obtain compensation for damages resulting from violations of the GDPR.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unable to adequately protect our information systems from cyberattacks, which could result in the disclosure of confidential information, damage our reputation, and subject us to significant financial and legal exposure.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The COVID-19 pandemic is generally increasing the attack surface available to criminals,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recent COVID-19 pandemic to their advantage.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computer systems of various third parties on which we rely, including our CROs, CMOs and other contractors, consultants and law and accounting firms, may sustain damage from computer viruses, unauthorized access, data breaches, phishing attacks, cybercriminals, natural disasters (including hurricanes and earthquakes), terrorism, war and telecommunication and electrical failures. We rely on our third-party providers to implement effective security measures and identify and correct for any such failures, deficiencies or breaches.</w:t>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employees, principal investigators, CROs, CMOs and consultants may engage in misconduct or other improper activities, including non-compliance with regulatory standards and requirements and insider trading.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misconduct by our employees, principal investigators, consultants and commercial partners. Misconduct by these parties could include intentional failures to comply with the regulations of FDA and non-U.S. regulators, to provide accurate information to the FDA and non-U.S. regulators, to comply with healthcare fraud and abuse laws and regulations in the United States and abroad,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could cause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or asserting our rights, those actions could have a significant impact on our business, including the imposition of significant fines or other sanctions.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operations and relationships with future customers, providers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Healthcare providers and third-party payors will play a primary role in the recommendation and prescription of any product candidates for which we obtain marketing approval. Our future arrangements with providers, third-party payors and customers will subject us to broadly applicable fraud and abuse and other healthcare laws and regulations that may constrain the business or financial arrangements and relationships through which we market, sell and distribute any product candidates for which we obtain marketing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Restrictions under applicable U.S. federal and state healthcare laws and regulations include the following: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Anti-Kickback Statute, a criminal law that prohibits, among other things, persons and entities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healthcare programs such as Medicare and Medicaid. A person or entity does not need to have actual knowledge of the federal Anti-Kickback Statute or specific intent to violate it in order to have committed a violation. Violations of the federal Anti-Kickback Statute can result in significant civil monetary penalties and criminal fines, as well as imprisonment and exclusion from participation in federal health care programs;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civil False Claims Act, imposes significant civil penalties and treble damages,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U.S. federal Anti-Kickback Statute constitutes a false or fraudulent claim for purposes of the civil False Claims Act;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Criminal Statute on False Statements Relating to Health Care Matters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Civil Monetary Penalties Law authorizes the imposition of substantial civil monetary penalties against an entity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 health care programs to provide items or services reimbursable by a federal health care program; (3) violations of the federal Anti-Kickback Statute; or (4) failing to report and return a known overpayment;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HIPAA imposes criminal and civil liability for, among other things, knowingly and willfully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federal Physician Payment Sunshine Act requires applicable manufacturers of covered drugs, devices, biologics, and medical supplies for which payment is available under Medicare, Medicaid, or the Children’s Health Insurance Program, among others, to track and report payments and other transfers of value provided during the previous year to U.S. licensed physicians, teaching hospitals, and for reports submitted on or after January 1, 2022, physician assistants, nurse practitioners, clinical nurse specialists, certified nurse anesthetists, and certified nurse midwives, as well as certain ownership and investment interests held by physicians and their immediate family;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analogous state and foreign laws and regulations, such as state anti-kickback and false claims laws, may apply to sales or marketing arrangements and claims involving healthcare items or services reimbursed by non-governmental third-party payors, including private insurers; and</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w:t>
      </w:r>
    </w:p>
    <w:p>
      <w:pPr>
        <w:pStyle w:val="TextBody"/>
        <w:spacing w:lineRule="auto" w:line="288" w:before="0" w:after="0"/>
        <w:ind w:left="0" w:right="0" w:hanging="360"/>
        <w:jc w:val="both"/>
        <w:rPr>
          <w:color w:val="000000"/>
        </w:rPr>
      </w:pPr>
      <w:r>
        <w:rPr>
          <w:color w:val="000000"/>
        </w:rPr>
        <w:t>•</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from government-funded healthcare programs, such as Medicare and Medicaid, disgorgement, contractual damages, reputational harm, diminished profits and future earnings, and the curtailment or restructuring of our operations. If any of the physicians or other healthcare providers or entities with whom we expect to do business is found to be not in compliance with applicable laws, it may be costly to us in terms of money, time and resources, and we may be subject to criminal, civil or administrative sanctions, including exclusion from government-funded healthcare programs.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harm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may produce hazardous waste products. We generally contract with third parties for the disposal of these materials and wastes. We will not be able to eliminate the risk of contamination or injury from these materials. In the event of contamination or injury resulting from any use by us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for costs and expenses, we may incur due to injuries to our employees resulting from the use of hazardous materials, this insurance may not provide adequate coverage against potential liabilities.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tax laws or regulations could materially adversely affect us.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tax laws or regulations could be enacted at any time, and existing tax laws or regulations could be interpreted, modified or applied in a manner that is adverse to us, which could adversely affect our business and financial condition. For example, legislation enacted in 2017, informally titled the Tax Act, enacted many significant changes to the U.S. tax laws, including changes in corporate tax rates, the utilization of NOLs and other deferred tax assets, the deductibility of expenses, and the taxation of foreign earnings. Future guidance from the Internal Revenue Service and other tax authorities with respect to the Tax Act may affect us, and certain aspects of the Tax Act could be repealed or modified in future legislation. For example, the Coronavirus Aid, Relief, and Economic Security Act (the “CARES Act”), modified certain provisions of the Tax Act. In addition, it is uncertain if and to what extent various states will conform to the Tax Act, the CARES Act, or any newly enacted federal tax legislation. The impact of changes under the Tax Act, the CARES Act, or future reform legislation could increase our future U.S. tax expense and could have a material adverse impact on our business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obtain, maintain and protect our intellectual property. It is difficult and costly to protect our proprietary rights and technology, and we may not be able to ensure their protection.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will depend in large part on obtaining and maintaining patent, trademark, trade secret and other intellectual property protection of our proprietary technologies and product candidates, which include TPST-1495, TPST-1120 and the other product candidates we have in development, their respective components, formulations, combination therapies, methods used to manufacture them and methods of treatment, as well as successfully defending our patents and other intellectual property rights against third-party challenges. Our ability to stop unauthorized third parties from making, using, selling, offering to sell, importing or otherwise commercializing our product candidates is dependent upon the </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extent to which we have rights under valid and enforceable patents or trade secrets that cover these activities. If we are unable to secure and maintain patent protection for any product or technology we develop, or if the scope of the patent protection secured is not sufficiently broad, our competitors could develop and commercialize products and technology similar or identical to our, and our ability to commercialize any product candidates we may develop may be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activities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may be reliant on our licensors or licensees to do so. Our pending and future patent applications may not result in issued patents.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that we hold or in-licenses may be challenged, narrowed, circumvented or invalidated by third parties. Consequently, we do not know whether any of our platform advances and product candidates will be protectable or remain protected by valid and enforceable patents. In addition, our existing patents and any future patents we obtain may not be sufficiently broad to prevent others from using our technology or from developing competing products and technologies.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In the future, we may depend on intellectual property licensed from third parties, and our licensors may not always act in our best interest. If we fail to comply with our obligations under our intellectual property licenses, if the licenses are terminated, or if disputes regarding these licenses arise, we could lose significant rights that may be important to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in the future depend on patents, know-how and proprietary technology licensed from third parties. Our licenses to such patents, know-how and proprietary technology may not provide exclusive rights in all relevant fields of use and in all territories in which we may wish to develop or commercialize our products in the future. The agreements under which we license patents, know-how and proprietary technology from others may be complex, and certain provisions in such agreements may be susceptible to multiple interpretations.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need to obtain licenses from third parties to advance our research or allow commercialization of product candidates Tempest may develop. It is possible that we may be unable to obtain any licenses at a reasonable cost or on reasonable terms, if at all. In either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or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our future licensors fail to adequately protect our licensed intellectual property, our ability to commercialize product candidates could suffer. We may not have complete control over the maintenance, prosecution and litigation of our future in-licensed patents and patent applications. For example, we cannot be certain that activities such as the maintenance and prosecution by our future licensors have been or will be conducted in compliance with applicable laws and regulations or will result in valid and enforceable patents and other intellectual property rights. It is possible that our future licensors’ infringement proceedings or defense activities may be less vigorous than had we conducted them ourselves or may not be conducted in accordance with our best interests.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resolution of any contract interpretation disagreement that may arise could narrow what we might believe to be the scope of our rights to the relevant patents, know-how and proprietary technology, or increase what we believe to be our financial or other obligations under the relevant agreement. Disputes that may arise between us and our future licensors regarding intellectual property subject to a license agreement could include disputes regarding:</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whether and the extent to which our technology and processes infringe on intellectual property of the licensor that is not subject to the licensing agreement;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right to sublicense patent and other rights to third parties under collaborative development relationships;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diligence obligations with respect to the use of the licensed technology in relation to our development and commercialization of our product candidates and what activities satisfy those diligence obligations;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royalty, milestone or other payment obligations that may result from the advancement or commercial sale of any of our product candidates;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ownership of inventions and know-how resulting from the joint creation or use of intellectual property by our licensors and us.</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disputes over intellectual property that we license in the future prevent or impair our ability to maintain our licensing arrangements on acceptable terms, we may be unable to successfully develop and commercialize the affected technology or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owned and in-licensed patents and patent applications may not provide sufficient protection of our product candidates or result in any competitive advantage.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pharmaceutical field involves complex legal and scientific questions and can be uncertain. The patent applications that we own or, in the future, in-license may fail to result in issued patents with claims that cover our product candidates or uses thereof in the United States or in other foreign countries. For example, while our patent applications are pending, we may be subject to a third-party preissuance submission of prior art to the United States Patent and Trademark Office (the “USPTO”), or become involved in interference or derivation proceedings, or equivalent proceedings in foreign jurisdictions. Even if patents do successfully issue, third parties may challenge their inventorship, validity, enforceability or scope, including through opposition, revocation, reexamination, post-grant and inter partes review proceedings. An adverse determination in any such submission, proceeding or litigation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Furthermore, even if they are unchallenged, our patents and patent applications may not adequately protect our intellectual property or prevent others from designing around our claims. Moreover, some of our owned and in-licensed patents and patent applications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development, testing, and regulatory review of new product candidates, the period of time during which we could market our product candidates under patent protection would be reduced or eliminated.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patent applications in the United States and other countries are confidential for a period of time after filing or until issuance, at any moment in time, we cannot be certain that it was in the past or will be in the future the first to file any patent application related to our product candidates. In addition, some patent applications in the United States may be maintained in secrecy until the patents are issued. As a result, there may be prior art of which we are not aware that may affect the validity or enforceability of a patent claim, and we may be subject to priority disputes. We may be required to disclaim part or all of the term of certain patents or all of the term of certain patent applications.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patent office or other governmental authority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that block our efforts or potentially result in our product candidates or our activities infringing such claims. It is possible that our competitors may have filed, and may in the future file, patent applications covering our products or technology similar to our products and technology. Those patent applications may have priority over our owned and in-licensed patent applications or patents, which could require us to obtain rights to issued patents covering such technologies. The possibility also exists that others will develop products that have the same effect as our product candidates on an independent basis that do not infringe our patents or other intellectual property rights, or will design around the claims of patents that we have had issued that cover our product candidates or their use. Likewise, our currently owned patents and patent applications, if issued as patents, directed to our proprietary technologies and our product candidates are expected to expire from 2033 through 2041, without taking into account any possible patent term adjustments or extensions. Our earliest patents may expire before, or soon after, our first product achieves marketing approval in the United States or foreign jurisdictions. Additionally, we cannot be assured that the USPTO or relevant foreign patent offices will grant any of the pending patent applications we own or in-licenses currently or in the future. Upon the expiration of our current patents, we </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may lose the right to exclude others from practicing these inventions. The expiration of these patents could also have a similar material adverse effect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others may be able to make or use compounds that are similar to the active compositions of our product candidates but that are not covered by the claims of our patents; </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APIs in our current product candidates will eventually become commercially available in generic drug products, and no patent protection may be available with regard to formulation or method of use;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or our future licensors, as the case may be, may fail to meet our or our obligations to the U.S. government regarding any patents and patent applications funded by U.S. government grants, leading to the loss or unenforceability of patent rights;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or our future licensors, as the case may be, might not have been the first to file patent applications for certain inventions;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it is possible that there are prior public disclosures that could invalidate our owned or in-licensed patents, as the case may be, or parts of our owned or in-licensed patents;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it is possible that others may circumvent our owned or in-licensed patents;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 candidates or technology similar to ours;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laws of foreign countries may not protect our or our future licensors’, as the case may be, proprietary rights to the same extent as the laws of the United States;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adequately cover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that design around our patents, or become hostile to us or the patents or patent applications on which they are named as inventors;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it is possible that our owned or in-licensed patents or patent applications may omit individual(s) that should be listed as inventor(s) or include individual(s) that should not be listed as inventor(s), which may cause these patents or patents issuing from these patent applications to be held invalid or unenforceable or such omitted individuals may grant licenses to third parties;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have engaged in scientific collaborations in the past and will continue to do so in the future and our collaborators may develop adjacent or competing products that are outside the scope of our patents;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have a material adverse effect on our business, financial conditions,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strategy of obtaining rights to key technologies through in-licenses may not be successful.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growth of our business may depend in part on our ability to in-license or otherwise acquire the rights to additional product candidates and technologies. We cannot assure you that we will be able to in-license or acquire the rights to any product candidates or technologies from third parties on acceptable terms or at all.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our agreements with certain of our third-party research partners provide that improvements developed in the course of our relationship may be owned solely by either we or our third-party research partner, or jointly between us and the third party. If we determine that exclusive rights to such improvements owned solely by a research partner or other third party with whom we collaborate are necessary to commercialize our drug candidates or maintain our competitive advantage, we may need to obtain an exclusive license from such third party in order to use the improvements and continue developing, manufacturing or marketing our drug candidates. We may not be able to obtain such a license on an exclusive basis, on commercially reasonable terms, or at all, which could prevent us from commercializing our drug candidates or allow our competitors or others the opportunity to access technology that is important to our business. We also may need the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cooperation of any co-owners of our intellectual property in order to enforce such intellectual property against third parties, and such cooperation may not be provided to us.</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in-licensing and acquisition of these technologies is a highly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and prospects could be materially and adversely affected.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protect the confidentiality of our trade secrets, our business and competitive position would be harmed.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patent protection, we rely upon know-how and trade secret protection, as well as non-disclosure agreements and invention assignment agreements with our employees, consultants and third-parties, to protect our confidential and proprietary information, especially where we do not believe patent protection is appropriate or obtainable.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are to be kept confidential and not disclosed to third parties, except in certain specified circumstances. In the case of employees, the agreements provide that all inventions conceived by the individual, and that are related to our current or planned business or research and development or made during normal working hours, on our premises or using our equipment or proprietary information (or as otherwise permitted by applicable law), are our exclusive property. In the case of consultants and other third parties, the agreements provide that all inventions conceived in connection with the services provided are our exclusive property. However, we cannot guarantee that we have entered into such agreements with each party that may have or have had access to our trade secrets or proprietary technology and processes. We have also adopted policies and conducts training that provides guidance on our expectations, and our advice for best practices, in protecting our trade secrets. Despite these efforts, any of these parties may breach the agreements and disclose our proprietary information, including our trade secrets, and we may not be able to obtain adequate remedies for such breaches.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contractual measures, we try to protect the confidential nature of our proprietary information through other appropriate precautions, such as physical and technological security measures. However, trade secrets and know-how can be difficult to protect. These measures may not, for example, in the case of misappropriation of a trade secret by an employee or third party with authorized access, provide adequate protection for our proprietary information. Our security measures may not prevent an employee or consultant from misappropriating our trade secrets and providing them to a competitor, and any recourse we might take against this type of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us from receiving legal recourse. If any of our confidential or proprietary information, such as our trade secrets, were to be disclosed or misappropriated, such as through a data breach, or if any of that information was independently developed by a competitor, our competitive position could be harmed. Additionally, certain trade secret and proprietary information may be required to be disclosed in submissions to regulatory authorities. If such authorities do not maintain the confidential basis of such information or disclose it as part of the basis of regulatory approval, our competitive position could be adversely affected.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courts outside the United States are sometimes less willing to protect trade secrets. If we choose to go to court to stop a third party from using any of our trade secrets, we may incur substantial costs. Even if we are successful, these types of lawsuits may result in substantial cost and require significant time from our scientists and management. Although we take steps to protect our proprietary information and trade secrets, third parties may independently develop substantially equivalent proprietary information and techniques or otherwise gain access to our trade secrets or disclose our technology, through legal or illegal means. As a result, we may not be able to meaningfully protect our trade secrets. Any of the foregoing could have a material adverse effect on our business, financial condition, results of operations and prospects.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Third-party claims of intellectual property infringement may prevent, delay or otherwise interfere with our product discovery and development efforts.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commercial success depends in part on our ability to develop, manufacture, market and sell our product candidates and use our proprietary technologies without infringing, misappropriating or otherwise violating the intellectual property or other </w:t>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pPr>
      <w:r>
        <w:rPr>
          <w:rFonts w:ascii="Times New Roman;sans-serif" w:hAnsi="Times New Roman;sans-serif"/>
          <w:b w:val="false"/>
          <w:color w:val="000000"/>
          <w:sz w:val="20"/>
        </w:rPr>
        <w:t xml:space="preserve">proprietary rights of third parties. There is a substantial amount of litigation involving patents and other intellectual property rights in the biotechnology and pharmaceutical industries, as well as administrative proceedings for challenging patents, including interference, derivation,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misappropriate or otherwise violate their intellectual property rights. Numerous U.S. and foreign issued patents and pending patent applications that are owned by third parties exist in the fields in which we are developing our product candidates. As the biotechnology and 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 third parties may allege they have patent rights encompassing our product candidates, technologies or methods.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misappropriate or otherwise violate their intellectual property rights, we may face a number of issues, including, but not limited to:</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infringement and other intellectual property claims that, regardless of merit, may be expensive and time-consuming to litigate and may divert our management’s attention from our core business;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plus the patent owner’s attorneys’ fees;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third-party licenses our product rights or proprietary technology to us, which it is not required to do, on commercially reasonable terms or at all;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requirement that we redesign our product candidates or processes so they do not infringe, which may not be possible or may require substantial monetary expenditures and time;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assert that we are employing their proprietary technology without authorization, including by enforcing our patents against us by filing a patent infringement lawsuit against us. In this regard, patents issued in the United States by law enjoy a presumption of validity that can be rebutted only with evidence that is “clear and convincing,” a heightened standard of proof.</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may be third-party patents of which we are currently unaware of with claims to materials, formulations, methods of manufacture or methods for treatment related to the use or manufacture of our product candidates. Because patent applications can take many years to issue, there may be currently pending patent applications that may later result in issued patents that our product candidates may infringe. In addition, third parties may obtain patents in the future and claim that use of our technologies infringe upon these patents.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third-party patents were held by a court of competent jurisdiction to cover the manufacturing process of our product candidates, or materials used in or formed during the manufacturing process, or any final product itself, the holders of those patents may be able to block our ability to commercialize our product candidate unless we obtain a license under the applicable patents, or until those patents were to expire or those patents are finally determined to be invalid or unenforceable. Similarly, if any third-party patent were held by a court of competent jurisdiction to cover aspects of our formulations, processes for manufacture or methods of use, including combination therapy or patient selection methods, the holders of that patent may be able to block our ability to develop and commercialize the product candidate unless we obtain a license or until such patent expires or is finally determined to be invalid or unenforceable. In either case, a license may not be available on commercially reasonable terms, or at all, particularly if such patent is owned or controlled by one of our primary competitors. If we are unable to obtain a necessary license to a third-party patent on commercially reasonable terms, or at all, our ability to commercialize our product candidates may be impaired or delayed, which could significantly harm our business. Even if we obtain a license, it may be non-exclusive, thereby giving our competitors access to the same technologies licensed to us. In </w:t>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 if the breadth or strength of protection provided by our patents and patent applications is threatened, it could dissuade companies from collaborating with us to license, develop or commercialize current or future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time and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license of this nature would be available at all or whether it would be available on commercially reasonable terms. Furthermore, even in the absence of litigation, we may need to obtain licenses from third parties to advance our research or allow commercialization of our product candidates and we may fail to obtain any of these licenses at a reasonable cost or on reasonable terms, if at all.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that event, we would be unable to further develop and commercialize our product candidates, which could significantly harm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 and could result in a finding that such patents are unenforceable or invalid.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our patents or the patents of our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patent litigation in the United States, defendant counterclaims alleging invalidity and/or unenforceability are commonplace, and there are numerous grounds upon which a third party can assert invalidity or unenforceability of a patent.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These types of mechanisms include re-examination, post-grant review, inter partes review, interference proceedings, derivation proceedings, and equivalent proceedings in foreign jurisdictions (e.g., opposition proceedings). These types of proceedings could result in revocation or amendment to our patents such that they no longer cover our product candidates. The outcome for any particular patent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Defense of these types of claims, regardless of their merit, would involve substantial litigation expense and would be a substantial diversion of employee resources from our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Conversely, we may choose to challenge the patentability of claims in a third party’s U.S. patent by requesting that the USPTO review the patent claims in re-examination, post-grant review, inter partes review, interference proceedings, derivation proceedings, and equivalent proceedings in foreign jurisdictions (e.g., opposition proceedings), or we may choose to challenge a third party’s patent in patent opposition proceedings in the Canadian Intellectual Property Office (“CIPO”), the European Patent Office (“EPO”), or another foreign patent office. Even if successful, the costs of these opposition proceedings could be substantial, and may consume our time or other resources. If we fail to obtain a favorable result at the USPTO, CIPO, EPO or other patent office then we may be exposed to litigation by a third party alleging that the patent may be infringed by our product candidates or proprietary technologies.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that perception could have a substantial adverse effect on the price of our common stock. Any of the foregoing could have a material adverse effect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For example, patents covering methods-of-use are not available in certain foreign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do not have or have not obtained patent protection to develop their own products and, further, may export otherwise infringing products to territories where we have patent protection but where enforcement is not as strong as that in the United States. These products may compete with our product candidates in jurisdictions where we do not have any issued patents and our patent claims or other intellectual property rights may not be effective or sufficient to prevent them from competing.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management’s efforts and attention from other aspects of our business. Proceedings to enforce our patent rights in foreign jurisdictions could result in substantial costs and divert management’s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pharmaceutical industries, we employ individuals who were previously employed at universities or other biopharmaceutical or pharmaceutical companies, including our competitors or potential competitors. Although we try to ensure that our employees and consultants do not use the proprietary information or know-how of others in their work for us, we may be subject to claims that our employees, consultants or independent contractors have inadvertently or otherwise used or disclosed intellectual property, including trade secrets or other proprietary information, of a former employer or other third parties. We may then have to pursue litigation to defend against these claims. If we fail in defending any claims of this nature, in addition to paying monetary damages, we may lose valuable intellectual property rights or personnel.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and we may not have sufficient financial or other resources to adequately conduct this type of litigation or proceedings. For example, some of our competitors may be able to sustain the costs of this type of litigation or proceedings more effectively than us can because of their substantially greater financial resources. In any case, uncertainties resulting from the initiation and continuation of intellectual property litigation or other intellectual property related proceedings could adversely affect our ability to compete in the marketplace.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on any issued patent are due to be paid to the USPTO and foreign patent agencies in several stages over the lifetime of the patent. The USPTO and various foreign patent agencies also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laws and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formal documents. Were a noncompliance event to occur, our competitors might be able to enter the market, which would have a material adverse effect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Changes in patent law in the United States and in non-U.S. jurisdictions could diminish the value of patents in general, thereby impairing our ability to protect our product candidates.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Past or future patent reform legislation could increase the uncertainties and costs surrounding the prosecution of our patent applications and the enforcement or defense of our issued patents. For example, in March 2013, under the Leahy-Smith America Invents Act (“America Invents Act”), the United States moved from a “first to invent” to a “first-to-file” patent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continue to evolve as the USPTO continues to promulgate new regulations and procedures in connection with the America Invents Act. In addition, the courts have yet to address many of these provisions and the applicability of the act and new regulations on the specific patents discussed in this filing have not been determined and would need to be reviewed. Moreover, the America Invents Act and our implementation could increase the uncertainties and costs surrounding the prosecution of our patent applications and the enforcement or defense of our issued patents.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recent U.S. Supreme Court rulings have narrowed the scope of patent protection available in certain circumstances and weakened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or license in the future. For example, in the case, Assoc. for Molecular Pathology v. Myriad Genetics, Inc., the U.S. Supreme Court held that certain claims to DNA molecules are not patent-eligible.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Similarly, other cases by the U.S. Supreme Court have held that certain methods of treatment or diagnosis are not patent-eligible. U.S. law regarding patent-eligibility continues to evolve. While we do not believe that any of our patents will be found invalid based on these changes to U.S. patent law, we cannot predict how future decisions by the courts, the U.S. Congress or the USPTO may impact the value of our patents and patent applications. Any similar adverse changes in the patent laws of other jurisdictions could also have a material adverse effect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Given the amount of time required for the development, testing and regulatory review of new product candidates, patents protecting our product candidates might expire before or shortly after we or our partners commercialize those candidates. As a result, our owned and licensed patent portfolio may not provide us with sufficient rights to exclude others from commercializing products similar or identical to ours.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for any product candidates it may develop, our business may be materially harmed.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specifics of any FDA marketing approval of any product candidates we may develop, one or more of our U.S. patents may be eligible for limited patent term extension under the Drug Price Competition and Patent Term Restoration Act of 1984 (the “Hatch-Waxman Amendments”). The Hatch-Waxman Amendments permit a patent extension term of up to five years as compensation for patent term lost during clinical trials and the FDA regulatory review process. A patent term extension cannot extend the remaining term of a patent beyond a total of 14 years from the date of product approval, only one patent per product may be extended and only those claims covering the approved drug, a method for using it, or a method for manufacturing it may be extended. U.S. and ex-U.S. law concerning patent term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extensions and foreign equivalents continue to evolve. Even if we were to seek a patent term extension, it may not be granted because of, for example, the failure to exercise due diligence during the testing phase or regulatory review process, the failure to apply within applicable deadlines, the failure to apply prior to expiration of relevant patents, or any other failure to satisfy applicable requirements. Moreover, the applicable time period of extension or the scope of patent protection afforded could be less than we request. If we are unable to obtain patent term extension or term of any such extension is less than it requests, our competitors may obtain approval of competing products following our patent expiration sooner than expected, and our business, financial condition, results of operations and prospects could be materially harmed.</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i/>
          <w:color w:val="000000"/>
          <w:sz w:val="20"/>
        </w:rPr>
        <w:t xml:space="preserve">Intellectual property discovered through government funded programs may be subject to federal regulations such as </w:t>
      </w:r>
      <w:r>
        <w:rPr>
          <w:color w:val="000000"/>
        </w:rPr>
        <w:t>“</w:t>
      </w:r>
      <w:r>
        <w:rPr>
          <w:rFonts w:ascii="Times New Roman;sans-serif" w:hAnsi="Times New Roman;sans-serif"/>
          <w:b/>
          <w:i/>
          <w:color w:val="000000"/>
          <w:sz w:val="20"/>
        </w:rPr>
        <w:t>march-in</w:t>
      </w:r>
      <w:r>
        <w:rPr>
          <w:color w:val="000000"/>
        </w:rPr>
        <w:t xml:space="preserve">” </w:t>
      </w:r>
      <w:r>
        <w:rPr>
          <w:rFonts w:ascii="Times New Roman;sans-serif" w:hAnsi="Times New Roman;sans-serif"/>
          <w:b/>
          <w:i/>
          <w:color w:val="000000"/>
          <w:sz w:val="20"/>
        </w:rPr>
        <w:t>rights, certain reporting requirements and a preference for U.S.-based companies. Compliance with such regulations may limit our exclusive rights and limit our ability to contract with non-U.S. manufacturers.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do not currently own issued patents or pending patent applications that have been generated through the use of U.S. government funding,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Ownership of Our Common Stock</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The trading price of the shares of our common stock has been and is likely to continue to be volatile, and purchasers of our common stock could incur substantial losses.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has been and is likely to continue to be volatile. Some of the factors that may cause the market price of our common stock to fluctuate include:</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results of clinical trials and preclinical studies of our product candidates, or those of our competitors or our existing or future collaborators;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meet or exceed financial and development projections we may provide to the public;</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failure to meet or exceed the financial and development projections of the investment community;</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we do not achieve the perceived benefits of the merger with Millendo as rapidly or to the extent anticipated by financial or industry analysts;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of significant acquisitions, strategic collaborations, joint ventures or capital commitments by us or our competitors;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actions taken by regulatory agencies with respect to our product candidates, clinical studies, manufacturing process or sales and marketing terms;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additions or departures of key personnel;</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lawsuits, including patent or stockholder litigation;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securities or industry analysts do not publish research or reports about our business, or if they issue adverse or misleading opinions regarding our business and stock;</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changes in the market valuations of similar companies;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general market or macroeconomic conditions or market conditions in the pharmaceutical and biotechnology sectors;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sales of securities by us or our securityholders in the future;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if we fail to raise an adequate amount of capital to fund our operations and continued development of our product candidates;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trading volume of our common stock;</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announcements by competitors of new commercial products, clinical progress or lack thereof, significant contracts, commercial relationships or capital commitments;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adverse publicity relating to precision medicine product candidates, including with respect to other products in such markets;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introduction of technological innovations or new therapies that compete with our products and services;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period-to-period fluctuations in our financial results.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COVID-19 pandemic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Future sales of shares by existing stockholders could cause our stock price to decline.</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If our existing securityholders sell, or indicate an intention to sell, substantial amounts of our common stock in the public market after legal restrictions on resale lapse, the trading price of our common stock could decline. In April 2022, we completed a $15 million private investment in public equity (“PIPE”) financing from the sale of 3,149,912 shares of our common stock at a price per share of $2.36 and, in lieu of shares of common stock, pre-funded warrants to purchase up to 3,206,020 shares of its common stock at price per pre-funded warrant of $2.359 to certain investors. We </w:t>
      </w:r>
      <w:r>
        <w:rPr>
          <w:rFonts w:ascii="Times New Roman;sans-serif" w:hAnsi="Times New Roman;sans-serif"/>
          <w:b w:val="false"/>
          <w:color w:val="000000"/>
          <w:sz w:val="20"/>
          <w:highlight w:val="white"/>
        </w:rPr>
        <w:t xml:space="preserve">entered into the Registration Rights Agreement with the investors pursuant to which we </w:t>
      </w:r>
      <w:r>
        <w:rPr>
          <w:rFonts w:ascii="Times New Roman;sans-serif" w:hAnsi="Times New Roman;sans-serif"/>
          <w:b w:val="false"/>
          <w:color w:val="000000"/>
          <w:sz w:val="20"/>
        </w:rPr>
        <w:t>agreed to file a registration statement with the SEC registering the resale of the shares of the shares of 3,149,912 shares common stock and the 3,206,020 shares of common stock underlying the pre-funded warrants issued in the PIPE. Upon the effectiveness of this registration statement and subject to certain beneficial ownership limitations contained in the pre-funded warrants, these shares will be freely tradable, without restriction, in the public market. In addition, the exercise of some or all of the pre-funded warrants will increase the number of shares of our outstanding common stock, which may dilute the ownership percentage or voting power of our stockholders. In addition, shares of common stock that are subject to outstanding options and warrants will become eligible for sale in the public market to the extent permitted by the provisions of various vesting agreements and Rule 144 under the Securities Act. If these shares are sold, the trading price of our common stock could decline.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executive officers, directors and principal stockholders have the ability to control or significantly influence all matters submitted to our stockholders for approval.</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May 1, 2022, our executive officers, directors and stockholders, who hold greater than 5% of our outstanding common stock, beneficially own in the aggregate approximately 79% of our outstanding shares of common stock. As a result, if these persons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the company’s assets. This concentration of voting power could delay or prevent an acquisition on terms that other stockholders may desire.</w:t>
      </w: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Our Status as a Public Company and Other General Matters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expect to continue to incur increased costs as a result of operating as a public company, and our management is required to devote substantial time to compliance with our public company responsibilities and corporate governance practices.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relatively new public company, we continue to incur significant legal, accounting and other expenses that we did not incur as a private company. The Sarbanes-Oxley Act, the Dodd-Frank Wall Street Reform and Consumer Protection Act, the listing requirements of the Nasdaq Stock Market and other applicable securities rules and regulations impose various </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requirements on public companies. Our management and other personnel need to devote a substantial amount of time to compliance with these requirements. Moreover, these rules and regulations increase our legal and financial compliance costs and will make some activities more time-consuming and costly. For example, we expect that these rules and regulations may make it more difficult and more expensive for us to obtain directors’ and officers’ liability insurance, compared to when we were a private company, which could make it more difficult for us to attract and retain qualified members of our board of directors. We cannot predict or estimate the amount of additional costs we will continue to incur as a public company or the timing of such costs. Once we are no longer a smaller reporting company or otherwise no longer qualifies for applicable exemptions, we will be subject to additional laws and regulations affecting public companies that will increase our costs and the demands on management and could harm our operating results.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financial statements on a timely basis could be impaired.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Securities Exchange Act of 1934, as amended (the “Exchange Act”), The Sarbanes-Oxley Act, the Dodd-Frank Wall Street Reform and Consumer Protection Act, and the rules and regulations of the stock market on which our common stock is listed. The Sarbanes-Oxley Act requires, among other things, that we maintain effective disclosure controls and procedures and internal control over financial reporting and that, after a transitional period, we furnish a report by management on, among other things, the effectiveness of our internal control over financial reporting. This assessment includes disclosure of any material weaknesses identified by our management in our internal control over financial reporting. However, due to recent changes in Securities and Exchange Commission (“SEC”) rules related to smaller reporting companies, Millendo was not required to have its auditors formally attest to the effectiveness of its internal control over financial reporting in connection with the Annual Report on Form 10-K for the year ended December 31, 2020. Additionally, we will not be required to have our auditors formally attest to the effectiveness of our internal control over financial reporting until we cease to be a smaller reporting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identify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comply with the requirements of Section 404 of the Sarbanes-Oxley Act (“Section 404”),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as a privately held company, we were not required to evaluate our internal control over financial reporting in a manner that meets the standards of publicly traded companies required by Section 404. In connection with the preparation and audit of our financial statements as of and for the year ended December 31, 2020, a material weaknesses was identified in our internal control over financial reporting. We cannot assure you that the material weaknesses identified will be remediated by us on the timelines currently anticipated, or at all, or that there will not be additional material weaknesses or significant deficiencies in the internal control over financial reporting in the future. Any failure to maintain effective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reporting on internal control over financial reporting, investors may lose confidence in the accuracy and completeness of our financial reports, the market price of our common stock could decline, and we could be subject to sanctions or investigations by Nasdaq Stock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may be adversely affected by natural disasters and other calamities, including pandemics, such as the global outbreak of COVID-19, and our business continuity and disaster recovery plans may not adequately protect us from a serious disaster.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disasters could severely disrupt our operations and have a material adverse effect on our business, results of operations, financial condition and prospects. If a natural disaster, fire, hurricane, power outage or other event occurred that prevented us from using all or a significant portion of our headquarters, that damaged critical infrastructure, such as our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suppliers’ manufacturing facilities, or that otherwise disrupted operations, such as data storage, it may be difficult or, in certain cases, impossible for us to continue our business for a substantial period of time.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Occurrences of epidemics or pandemics, depending on their scale, may cause different degrees of damage to the national and local economies within our geographic focus. Global economic conditions may be disrupted by widespread outbreaks of infectious or contagious diseases, and such disruption may adversely affect clinical development plans. For example, the COVID-19 pandemic could have an adverse effect on the coordination of research and development, our capital raising efforts, and the financial condition of our business, as well as our ability to retain key personnel and continue to expand product candidate development and conduct clinical trials. In addition, the impact of the COVID-19 pandemic is likely to continue to cause substantial changes in consumer behavior and has caused restrictions on business and individual activities, which are likely to lead to reduced economic activity.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Unstable market and economic conditions may have serious adverse consequences on our business, financial condition and share price.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conflict between Ukraine and Russia has created extreme volatility in the global capital markets and is expected to have further global economic consequences, including disruptions of the global supply chain and energy markets.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salary costs. Any significant increases in inflation and related increase in interest rates could have a material adverse effect on our business, results of operations and financial condition.</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business entails a significant risk of product liability and our ability to obtain sufficient insurance coverage could have a material and adverse effect on our business, financial condition, results of operations and prospects.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will face an inherent risk of product liability exposure related to the testing of our product candidates in clinical trials and will face an even greater risk if we commercialize any of our product candidates. Any such product liability claims may include allegations of defects in manufacturing, defects in design, a failure to warn of dangers inherent in a product, negligence, strict liability or breach of warranty. Claims could also be asserted under U.S. state consumer protection acts. If we cannot successfully defend against claims that our product candidates caused injuries, we could incur substantial liabilities. Regardless of merit or eventual outcome, liability claims may result in:</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decreased demand for any product candidates that we may develop;</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injury to our reputation and significant negative media attention;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withdrawal of clinical trial participants;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significant time and costs to defend the related litigation;</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substantial monetary awards to trial participants or patients;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loss of revenue;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termination of our collaboration relationships or disputes with our collaborators;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voluntary product recalls, withdrawals or labeling restrictions;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the inability to commercialize any product candidates that we may develop.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While we currently have insurance that we believe is appropriate for our stage of development, we may need to obtain higher levels prior to clinical development or marketing any of our future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Provisions in our certificate of incorporation and by-laws and under Delaware law could make an acquisition of us, which may be beneficial to our stockholders, more difficult and may prevent attempts by our stockholders to replace or remove our current management.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 a classified board of directors such that not all members of the board are elected at one time;</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allow the authorized number of our directors to be changed only by resolution of our board of directors;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limit the manner in which stockholders can remove directors from the board;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establish advance notice requirements for stockholder proposals that can be acted on at stockholder meetings and for nominations to our board of directors;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limit who may call stockholder meetings;</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prohibit actions by our stockholders by written consent;</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require that stockholder actions be effected at a duly called stockholders meeting;</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pStyle w:val="TextBody"/>
        <w:spacing w:lineRule="auto" w:line="288" w:before="0" w:after="0"/>
        <w:ind w:left="0" w:right="0" w:hanging="360"/>
        <w:jc w:val="both"/>
        <w:rPr/>
      </w:pPr>
      <w:r>
        <w:rPr>
          <w:color w:val="000000"/>
        </w:rPr>
        <w:t>•</w:t>
      </w:r>
      <w:r>
        <w:rPr>
          <w:rFonts w:ascii="Times New Roman;sans-serif" w:hAnsi="Times New Roman;sans-serif"/>
          <w:b w:val="false"/>
          <w:color w:val="000000"/>
          <w:sz w:val="20"/>
        </w:rPr>
        <w:t>require the approval of the holders of at least 75 percent of the votes that all our stockholders would be entitled to cast to amend or repeal certain provisions of our certificate of incorporation or by-laws.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Moreover, because we are incorporated in Delaware, we are governed by the provisions of Section 203 of the Delaware General Corporation Law, which prohibits a person who owns 15 percent or more of our outstanding voting stock from merging or combining with us for a period of three years after the date of the transaction in which the person acquired 15 percent or more of our outstanding voting stock, unless the merger or combination is approved in a manner prescribed by the statute.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Our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bylaws to be inapplicable or unenforceable in an action, we may incur additional costs associated with resolving such action in other jurisdictions, which could materially and adversely affect our business, financial condition and results of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do not anticipate that we will pay any cash dividends in the foreseeable future.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expectation is that we will retain our future earnings, if any, to fund our growth as opposed to paying dividends. As a result, capital appreciation, if any, of our common stock will be your sole source of gain, if any, for the foreseeable future.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may be exposed to increased litigation, including stockholder litigation, which could have an adverse effect on our business and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exposed to increased litigation from stockholders, customers, suppliers, consumers and other third parties due to the combination of Millendo’s business and ours following the merger. Such litigation may have an adverse impact on our business and results of operations or may cause disruptions to our operations. In addition, in the past, stockholders have initiated class action lawsuits against biotechnology companies following periods of volatility in the market prices of these companies’ stock. Such litigation, if instituted against us, could cause us to incur substantial costs and divert management’s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before="0" w:after="0"/>
        <w:jc w:val="both"/>
        <w:rPr/>
      </w:pPr>
      <w:r>
        <w:rPr/>
      </w:r>
    </w:p>
    <w:p>
      <w:pPr>
        <w:pStyle w:val="TextBody"/>
        <w:spacing w:lineRule="auto" w:line="288" w:before="0" w:after="0"/>
        <w:jc w:val="both"/>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attention and resources, which could have a material adverse effect on our business, financial condition and results of operations. We also remain the subject of various securities class action lawsuits and shareholder derivative lawsuits that were filed against OvaScience and certain of our officer and directors, as described in more detail in Part II, Item 3 under the heading “Legal Proceedings” of the Annual Report on Form 10-K for the year ended December 31, 2021.</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If equity research analysts do not publish research or reports, or publish unfavorable research or reports, about us, our business or our market, our stock price and trading volume could decline.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be influenced by the research and reports that equity research analysts publish about us and our business. We have no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or fails to publish reports on us regularly, demand for our common stock could decrease, which in turn could cause our stock price or trading volume to decline.</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We are a smaller reporting company, and the reduced reporting requirements applicable to smaller reporting companies may make our common stock less attractive to investors.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Section 12 of the Exchange Act. For as long as we continue to be a smaller reporting company, we may take advantage of exemptions from various reporting requirements that are applicable to other public companies that are not smaller reporting companies, including not being required to comply with the auditor attestation requirements of Section 404 of Sarbanes-Oxley Act of 2002,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before="0" w:after="0"/>
        <w:rPr/>
      </w:pPr>
      <w:r>
        <w:rPr/>
      </w:r>
    </w:p>
    <w:p>
      <w:pPr>
        <w:pStyle w:val="TextBody"/>
        <w:spacing w:lineRule="auto" w:line="333" w:before="0" w:after="0"/>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lineRule="auto" w:line="333"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incorporated by reference or filed as part of this report.</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05"/>
        <w:gridCol w:w="269"/>
        <w:gridCol w:w="270"/>
        <w:gridCol w:w="2011"/>
        <w:gridCol w:w="1807"/>
        <w:gridCol w:w="1813"/>
        <w:gridCol w:w="170"/>
        <w:gridCol w:w="170"/>
        <w:gridCol w:w="171"/>
        <w:gridCol w:w="255"/>
        <w:gridCol w:w="255"/>
        <w:gridCol w:w="256"/>
        <w:gridCol w:w="210"/>
        <w:gridCol w:w="210"/>
        <w:gridCol w:w="211"/>
        <w:gridCol w:w="206"/>
        <w:gridCol w:w="206"/>
        <w:gridCol w:w="207"/>
        <w:gridCol w:w="350"/>
        <w:gridCol w:w="350"/>
        <w:gridCol w:w="503"/>
      </w:tblGrid>
      <w:tr>
        <w:trPr/>
        <w:tc>
          <w:tcPr>
            <w:tcW w:w="305"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011"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0"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by Reference</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2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Filed or Furnished Herewith</w:t>
            </w:r>
          </w:p>
        </w:tc>
      </w:tr>
      <w:tr>
        <w:trPr/>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5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16"/>
                  <w:u w:val="single"/>
                </w:rPr>
                <w:t xml:space="preserve">Agreement and Plan of Merger, dated as of March 29, 2021, by and among Tempest Therapeutics, Inc., Mars Merger Corp. and Tempest Therapeutics, Inc. </w:t>
              </w:r>
            </w:hyperlink>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001-35890</w:t>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c>
        <w:tc>
          <w:tcPr>
            <w:tcW w:w="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3/29/2021</w:t>
            </w:r>
          </w:p>
        </w:tc>
        <w:tc>
          <w:tcPr>
            <w:tcW w:w="12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16"/>
                  <w:u w:val="single"/>
                </w:rPr>
                <w:t>Restated Certificate of Incorporation of the Registrant, as amended</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10-Q</w:t>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001-35890</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5/15/2019</w:t>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4">
              <w:r>
                <w:rPr>
                  <w:rStyle w:val="InternetLink"/>
                  <w:rFonts w:ascii="Times New Roman;sans-serif" w:hAnsi="Times New Roman;sans-serif"/>
                  <w:b w:val="false"/>
                  <w:color w:val="0000FF"/>
                  <w:sz w:val="16"/>
                  <w:u w:val="single"/>
                </w:rPr>
                <w:t>Certificate of Amendment to the Restated Certificate of Incorporation of the Company, as filed with the Secretary of State of the State of Delaware on June 24, 2021</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001-35890</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6/28/2021</w:t>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5">
              <w:r>
                <w:rPr>
                  <w:rStyle w:val="InternetLink"/>
                  <w:rFonts w:ascii="Times New Roman;sans-serif" w:hAnsi="Times New Roman;sans-serif"/>
                  <w:b w:val="false"/>
                  <w:color w:val="0000FF"/>
                  <w:sz w:val="16"/>
                  <w:u w:val="single"/>
                </w:rPr>
                <w:t>Certificate of Amendment to the Restated Certificate of Incorporation of the Company, as filed with the Secretary of State of the State of Delaware on June 25, 2021</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001-35890</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6/28/2021</w:t>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6">
              <w:r>
                <w:rPr>
                  <w:rStyle w:val="InternetLink"/>
                  <w:rFonts w:ascii="Times New Roman;sans-serif" w:hAnsi="Times New Roman;sans-serif"/>
                  <w:b w:val="false"/>
                  <w:color w:val="0000FF"/>
                  <w:sz w:val="16"/>
                  <w:u w:val="single"/>
                </w:rPr>
                <w:t>Amended and Restated Bylaws of the Registrant</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8-K</w:t>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001-35890</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w:t>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9/24/2021</w:t>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7">
              <w:r>
                <w:rPr>
                  <w:rStyle w:val="InternetLink"/>
                  <w:rFonts w:ascii="Times New Roman;sans-serif" w:hAnsi="Times New Roman;sans-serif"/>
                  <w:b w:val="false"/>
                  <w:color w:val="0000FF"/>
                  <w:sz w:val="16"/>
                  <w:u w:val="single"/>
                </w:rPr>
                <w:t>Form of Tempest Therapeutics, Inc. Warrant to Purchase Stock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S-4/A</w:t>
            </w:r>
          </w:p>
        </w:tc>
        <w:tc>
          <w:tcPr>
            <w:tcW w:w="766" w:type="dxa"/>
            <w:gridSpan w:val="3"/>
            <w:tcBorders/>
            <w:shd w:fill="auto" w:val="clear"/>
            <w:tcMar>
              <w:top w:w="0" w:type="dxa"/>
              <w:left w:w="0" w:type="dxa"/>
              <w:bottom w:w="0" w:type="dxa"/>
              <w:right w:w="0" w:type="dxa"/>
            </w:tcMar>
            <w:vAlign w:val="center"/>
          </w:tcPr>
          <w:p>
            <w:pPr>
              <w:pStyle w:val="TableContents"/>
              <w:spacing w:lineRule="auto" w:line="288"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333-255198</w:t>
            </w:r>
          </w:p>
        </w:tc>
        <w:tc>
          <w:tcPr>
            <w:tcW w:w="6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619"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5/4/2021</w:t>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tpstbradyemploymentagreeme.htm">
              <w:r>
                <w:rPr>
                  <w:rStyle w:val="InternetLink"/>
                  <w:rFonts w:ascii="Times New Roman;sans-serif" w:hAnsi="Times New Roman;sans-serif"/>
                  <w:b w:val="false"/>
                  <w:color w:val="0000FF"/>
                  <w:sz w:val="16"/>
                  <w:u w:val="single"/>
                </w:rPr>
                <w:t>Executive Employment Agreement, dated January 12, 2022, by and between the Company and Stephen Brady</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tpstdubenskyemploymentagre.htm">
              <w:r>
                <w:rPr>
                  <w:rStyle w:val="InternetLink"/>
                  <w:rFonts w:ascii="Times New Roman;sans-serif" w:hAnsi="Times New Roman;sans-serif"/>
                  <w:b w:val="false"/>
                  <w:color w:val="0000FF"/>
                  <w:sz w:val="16"/>
                  <w:u w:val="single"/>
                </w:rPr>
                <w:t>Executive Employment Agreement, dated January 12, 2022, by and between the Company and Thomas Dubensky</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10.3+</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tpst_samwhitingemploymenta.htm">
              <w:r>
                <w:rPr>
                  <w:rStyle w:val="InternetLink"/>
                  <w:rFonts w:ascii="Times New Roman;sans-serif" w:hAnsi="Times New Roman;sans-serif"/>
                  <w:b w:val="false"/>
                  <w:color w:val="0000FF"/>
                  <w:sz w:val="16"/>
                  <w:u w:val="single"/>
                </w:rPr>
                <w:t>Executive Employment Agreement, dated January 12, 2022, by and between the Company and Samuel Whiting, M.D., Ph.D.</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tpst_nicmaestasemploymenta.htm">
              <w:r>
                <w:rPr>
                  <w:rStyle w:val="InternetLink"/>
                  <w:rFonts w:ascii="Times New Roman;sans-serif" w:hAnsi="Times New Roman;sans-serif"/>
                  <w:b w:val="false"/>
                  <w:color w:val="0000FF"/>
                  <w:sz w:val="16"/>
                  <w:u w:val="single"/>
                </w:rPr>
                <w:t>Executive Employment Agreement, dated January 12, 2022, by and between the Company and Nicholas Maestas</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2.htm">
              <w:r>
                <w:rPr>
                  <w:rStyle w:val="InternetLink"/>
                  <w:rFonts w:ascii="Times New Roman;sans-serif" w:hAnsi="Times New Roman;sans-serif"/>
                  <w:b w:val="false"/>
                  <w:color w:val="0000FF"/>
                  <w:sz w:val="16"/>
                  <w:u w:val="single"/>
                </w:rPr>
                <w:t>Certification of Principal Executive Officer pursuant to Rules 13a-14(a) and 15d-14(a) promulgated under the Securities Exchange Act of 1934, as adopted pursuant to Section 302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2.htm">
              <w:r>
                <w:rPr>
                  <w:rStyle w:val="InternetLink"/>
                  <w:rFonts w:ascii="Times New Roman;sans-serif" w:hAnsi="Times New Roman;sans-serif"/>
                  <w:b w:val="false"/>
                  <w:color w:val="0000FF"/>
                  <w:sz w:val="16"/>
                  <w:u w:val="single"/>
                </w:rPr>
                <w:t>Certification of Principal Financial Officer pursuant to Rules 13a-14(a) and 15d-14(a) promulgated under the Securities Exchange Act of 1934, as adopted pursuant to section 302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val="false"/>
                <w:color w:val="000000"/>
                <w:sz w:val="16"/>
              </w:rPr>
              <w:t>32.1</w:t>
            </w:r>
            <w:r>
              <w:rPr>
                <w:rFonts w:ascii="Times New Roman;sans-serif" w:hAnsi="Times New Roman;sans-serif"/>
                <w:b w:val="false"/>
                <w:color w:val="000000"/>
                <w:sz w:val="10"/>
              </w:rPr>
              <w:t>^</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12.htm">
              <w:r>
                <w:rPr>
                  <w:rStyle w:val="InternetLink"/>
                  <w:rFonts w:ascii="Times New Roman;sans-serif" w:hAnsi="Times New Roman;sans-serif"/>
                  <w:b w:val="false"/>
                  <w:color w:val="0000FF"/>
                  <w:sz w:val="16"/>
                  <w:u w:val="single"/>
                </w:rPr>
                <w:t>Certification of Principal Executive Officer and Principal Financial Officer pursuant to Rules 13a-14(b) and 15d-14(b) promulgated under the Securities Exchange Act of 1934 and 18 U.S.C. Section 1350, as adopted pursuant to section 906 of The Sarbanes-Oxley Act of 2002</w:t>
              </w:r>
            </w:hyperlink>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101.INS</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Instance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101.SCH</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Schema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101.CAL</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Calculation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101.DEF</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Definition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101.LAB</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Label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101.PRE</w:t>
            </w:r>
          </w:p>
        </w:tc>
        <w:tc>
          <w:tcPr>
            <w:tcW w:w="56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Inline XBRL Taxonomy Extension Presentation Linkbase Document</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X</w:t>
            </w:r>
          </w:p>
        </w:tc>
      </w:tr>
      <w:tr>
        <w:trPr/>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5631" w:type="dxa"/>
            <w:gridSpan w:val="3"/>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cover page from the Company’s Quarterly Report on Form 10-Q for the quarter ended March 31, 2022, has been formatted in Inline XBRL.</w:t>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Indicates management contract or compensatory plan.</w:t>
      </w:r>
    </w:p>
    <w:p>
      <w:pPr>
        <w:pStyle w:val="TextBody"/>
        <w:spacing w:lineRule="auto" w:line="288" w:before="0" w:after="0"/>
        <w:ind w:left="0" w:right="0" w:hanging="270"/>
        <w:jc w:val="both"/>
        <w:rPr>
          <w:rFonts w:ascii="Times New Roman;sans-serif" w:hAnsi="Times New Roman;sans-serif"/>
          <w:b w:val="false"/>
          <w:color w:val="000000"/>
          <w:sz w:val="20"/>
        </w:rPr>
      </w:pPr>
      <w:r>
        <w:rPr>
          <w:rFonts w:ascii="Times New Roman;sans-serif" w:hAnsi="Times New Roman;sans-serif"/>
          <w:b w:val="false"/>
          <w:color w:val="000000"/>
          <w:sz w:val="20"/>
        </w:rPr>
        <w:t>^    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before="0" w:after="0"/>
        <w:rPr/>
      </w:pPr>
      <w:r>
        <w:rPr/>
      </w:r>
    </w:p>
    <w:p>
      <w:pPr>
        <w:pStyle w:val="TextBody"/>
        <w:spacing w:lineRule="auto" w:line="333" w:before="0" w:after="0"/>
        <w:rPr/>
      </w:pPr>
      <w:hyperlink w:anchor="i4d6baf9127a14cc4805d95f5bfdfed2c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TEMPEST THERAPEUTICS, INC.</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Stephen Brady </w:t>
      </w:r>
    </w:p>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lineRule="auto" w:line="22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Stephen Brady</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(Principal Executive Officer)</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Nicholas Maestas </w:t>
      </w:r>
    </w:p>
    <w:p>
      <w:pPr>
        <w:pStyle w:val="TextBody"/>
        <w:spacing w:lineRule="auto" w:line="22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Nicholas Maestas</w:t>
      </w:r>
    </w:p>
    <w:p>
      <w:pPr>
        <w:pStyle w:val="TextBody"/>
        <w:spacing w:lineRule="auto" w:line="22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Vice-President, Strategy and Finance (Principal</w:t>
      </w:r>
    </w:p>
    <w:p>
      <w:pPr>
        <w:pStyle w:val="TextBody"/>
        <w:spacing w:lineRule="auto" w:line="22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Financial Officer)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p>
      <w:pPr>
        <w:pStyle w:val="TextBody"/>
        <w:spacing w:before="0" w:after="0"/>
        <w:jc w:val="center"/>
        <w:rPr/>
      </w:pPr>
      <w:r>
        <w:rPr/>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before="0" w:after="0"/>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Tempest Therapeutics,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7000 Shoreline Court, Suite 275</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South San Francisco, California 94080</w:t>
      </w:r>
    </w:p>
    <w:p>
      <w:pPr>
        <w:pStyle w:val="TextBody"/>
        <w:spacing w:before="0" w:after="0"/>
        <w:jc w:val="both"/>
        <w:rPr/>
      </w:pPr>
      <w:r>
        <w:rPr/>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January 12, 2022</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4"/>
        </w:rPr>
      </w:pPr>
      <w:r>
        <w:rPr>
          <w:rFonts w:ascii="Times New Roman;sans-serif" w:hAnsi="Times New Roman;sans-serif"/>
          <w:b/>
          <w:i/>
          <w:color w:val="000000"/>
          <w:sz w:val="24"/>
        </w:rPr>
        <w:t>Via Email Only</w:t>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SBRADY@TEMPESTTX.COM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Mr. Stephen R. Brady</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EXECUTIVE EMPLOYMENT AGREEMENT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Steve:</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val="false"/>
          <w:color w:val="000000"/>
          <w:sz w:val="24"/>
        </w:rPr>
        <w:t>On behalf of Tempest Therapeutics, Inc. (“</w:t>
      </w:r>
      <w:r>
        <w:rPr>
          <w:rFonts w:ascii="Times New Roman;sans-serif" w:hAnsi="Times New Roman;sans-serif"/>
          <w:b/>
          <w:i/>
          <w:color w:val="000000"/>
          <w:sz w:val="24"/>
        </w:rPr>
        <w:t>Tempest</w:t>
      </w:r>
      <w:r>
        <w:rPr>
          <w:color w:val="000000"/>
        </w:rPr>
        <w:t>”</w:t>
      </w:r>
      <w:r>
        <w:rPr>
          <w:rFonts w:ascii="Times New Roman;sans-serif" w:hAnsi="Times New Roman;sans-serif"/>
          <w:b w:val="false"/>
          <w:color w:val="000000"/>
          <w:sz w:val="24"/>
        </w:rPr>
        <w:t>, or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it is my pleasure to confirm the terms and conditions of your continued employment as Tempest’s Chief Executive Officer, reporting to the Company’s Board of Directors. During your employment with Tempest, you will devote substantially all of your professional efforts to the business of Tempest, except that you may engage in the business activities described on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of this employment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and other activities that may be approved in advance by the Nominating and Governance Committee of the Company’s Board of Directors (which together with the activities set forth on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spacing w:lineRule="auto" w:line="240" w:before="0" w:after="240"/>
        <w:jc w:val="both"/>
        <w:rPr/>
      </w:pPr>
      <w:r>
        <w:rPr>
          <w:rFonts w:ascii="Times New Roman;sans-serif" w:hAnsi="Times New Roman;sans-serif"/>
          <w:b w:val="false"/>
          <w:color w:val="000000"/>
          <w:sz w:val="24"/>
        </w:rPr>
        <w:t>This Agreement supersedes, amends and restates in all respects all prior agreements and understandings between you and the Company regarding the subject matter herein, except as specifically stated herein. The date on which you sign this Agreement is referred to herein as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intended to summarize some of the terms and conditions of your employment.</w:t>
      </w:r>
    </w:p>
    <w:p>
      <w:pPr>
        <w:pStyle w:val="TextBody"/>
        <w:spacing w:lineRule="auto" w:line="240" w:before="0" w:after="240"/>
        <w:ind w:left="0" w:right="0" w:firstLine="720"/>
        <w:jc w:val="both"/>
        <w:rPr/>
      </w:pPr>
      <w:r>
        <w:rPr>
          <w:rFonts w:ascii="Times New Roman;sans-serif" w:hAnsi="Times New Roman;sans-serif"/>
          <w:b w:val="false"/>
          <w:color w:val="000000"/>
          <w:sz w:val="24"/>
        </w:rPr>
        <w:t>1.     </w:t>
      </w:r>
      <w:r>
        <w:rPr>
          <w:rFonts w:ascii="Times New Roman;sans-serif" w:hAnsi="Times New Roman;sans-serif"/>
          <w:b w:val="false"/>
          <w:color w:val="000000"/>
          <w:sz w:val="24"/>
          <w:u w:val="single"/>
        </w:rPr>
        <w:t>Location</w:t>
      </w:r>
      <w:r>
        <w:rPr>
          <w:rFonts w:ascii="Times New Roman;sans-serif" w:hAnsi="Times New Roman;sans-serif"/>
          <w:b w:val="false"/>
          <w:color w:val="000000"/>
          <w:sz w:val="24"/>
        </w:rPr>
        <w:t>. Your place of employment will be at Tempest’s principal offices, currently located in South San Francisco, California. You will be required to work from this location as reasonably determined by the Company in accordance with its “work from home,” and “work from office” policies, as may be amended from time to time, taking into account relevant factors of your responsibilities.</w:t>
      </w:r>
    </w:p>
    <w:p>
      <w:pPr>
        <w:pStyle w:val="TextBody"/>
        <w:spacing w:lineRule="auto" w:line="240" w:before="0" w:after="240"/>
        <w:ind w:left="0" w:right="0" w:firstLine="720"/>
        <w:jc w:val="both"/>
        <w:rPr/>
      </w:pPr>
      <w:r>
        <w:rPr>
          <w:rFonts w:ascii="Times New Roman;sans-serif" w:hAnsi="Times New Roman;sans-serif"/>
          <w:b w:val="false"/>
          <w:color w:val="000000"/>
          <w:sz w:val="24"/>
        </w:rPr>
        <w:t>2.     </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Base Salary</w:t>
      </w:r>
      <w:r>
        <w:rPr>
          <w:rFonts w:ascii="Times New Roman;sans-serif" w:hAnsi="Times New Roman;sans-serif"/>
          <w:b w:val="false"/>
          <w:color w:val="000000"/>
          <w:sz w:val="24"/>
        </w:rPr>
        <w:t>. Your annualized base salary rate as of the Effective Date is $530,000, less standard deductions and withholding and payable bi-weekly in accordance with Tempest’s regular payroll practices. Your salary shall be reviewed annually and may be adjusted in connection with any such review.</w:t>
      </w:r>
    </w:p>
    <w:p>
      <w:pPr>
        <w:pStyle w:val="TextBody"/>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Bonus Program</w:t>
      </w:r>
      <w:r>
        <w:rPr>
          <w:rFonts w:ascii="Times New Roman;sans-serif" w:hAnsi="Times New Roman;sans-serif"/>
          <w:b w:val="false"/>
          <w:color w:val="000000"/>
          <w:sz w:val="24"/>
        </w:rPr>
        <w:t xml:space="preserve">. You will be eligible for an annual target bonus of forty percent (50%) of your annual base salary, as determined by the Board in its sole discretion based upon, among other things, the achievement of pre-determined performance milestones. Any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annual bonus, if earned, shall be paid no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year immediately following the year to which the applicable annual bonus relates.</w:t>
      </w:r>
    </w:p>
    <w:p>
      <w:pPr>
        <w:pStyle w:val="TextBody"/>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 xml:space="preserve">Option Grants. </w:t>
      </w:r>
      <w:r>
        <w:rPr>
          <w:rFonts w:ascii="Times New Roman;sans-serif" w:hAnsi="Times New Roman;sans-serif"/>
          <w:b w:val="false"/>
          <w:color w:val="000000"/>
          <w:sz w:val="24"/>
        </w:rPr>
        <w:t>As of the Effective Date, you acknowledge that you have outstanding options to purchase 347,066 shares of Tempest’s common stock (the “Option”), vesting in accordance with the terms of the grant agreements therefor, and otherwise in accordance with this Agreement. You also may be granted other stock options in the course of providing services to the Company (collectively with the Option, the “</w:t>
      </w:r>
      <w:r>
        <w:rPr>
          <w:rFonts w:ascii="Times New Roman;sans-serif" w:hAnsi="Times New Roman;sans-serif"/>
          <w:b/>
          <w:i/>
          <w:color w:val="000000"/>
          <w:sz w:val="24"/>
        </w:rPr>
        <w:t>Stock Option Grants</w:t>
      </w:r>
      <w:r>
        <w:rPr>
          <w:color w:val="000000"/>
        </w:rPr>
        <w:t>”</w:t>
      </w:r>
      <w:r>
        <w:rPr>
          <w:rFonts w:ascii="Times New Roman;sans-serif" w:hAnsi="Times New Roman;sans-serif"/>
          <w:b w:val="false"/>
          <w:color w:val="000000"/>
          <w:sz w:val="24"/>
        </w:rPr>
        <w:t>). The Stock Option Grants are also subject to the terms of Tempest’s equity incentive arrangements, including its customary Incentive Stock Option (ISO) Grant Agreement. In the event that (i) the Company consummates a Change in Control (as defined below), and (ii) the Stock Option Grants are not otherwise vested, then one hundred percent (100%) of remaining shares subject to the Stock Option Grants shall vest in full on the date immediately prior to the effective date of the Change in Control, subject to your continuous employment through such vesting date.</w:t>
      </w:r>
    </w:p>
    <w:p>
      <w:pPr>
        <w:pStyle w:val="TextBody"/>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i/>
          <w:color w:val="000000"/>
          <w:sz w:val="24"/>
        </w:rPr>
        <w:t xml:space="preserve">Withholding. </w:t>
      </w:r>
      <w:r>
        <w:rPr>
          <w:rFonts w:ascii="Times New Roman;sans-serif" w:hAnsi="Times New Roman;sans-serif"/>
          <w:b w:val="false"/>
          <w:color w:val="000000"/>
          <w:sz w:val="24"/>
        </w:rPr>
        <w:t>Tempest shall withhold from any compensation or benefits payable to you by Tempest any federal, state and/or local income, employment and/or other similar taxes as may be required to be withheld pursuant to any applicable law or regulation.</w:t>
      </w:r>
    </w:p>
    <w:p>
      <w:pPr>
        <w:pStyle w:val="TextBody"/>
        <w:spacing w:lineRule="auto" w:line="240" w:before="0" w:after="240"/>
        <w:ind w:left="0" w:right="0" w:firstLine="720"/>
        <w:jc w:val="both"/>
        <w:rPr/>
      </w:pPr>
      <w:r>
        <w:rPr>
          <w:rFonts w:ascii="Times New Roman;sans-serif" w:hAnsi="Times New Roman;sans-serif"/>
          <w:b w:val="false"/>
          <w:color w:val="000000"/>
          <w:sz w:val="24"/>
        </w:rPr>
        <w:t>3.     </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Other</w:t>
      </w:r>
      <w:r>
        <w:rPr>
          <w:rFonts w:ascii="Times New Roman;sans-serif" w:hAnsi="Times New Roman;sans-serif"/>
          <w:b w:val="false"/>
          <w:color w:val="000000"/>
          <w:sz w:val="24"/>
        </w:rPr>
        <w:t>. You will be eligible to participate in the benefits to be offered by Tempest on the same terms and 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pStyle w:val="TextBody"/>
        <w:spacing w:lineRule="auto" w:line="240" w:before="0" w:after="240"/>
        <w:ind w:left="0" w:right="0" w:firstLine="144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Expenses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Tempest shall reimburse you for all reasonable expenses of the type authorized by Tempest and incurred by you in the performance of your duties under this Agreement, all in accordance with the Company’s reimbursement policies.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is the case of all employee benefits, such benefits will be governed by the terms and conditions of applicable Tempest plans or policies, which are subject to change or discontinuation at any time.</w:t>
      </w:r>
    </w:p>
    <w:p>
      <w:pPr>
        <w:pStyle w:val="TextBody"/>
        <w:spacing w:lineRule="auto" w:line="240" w:before="0" w:after="240"/>
        <w:ind w:left="0" w:right="0" w:firstLine="720"/>
        <w:jc w:val="both"/>
        <w:rPr/>
      </w:pPr>
      <w:r>
        <w:rPr>
          <w:rFonts w:ascii="Times New Roman;sans-serif" w:hAnsi="Times New Roman;sans-serif"/>
          <w:b w:val="false"/>
          <w:color w:val="000000"/>
          <w:sz w:val="24"/>
        </w:rPr>
        <w:t>4.     </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a.     </w:t>
      </w:r>
      <w:r>
        <w:rPr>
          <w:rFonts w:ascii="Times New Roman;sans-serif" w:hAnsi="Times New Roman;sans-serif"/>
          <w:b w:val="false"/>
          <w:i/>
          <w:color w:val="000000"/>
          <w:sz w:val="24"/>
        </w:rPr>
        <w:t>Definitions.</w:t>
      </w:r>
      <w:r>
        <w:rPr>
          <w:color w:val="000000"/>
        </w:rPr>
        <w:t xml:space="preserve"> </w:t>
      </w:r>
      <w:r>
        <w:rPr>
          <w:rFonts w:ascii="Times New Roman;sans-serif" w:hAnsi="Times New Roman;sans-serif"/>
          <w:b w:val="false"/>
          <w:color w:val="000000"/>
          <w:sz w:val="24"/>
        </w:rPr>
        <w:t xml:space="preserve">For purposes of this Agreement: </w:t>
      </w:r>
    </w:p>
    <w:p>
      <w:pPr>
        <w:pStyle w:val="TextBody"/>
        <w:spacing w:lineRule="auto" w:line="240" w:before="0" w:after="240"/>
        <w:ind w:left="0" w:right="0" w:firstLine="2340"/>
        <w:jc w:val="both"/>
        <w:rPr/>
      </w:pPr>
      <w:r>
        <w:rPr>
          <w:rFonts w:ascii="Times New Roman;sans-serif" w:hAnsi="Times New Roman;sans-serif"/>
          <w:b w:val="false"/>
          <w:color w:val="000000"/>
          <w:sz w:val="24"/>
        </w:rPr>
        <w:t>i.     “</w:t>
      </w:r>
      <w:r>
        <w:rPr>
          <w:rFonts w:ascii="Times New Roman;sans-serif" w:hAnsi="Times New Roman;sans-serif"/>
          <w:b/>
          <w:i/>
          <w:color w:val="000000"/>
          <w:sz w:val="24"/>
        </w:rPr>
        <w:t>Accrued Benefits</w:t>
      </w:r>
      <w:r>
        <w:rPr>
          <w:color w:val="000000"/>
        </w:rPr>
        <w:t xml:space="preserve">” </w:t>
      </w:r>
      <w:r>
        <w:rPr>
          <w:rFonts w:ascii="Times New Roman;sans-serif" w:hAnsi="Times New Roman;sans-serif"/>
          <w:b w:val="false"/>
          <w:color w:val="000000"/>
          <w:sz w:val="24"/>
        </w:rPr>
        <w:t xml:space="preserve">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 </w:t>
      </w:r>
    </w:p>
    <w:p>
      <w:pPr>
        <w:pStyle w:val="TextBody"/>
        <w:spacing w:lineRule="auto" w:line="240" w:before="0" w:after="240"/>
        <w:ind w:left="0" w:right="0" w:firstLine="2160"/>
        <w:jc w:val="both"/>
        <w:rPr/>
      </w:pPr>
      <w:r>
        <w:rPr>
          <w:rFonts w:ascii="Times New Roman;sans-serif" w:hAnsi="Times New Roman;sans-serif"/>
          <w:b w:val="false"/>
          <w:color w:val="000000"/>
          <w:sz w:val="24"/>
        </w:rPr>
        <w:t>ii.    “</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 xml:space="preserve">means conduct involving one or more of the following by you: (i) your willful and continued failure or refusal to perform material, lawful duties required of you as an employee of the Company, which failure continues for, or is not permanently cured within, a period of 30 days after written notice given to you by Tempest, except in the case of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7"/>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your physical or mental illness; (ii) your gross negligence, willful misconduct or international misrepresentation in connection with the performance of your duties; (iii) the conviction of (x) a felony or (y) a misdemeanor involving moral turpitude, or fraud;</w:t>
      </w:r>
      <w:r>
        <w:rPr>
          <w:color w:val="000000"/>
        </w:rPr>
        <w:t xml:space="preserve"> </w:t>
      </w:r>
      <w:r>
        <w:rPr>
          <w:rFonts w:ascii="Times New Roman;sans-serif" w:hAnsi="Times New Roman;sans-serif"/>
          <w:b w:val="false"/>
          <w:color w:val="000000"/>
          <w:sz w:val="24"/>
        </w:rPr>
        <w:t xml:space="preserve">(iv) the commission of an act of embezzlement or fraud; or (v) the material breach of any agreement between Tempest and you. </w:t>
      </w:r>
    </w:p>
    <w:p>
      <w:pPr>
        <w:pStyle w:val="TextBody"/>
        <w:spacing w:lineRule="auto" w:line="240" w:before="0" w:after="240"/>
        <w:ind w:left="0" w:right="0" w:firstLine="2340"/>
        <w:jc w:val="both"/>
        <w:rPr/>
      </w:pPr>
      <w:r>
        <w:rPr>
          <w:rFonts w:ascii="Times New Roman;sans-serif" w:hAnsi="Times New Roman;sans-serif"/>
          <w:b w:val="false"/>
          <w:color w:val="000000"/>
          <w:sz w:val="24"/>
        </w:rPr>
        <w:t>iii.    “</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shall have the meaning set forth in the Company’s 2017 Equity Incentive Plan.</w:t>
      </w:r>
    </w:p>
    <w:p>
      <w:pPr>
        <w:pStyle w:val="TextBody"/>
        <w:spacing w:lineRule="auto" w:line="240" w:before="0" w:after="240"/>
        <w:ind w:left="0" w:right="0" w:firstLine="2340"/>
        <w:jc w:val="both"/>
        <w:rPr/>
      </w:pPr>
      <w:r>
        <w:rPr>
          <w:rFonts w:ascii="Times New Roman;sans-serif" w:hAnsi="Times New Roman;sans-serif"/>
          <w:b w:val="false"/>
          <w:color w:val="000000"/>
          <w:sz w:val="24"/>
        </w:rPr>
        <w:t>iv.    “</w:t>
      </w:r>
      <w:r>
        <w:rPr>
          <w:rFonts w:ascii="Times New Roman;sans-serif" w:hAnsi="Times New Roman;sans-serif"/>
          <w:b/>
          <w:i/>
          <w:color w:val="000000"/>
          <w:sz w:val="24"/>
        </w:rPr>
        <w:t>Change in Control Period</w:t>
      </w:r>
      <w:r>
        <w:rPr>
          <w:color w:val="000000"/>
        </w:rPr>
        <w:t xml:space="preserve">” </w:t>
      </w:r>
      <w:r>
        <w:rPr>
          <w:rFonts w:ascii="Times New Roman;sans-serif" w:hAnsi="Times New Roman;sans-serif"/>
          <w:b w:val="false"/>
          <w:color w:val="000000"/>
          <w:sz w:val="24"/>
        </w:rPr>
        <w:t>means the three (3) month period prior to, and twelve (12) month period following, a Change in Control.</w:t>
      </w:r>
    </w:p>
    <w:p>
      <w:pPr>
        <w:pStyle w:val="TextBody"/>
        <w:spacing w:lineRule="auto" w:line="240" w:before="0" w:after="240"/>
        <w:ind w:left="0" w:right="0" w:firstLine="2340"/>
        <w:jc w:val="both"/>
        <w:rPr/>
      </w:pPr>
      <w:r>
        <w:rPr>
          <w:rFonts w:ascii="Times New Roman;sans-serif" w:hAnsi="Times New Roman;sans-serif"/>
          <w:b w:val="false"/>
          <w:color w:val="000000"/>
          <w:sz w:val="24"/>
        </w:rPr>
        <w:t>v.     “</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means, without your express written consent, (i) any reduction in your annual base salary other than a reduction which is proportional to general reductions affecting other senior executive officers of Tempest generally, (ii) a material diminution in your responsibilities, authority or duties, (iii) a material change in the geographic location at which you provide services to the Company, (iv) a material breach of this Agreement by the Company, (v) appointing an officer of the Company whose responsibilities, function, title, reports and reporting would indicate that you are subordinate to such officer, (vi) no longer serving as an officer with a similar title or responsibilities at the “top-level” corporate entity following a Change in Control of the Company.</w:t>
      </w:r>
    </w:p>
    <w:p>
      <w:pPr>
        <w:pStyle w:val="TextBody"/>
        <w:spacing w:lineRule="auto" w:line="240" w:before="0" w:after="240"/>
        <w:ind w:left="0" w:right="0" w:hanging="360"/>
        <w:jc w:val="both"/>
        <w:rPr/>
      </w:pPr>
      <w:r>
        <w:rPr>
          <w:rFonts w:ascii="Times New Roman;sans-serif" w:hAnsi="Times New Roman;sans-serif"/>
          <w:b w:val="false"/>
          <w:color w:val="000000"/>
          <w:sz w:val="24"/>
        </w:rPr>
        <w:t>b.     </w:t>
      </w:r>
      <w:r>
        <w:rPr>
          <w:rFonts w:ascii="Times New Roman;sans-serif" w:hAnsi="Times New Roman;sans-serif"/>
          <w:b w:val="false"/>
          <w:i/>
          <w:color w:val="000000"/>
          <w:sz w:val="24"/>
        </w:rPr>
        <w:t>Severance Benefits and Payment</w:t>
      </w:r>
      <w:r>
        <w:rPr>
          <w:rFonts w:ascii="Times New Roman;sans-serif" w:hAnsi="Times New Roman;sans-serif"/>
          <w:b w:val="false"/>
          <w:color w:val="000000"/>
          <w:sz w:val="24"/>
        </w:rPr>
        <w:t xml:space="preserve">. </w:t>
      </w:r>
    </w:p>
    <w:p>
      <w:pPr>
        <w:pStyle w:val="TextBody"/>
        <w:spacing w:lineRule="auto" w:line="240" w:before="0" w:after="240"/>
        <w:ind w:left="0" w:right="0" w:firstLine="1980"/>
        <w:jc w:val="both"/>
        <w:rPr/>
      </w:pPr>
      <w:r>
        <w:rPr>
          <w:rFonts w:ascii="Times New Roman;sans-serif" w:hAnsi="Times New Roman;sans-serif"/>
          <w:b w:val="false"/>
          <w:color w:val="000000"/>
          <w:sz w:val="24"/>
        </w:rPr>
        <w:t>i.     </w:t>
      </w:r>
      <w:r>
        <w:rPr>
          <w:rFonts w:ascii="Times New Roman;sans-serif" w:hAnsi="Times New Roman;sans-serif"/>
          <w:b w:val="false"/>
          <w:i/>
          <w:color w:val="000000"/>
          <w:sz w:val="24"/>
        </w:rPr>
        <w:t>Generally</w:t>
      </w:r>
      <w:r>
        <w:rPr>
          <w:rFonts w:ascii="Times New Roman;sans-serif" w:hAnsi="Times New Roman;sans-serif"/>
          <w:b w:val="false"/>
          <w:color w:val="000000"/>
          <w:sz w:val="24"/>
        </w:rPr>
        <w:t xml:space="preserve">. If your employment with Tempest is terminated (x) by Tempest for any reason other than Cause, or (y) by you for Good Reason, Tempest will pay you (1) the Accrued Benefits; (2) subject to your compliance with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below, after the execution and delivery of the Separation Agreement and General Release in substantially the form attached hereto as </w:t>
      </w:r>
      <w:r>
        <w:rPr>
          <w:rFonts w:ascii="Times New Roman;sans-serif" w:hAnsi="Times New Roman;sans-serif"/>
          <w:b w:val="false"/>
          <w:color w:val="000000"/>
          <w:sz w:val="24"/>
          <w:u w:val="single"/>
        </w:rPr>
        <w:t>Appendix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Separation Agreement and General Release</w:t>
      </w:r>
      <w:r>
        <w:rPr>
          <w:color w:val="000000"/>
        </w:rPr>
        <w:t>”</w:t>
      </w:r>
      <w:r>
        <w:rPr>
          <w:rFonts w:ascii="Times New Roman;sans-serif" w:hAnsi="Times New Roman;sans-serif"/>
          <w:b w:val="false"/>
          <w:color w:val="000000"/>
          <w:sz w:val="24"/>
        </w:rPr>
        <w:t>) and the expiration of any revocation period without the release being revoked, twelve (12) months’ base salary, plus your annual bonus at 100% of target prorated for the period of the bonus year you have completed at the time your employment terminates,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pStyle w:val="TextBody"/>
        <w:spacing w:lineRule="auto" w:line="240" w:before="0" w:after="240"/>
        <w:ind w:left="0" w:right="0" w:firstLine="1980"/>
        <w:jc w:val="both"/>
        <w:rPr/>
      </w:pPr>
      <w:r>
        <w:rPr>
          <w:rFonts w:ascii="Times New Roman;sans-serif" w:hAnsi="Times New Roman;sans-serif"/>
          <w:b w:val="false"/>
          <w:color w:val="000000"/>
          <w:sz w:val="24"/>
        </w:rPr>
        <w:t>ii.    </w:t>
      </w:r>
      <w:r>
        <w:rPr>
          <w:rFonts w:ascii="Times New Roman;sans-serif" w:hAnsi="Times New Roman;sans-serif"/>
          <w:b w:val="false"/>
          <w:i/>
          <w:color w:val="000000"/>
          <w:sz w:val="24"/>
        </w:rPr>
        <w:t>In connection with the Change in Control Period.</w:t>
      </w:r>
      <w:r>
        <w:rPr>
          <w:color w:val="000000"/>
        </w:rPr>
        <w:t xml:space="preserve"> </w:t>
      </w:r>
      <w:r>
        <w:rPr>
          <w:rFonts w:ascii="Times New Roman;sans-serif" w:hAnsi="Times New Roman;sans-serif"/>
          <w:b w:val="false"/>
          <w:color w:val="000000"/>
          <w:sz w:val="24"/>
        </w:rPr>
        <w:t xml:space="preserve">If your employment with Tempest is terminated (x) by Tempest for any reason other than Cause, or (y) by you for Good Reason during the Change in Control Period, Tempest will pay you (1) the Accrued Benefits; (2) subject to your compliance with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below, after the execution and delivery of the Separation Agreement and General Release and the expiration of any revocation period without the release being revoked, eighteen (18) months’ base salary, plus your annual bonus at one hundred fifty percent (150%) of target, less standard deductions, payable in a single lump sum on the 60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following the termination of your employment; and (3) if you elect to continue your health insurance coverage pursuant to your rights under COBRA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8"/>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following the termination of your employment, your monthly premium under COBRA on a monthly basis until the earlier of (x) eighteen (18)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w:t>
      </w:r>
    </w:p>
    <w:p>
      <w:pPr>
        <w:pStyle w:val="TextBody"/>
        <w:spacing w:lineRule="auto" w:line="240" w:before="0" w:after="240"/>
        <w:ind w:left="0" w:right="0" w:firstLine="1440"/>
        <w:jc w:val="both"/>
        <w:rPr/>
      </w:pPr>
      <w:r>
        <w:rPr>
          <w:rFonts w:ascii="Times New Roman;sans-serif" w:hAnsi="Times New Roman;sans-serif"/>
          <w:b w:val="false"/>
          <w:color w:val="000000"/>
          <w:sz w:val="24"/>
        </w:rPr>
        <w:t>c.     </w:t>
      </w:r>
      <w:r>
        <w:rPr>
          <w:rFonts w:ascii="Times New Roman;sans-serif" w:hAnsi="Times New Roman;sans-serif"/>
          <w:b w:val="false"/>
          <w:i/>
          <w:color w:val="000000"/>
          <w:sz w:val="24"/>
        </w:rPr>
        <w:t>Eligibility for Severance</w:t>
      </w:r>
      <w:r>
        <w:rPr>
          <w:rFonts w:ascii="Times New Roman;sans-serif" w:hAnsi="Times New Roman;sans-serif"/>
          <w:b w:val="false"/>
          <w:color w:val="000000"/>
          <w:sz w:val="24"/>
        </w:rPr>
        <w:t xml:space="preserve">. Eligibility for receipt of the items in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above, shall be conditioned on your (i) returning to Tempest promptly upon termination of your employment all of its property, including confidential information and all electronically stored information, and (ii) signing and not revoking the Separation Agreement and General Release within the applicable deadline set forth therein, but in no event later than forty-five (45) calendar days following your employment termination date. No benefits set forth in Section 4(b) above will be paid or provided hereunder prior to the effective date of the Separation Agreement and General Release (other than any Accrued Benefits required to be paid).</w:t>
      </w:r>
    </w:p>
    <w:p>
      <w:pPr>
        <w:pStyle w:val="TextBody"/>
        <w:spacing w:lineRule="auto" w:line="240" w:before="0" w:after="240"/>
        <w:ind w:left="0" w:right="0" w:firstLine="1440"/>
        <w:jc w:val="both"/>
        <w:rPr/>
      </w:pPr>
      <w:r>
        <w:rPr>
          <w:rFonts w:ascii="Times New Roman;sans-serif" w:hAnsi="Times New Roman;sans-serif"/>
          <w:b w:val="false"/>
          <w:color w:val="000000"/>
          <w:sz w:val="24"/>
        </w:rPr>
        <w:t>d.     </w:t>
      </w:r>
      <w:r>
        <w:rPr>
          <w:rFonts w:ascii="Times New Roman;sans-serif" w:hAnsi="Times New Roman;sans-serif"/>
          <w:b w:val="false"/>
          <w:i/>
          <w:color w:val="000000"/>
          <w:sz w:val="24"/>
        </w:rPr>
        <w:t>Accrued Benefits</w:t>
      </w:r>
      <w:r>
        <w:rPr>
          <w:rFonts w:ascii="Times New Roman;sans-serif" w:hAnsi="Times New Roman;sans-serif"/>
          <w:b w:val="false"/>
          <w:color w:val="000000"/>
          <w:sz w:val="24"/>
        </w:rPr>
        <w:t xml:space="preserve">. The Accrued Benefits shall be paid to you (or your estate in the event of your death) upon termination of employment regardless of the circumstances giving rise to such termination. </w:t>
      </w:r>
    </w:p>
    <w:p>
      <w:pPr>
        <w:pStyle w:val="TextBody"/>
        <w:spacing w:lineRule="auto" w:line="240" w:before="0" w:after="240"/>
        <w:ind w:left="0" w:right="0" w:firstLine="720"/>
        <w:jc w:val="both"/>
        <w:rPr/>
      </w:pPr>
      <w:r>
        <w:rPr>
          <w:rFonts w:ascii="Times New Roman;sans-serif" w:hAnsi="Times New Roman;sans-serif"/>
          <w:b w:val="false"/>
          <w:color w:val="000000"/>
          <w:sz w:val="24"/>
        </w:rPr>
        <w:t>5.     </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Your employment with Tempest is at will, meaning it may be terminated by you or Tempest at any time, subject to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above, for any reason with or without Cause. You understand that this Agreement is not a contract for employment for a definite term. </w:t>
      </w:r>
    </w:p>
    <w:p>
      <w:pPr>
        <w:pStyle w:val="TextBody"/>
        <w:spacing w:lineRule="auto" w:line="240" w:before="0" w:after="240"/>
        <w:ind w:left="0" w:right="0" w:firstLine="720"/>
        <w:jc w:val="both"/>
        <w:rPr/>
      </w:pPr>
      <w:r>
        <w:rPr>
          <w:rFonts w:ascii="Times New Roman;sans-serif" w:hAnsi="Times New Roman;sans-serif"/>
          <w:b w:val="false"/>
          <w:color w:val="000000"/>
          <w:sz w:val="24"/>
        </w:rPr>
        <w:t>6.     </w:t>
      </w:r>
      <w:r>
        <w:rPr>
          <w:rFonts w:ascii="Times New Roman;sans-serif" w:hAnsi="Times New Roman;sans-serif"/>
          <w:b w:val="false"/>
          <w:color w:val="000000"/>
          <w:sz w:val="24"/>
          <w:u w:val="single"/>
        </w:rPr>
        <w:t>Employee Proprietary Information and Inventions Agreement</w:t>
      </w:r>
      <w:r>
        <w:rPr>
          <w:rFonts w:ascii="Times New Roman;sans-serif" w:hAnsi="Times New Roman;sans-serif"/>
          <w:b w:val="false"/>
          <w:color w:val="000000"/>
          <w:sz w:val="24"/>
        </w:rPr>
        <w:t>. Your Employee Proprietary Information and Inventions Agreement (the “</w:t>
      </w:r>
      <w:r>
        <w:rPr>
          <w:rFonts w:ascii="Times New Roman;sans-serif" w:hAnsi="Times New Roman;sans-serif"/>
          <w:b/>
          <w:i/>
          <w:color w:val="000000"/>
          <w:sz w:val="24"/>
        </w:rPr>
        <w:t>PIIA</w:t>
      </w:r>
      <w:r>
        <w:rPr>
          <w:color w:val="000000"/>
        </w:rPr>
        <w:t>”</w:t>
      </w:r>
      <w:r>
        <w:rPr>
          <w:rFonts w:ascii="Times New Roman;sans-serif" w:hAnsi="Times New Roman;sans-serif"/>
          <w:b w:val="false"/>
          <w:color w:val="000000"/>
          <w:sz w:val="24"/>
        </w:rPr>
        <w:t xml:space="preserve">) is attached hereto as </w:t>
      </w:r>
      <w:r>
        <w:rPr>
          <w:rFonts w:ascii="Times New Roman;sans-serif" w:hAnsi="Times New Roman;sans-serif"/>
          <w:b w:val="false"/>
          <w:color w:val="000000"/>
          <w:sz w:val="24"/>
          <w:u w:val="single"/>
        </w:rPr>
        <w:t>Appendix B</w:t>
      </w:r>
      <w:r>
        <w:rPr>
          <w:rFonts w:ascii="Times New Roman;sans-serif" w:hAnsi="Times New Roman;sans-serif"/>
          <w:b w:val="false"/>
          <w:color w:val="000000"/>
          <w:sz w:val="24"/>
        </w:rPr>
        <w:t>, and is incorporated herein by reference with respect to the matters set forth therein. In the event of a conflict between this Agreement and PIIA, this Agreement shall control.</w:t>
      </w:r>
    </w:p>
    <w:p>
      <w:pPr>
        <w:pStyle w:val="TextBody"/>
        <w:spacing w:lineRule="auto" w:line="240" w:before="0" w:after="240"/>
        <w:ind w:left="0" w:right="0" w:firstLine="720"/>
        <w:jc w:val="both"/>
        <w:rPr/>
      </w:pPr>
      <w:r>
        <w:rPr>
          <w:rFonts w:ascii="Times New Roman;sans-serif" w:hAnsi="Times New Roman;sans-serif"/>
          <w:b w:val="false"/>
          <w:color w:val="000000"/>
          <w:sz w:val="24"/>
        </w:rPr>
        <w:t>7.     </w:t>
      </w:r>
      <w:r>
        <w:rPr>
          <w:rFonts w:ascii="Times New Roman;sans-serif" w:hAnsi="Times New Roman;sans-serif"/>
          <w:b w:val="false"/>
          <w:color w:val="000000"/>
          <w:sz w:val="24"/>
          <w:u w:val="single"/>
        </w:rPr>
        <w:t>No Inconsistent Obligations</w:t>
      </w:r>
      <w:r>
        <w:rPr>
          <w:rFonts w:ascii="Times New Roman;sans-serif" w:hAnsi="Times New Roman;sans-serif"/>
          <w:b w:val="false"/>
          <w:color w:val="000000"/>
          <w:sz w:val="24"/>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pStyle w:val="TextBody"/>
        <w:spacing w:lineRule="auto" w:line="240" w:before="0" w:after="240"/>
        <w:ind w:left="0" w:right="0" w:firstLine="720"/>
        <w:jc w:val="both"/>
        <w:rPr/>
      </w:pPr>
      <w:r>
        <w:rPr>
          <w:rFonts w:ascii="Times New Roman;sans-serif" w:hAnsi="Times New Roman;sans-serif"/>
          <w:b w:val="false"/>
          <w:color w:val="000000"/>
          <w:sz w:val="24"/>
        </w:rPr>
        <w:t>8.     </w:t>
      </w:r>
      <w:r>
        <w:rPr>
          <w:rFonts w:ascii="Times New Roman;sans-serif" w:hAnsi="Times New Roman;sans-serif"/>
          <w:b w:val="false"/>
          <w:color w:val="000000"/>
          <w:sz w:val="24"/>
          <w:u w:val="single"/>
        </w:rPr>
        <w:t>Delayed Commencement Date for Payments and Benefits</w:t>
      </w:r>
      <w:r>
        <w:rPr>
          <w:rFonts w:ascii="Times New Roman;sans-serif" w:hAnsi="Times New Roman;sans-serif"/>
          <w:b w:val="false"/>
          <w:color w:val="000000"/>
          <w:sz w:val="24"/>
        </w:rPr>
        <w:t xml:space="preserve">. </w:t>
      </w:r>
    </w:p>
    <w:p>
      <w:pPr>
        <w:pStyle w:val="TextBody"/>
        <w:spacing w:lineRule="auto" w:line="280" w:before="0" w:after="240"/>
        <w:ind w:left="0" w:right="0" w:firstLine="1440"/>
        <w:jc w:val="both"/>
        <w:rPr/>
      </w:pPr>
      <w:r>
        <w:rPr>
          <w:rFonts w:ascii="Times New Roman;sans-serif" w:hAnsi="Times New Roman;sans-serif"/>
          <w:b w:val="false"/>
          <w:color w:val="000000"/>
          <w:sz w:val="24"/>
        </w:rPr>
        <w:t>a.     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sans-serif" w:hAnsi="Times New Roman;sans-serif"/>
          <w:b/>
          <w:i/>
          <w:color w:val="000000"/>
          <w:sz w:val="24"/>
        </w:rPr>
        <w:t>Code Section 409A</w:t>
      </w:r>
      <w:r>
        <w:rPr>
          <w:color w:val="000000"/>
        </w:rPr>
        <w:t>”</w:t>
      </w:r>
      <w:r>
        <w:rPr>
          <w:rFonts w:ascii="Times New Roman;sans-serif" w:hAnsi="Times New Roman;sans-serif"/>
          <w:b w:val="false"/>
          <w:color w:val="000000"/>
          <w:sz w:val="24"/>
        </w:rPr>
        <w:t xml:space="preserve">) and, accordingly, to the maximum extent permitted, this Agreement shall be interpreted to 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9"/>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v:rect>
            </w:pict>
          </mc:Fallback>
        </mc:AlternateContent>
      </w:r>
    </w:p>
    <w:p>
      <w:pPr>
        <w:pStyle w:val="TextBody"/>
        <w:spacing w:lineRule="auto" w:line="28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409A, such modification shall be made in good faith and shall, to the maximum extent reasonably possible, maintain the original intent and economic benefit to you and Tempest of the applicable provision without violating the provisions of Code Section 409A.</w:t>
      </w:r>
    </w:p>
    <w:p>
      <w:pPr>
        <w:pStyle w:val="TextBody"/>
        <w:spacing w:lineRule="auto" w:line="280" w:before="0" w:after="240"/>
        <w:ind w:left="0" w:right="0" w:firstLine="1440"/>
        <w:jc w:val="both"/>
        <w:rPr/>
      </w:pPr>
      <w:r>
        <w:rPr>
          <w:rFonts w:ascii="Times New Roman;sans-serif" w:hAnsi="Times New Roman;sans-serif"/>
          <w:b w:val="false"/>
          <w:color w:val="000000"/>
          <w:sz w:val="24"/>
        </w:rPr>
        <w:t xml:space="preserve">b.     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Times New Roman;sans-serif" w:hAnsi="Times New Roman;sans-serif"/>
          <w:b w:val="false"/>
          <w:color w:val="000000"/>
          <w:sz w:val="24"/>
          <w:u w:val="single"/>
        </w:rPr>
        <w:t>Section 8(b)</w:t>
      </w:r>
      <w:r>
        <w:rPr>
          <w:color w:val="000000"/>
        </w:rPr>
        <w:t xml:space="preserve"> </w:t>
      </w:r>
      <w:r>
        <w:rPr>
          <w:rFonts w:ascii="Times New Roman;sans-serif" w:hAnsi="Times New Roman;sans-serif"/>
          <w:b w:val="false"/>
          <w:color w:val="000000"/>
          <w:sz w:val="24"/>
        </w:rPr>
        <w:t xml:space="preserve">(whether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 In addition to the above, to the extent required to comply with Code Section 409A and the applicable regulations and guidance issued thereunder, if the applicable deadline for you to execute (and not revoke) the applicable Separation Agreement and General Release spans two calendar years, your severance benefits set forth in Section 4(b) above shall commence to be paid on the first regularly scheduled payroll date that occurs in the second calendar year. </w:t>
      </w:r>
    </w:p>
    <w:p>
      <w:pPr>
        <w:pStyle w:val="TextBody"/>
        <w:spacing w:lineRule="auto" w:line="280" w:before="0" w:after="240"/>
        <w:ind w:left="0" w:right="0" w:firstLine="1440"/>
        <w:jc w:val="both"/>
        <w:rPr/>
      </w:pPr>
      <w:r>
        <w:rPr>
          <w:rFonts w:ascii="Times New Roman;sans-serif" w:hAnsi="Times New Roman;sans-serif"/>
          <w:b w:val="false"/>
          <w:color w:val="000000"/>
          <w:sz w:val="24"/>
        </w:rPr>
        <w:t>c.     For purposes of Code Section 409A, your right to receive any installment</w:t>
        <w:br/>
        <w:t>payment pursuant to this Agreement shall be treated as a right to receive a series of separate and distinct payments. Whenever a payment under this Agreement specifies a payment period with reference to a number of days (</w:t>
      </w:r>
      <w:r>
        <w:rPr>
          <w:rFonts w:ascii="Times New Roman;sans-serif" w:hAnsi="Times New Roman;sans-serif"/>
          <w:b w:val="false"/>
          <w:i/>
          <w:color w:val="000000"/>
          <w:sz w:val="24"/>
        </w:rPr>
        <w:t>e.g.</w:t>
      </w:r>
      <w:r>
        <w:rPr>
          <w:rFonts w:ascii="Times New Roman;sans-serif" w:hAnsi="Times New Roman;sans-serif"/>
          <w:b w:val="false"/>
          <w:color w:val="000000"/>
          <w:sz w:val="24"/>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pStyle w:val="TextBody"/>
        <w:spacing w:lineRule="auto" w:line="28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     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70"/>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v:rect>
            </w:pict>
          </mc:Fallback>
        </mc:AlternateContent>
      </w:r>
    </w:p>
    <w:p>
      <w:pPr>
        <w:pStyle w:val="TextBody"/>
        <w:spacing w:lineRule="auto" w:line="28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w:t>
      </w:r>
    </w:p>
    <w:p>
      <w:pPr>
        <w:pStyle w:val="TextBody"/>
        <w:spacing w:lineRule="auto" w:line="28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     If under this Agreement an amount is to be paid in installments, each installment shall be treated as a separate payment for purposes of Treasury Regulation Section 1.409A-2(b)(2)(iii). </w:t>
      </w:r>
    </w:p>
    <w:p>
      <w:pPr>
        <w:pStyle w:val="TextBody"/>
        <w:spacing w:lineRule="auto" w:line="240"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280G</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Times New Roman;sans-serif" w:hAnsi="Times New Roman;sans-serif"/>
          <w:b/>
          <w:i/>
          <w:color w:val="000000"/>
          <w:sz w:val="24"/>
        </w:rPr>
        <w:t>Aggregate Payments</w:t>
      </w:r>
      <w:r>
        <w:rPr>
          <w:color w:val="000000"/>
        </w:rPr>
        <w:t>”</w:t>
      </w:r>
      <w:r>
        <w:rPr>
          <w:rFonts w:ascii="Times New Roman;sans-serif" w:hAnsi="Times New Roman;sans-serif"/>
          <w:b w:val="false"/>
          <w:color w:val="000000"/>
          <w:sz w:val="24"/>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sans-serif" w:hAnsi="Times New Roman;sans-serif"/>
          <w:b/>
          <w:i/>
          <w:color w:val="000000"/>
          <w:sz w:val="24"/>
        </w:rPr>
        <w:t>After Tax Amount</w:t>
      </w:r>
      <w:r>
        <w:rPr>
          <w:color w:val="000000"/>
        </w:rPr>
        <w:t xml:space="preserve">” </w:t>
      </w:r>
      <w:r>
        <w:rPr>
          <w:rFonts w:ascii="Times New Roman;sans-serif" w:hAnsi="Times New Roman;sans-serif"/>
          <w:b w:val="false"/>
          <w:color w:val="000000"/>
          <w:sz w:val="24"/>
        </w:rPr>
        <w:t xml:space="preserve">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will be exempt from the excise taxes imposed under Sections 280G and 4999 of the Code, Tempest shall use its reasonable best efforts to obtain such approval. </w:t>
      </w:r>
    </w:p>
    <w:p>
      <w:pPr>
        <w:pStyle w:val="TextBody"/>
        <w:spacing w:lineRule="auto" w:line="240" w:before="0" w:after="240"/>
        <w:jc w:val="both"/>
        <w:rPr/>
      </w:pPr>
      <w:r>
        <w:rPr>
          <w:rFonts w:ascii="Times New Roman;sans-serif" w:hAnsi="Times New Roman;sans-serif"/>
          <w:b w:val="false"/>
          <w:color w:val="000000"/>
          <w:sz w:val="24"/>
        </w:rPr>
        <w:t>10.    </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w:t>
      </w:r>
    </w:p>
    <w:p>
      <w:pPr>
        <w:pStyle w:val="TextBody"/>
        <w:spacing w:lineRule="auto" w:line="28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This offer of employment is made subject to you having the legal right to work in the United States. </w:t>
      </w:r>
    </w:p>
    <w:p>
      <w:pPr>
        <w:pStyle w:val="TextBody"/>
        <w:spacing w:lineRule="auto" w:line="28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b.     Your employment with Tempest is subject to all Company policies and procedures, and Tempest retains the right to change its policies or procedures at any time.</w:t>
      </w:r>
    </w:p>
    <w:p>
      <w:pPr>
        <w:pStyle w:val="TextBody"/>
        <w:spacing w:lineRule="auto" w:line="28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c.     This Agreement may be executed in several counterparts, each of which shall be deemed to be an original but all of which together will constitute one and the same instrument.</w:t>
      </w:r>
    </w:p>
    <w:p>
      <w:pPr>
        <w:pStyle w:val="TextBody"/>
        <w:spacing w:lineRule="auto" w:line="28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d.     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pStyle w:val="TextBody"/>
        <w:spacing w:lineRule="auto" w:line="28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e.     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spacing w:lineRule="auto" w:line="280" w:before="0" w:after="240"/>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f.     The validity, interpretation, construction and performance of this Agreement shall be governed by the laws of the State of California without regard to the choice of law principles thereof.</w:t>
      </w:r>
    </w:p>
    <w:p>
      <w:pPr>
        <w:pStyle w:val="TextBody"/>
        <w:spacing w:before="0" w:after="240"/>
        <w:jc w:val="both"/>
        <w:rPr/>
      </w:pPr>
      <w:r>
        <w:rPr/>
      </w:r>
    </w:p>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Page Intentionally Left Blank]</w:t>
      </w:r>
    </w:p>
    <w:p>
      <w:pPr>
        <w:pStyle w:val="TextBody"/>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2"/>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foregoing is acceptable, please indicate your agreement by signing below and returning the original signed Agreement (keeping a copy for your own records) to me on or before January 19, 2021. If you have any further questions or require additional information, please feel free to contact me.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TEMPEST THERAPEUTICS, INC.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Thomas Dubensky, Jr.            </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Thomas Dubensky, Jr.</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President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ACCEPTED AND AGREED</w:t>
      </w:r>
      <w:r>
        <w:rPr>
          <w:rFonts w:ascii="Times New Roman;sans-serif" w:hAnsi="Times New Roman;sans-serif"/>
          <w:b/>
          <w:color w:val="000000"/>
          <w:sz w:val="24"/>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Stephen R. Brady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Stephen R. Brady</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Date:</w:t>
      </w:r>
      <w:r>
        <w:rPr>
          <w:color w:val="000000"/>
          <w:u w:val="single"/>
        </w:rPr>
        <w:t>    </w:t>
      </w:r>
      <w:r>
        <w:rPr>
          <w:rFonts w:ascii="Times New Roman;sans-serif" w:hAnsi="Times New Roman;sans-serif"/>
          <w:b w:val="false"/>
          <w:color w:val="000000"/>
          <w:sz w:val="24"/>
          <w:u w:val="single"/>
        </w:rPr>
        <w:t>January 18, 2022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Appendices:    Appendix A — Approved Activities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Appendix B — Separation Agreement and General Release</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Appendix C — Confidentiality and Proprietary Rights Agreement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Tempest Therapeutics,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7000 Shoreline Court, Suite 275</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South San Francisco, California 94080</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January 12, 2022</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4"/>
        </w:rPr>
      </w:pPr>
      <w:r>
        <w:rPr>
          <w:rFonts w:ascii="Times New Roman;sans-serif" w:hAnsi="Times New Roman;sans-serif"/>
          <w:b/>
          <w:i/>
          <w:color w:val="000000"/>
          <w:sz w:val="24"/>
        </w:rPr>
        <w:t>Via Email Only</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TDUBENSKY@TEMPESTTX.COM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Tom Dubensky, Ph.D.</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EXECUTIVE EMPLOYMENT AGREEMENT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Tom:</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val="false"/>
          <w:color w:val="000000"/>
          <w:sz w:val="24"/>
        </w:rPr>
        <w:t>On behalf of Tempest Therapeutics, Inc. (“</w:t>
      </w:r>
      <w:r>
        <w:rPr>
          <w:rFonts w:ascii="Times New Roman;sans-serif" w:hAnsi="Times New Roman;sans-serif"/>
          <w:b/>
          <w:i/>
          <w:color w:val="000000"/>
          <w:sz w:val="24"/>
        </w:rPr>
        <w:t>Tempest</w:t>
      </w:r>
      <w:r>
        <w:rPr>
          <w:color w:val="000000"/>
        </w:rPr>
        <w:t>”</w:t>
      </w:r>
      <w:r>
        <w:rPr>
          <w:rFonts w:ascii="Times New Roman;sans-serif" w:hAnsi="Times New Roman;sans-serif"/>
          <w:b w:val="false"/>
          <w:color w:val="000000"/>
          <w:sz w:val="24"/>
        </w:rPr>
        <w:t>, or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it is my pleasure to confirm the terms and conditions of your continued employment as Tempest’s President, reporting to the Company’s Chief Executive Officer (the “</w:t>
      </w:r>
      <w:r>
        <w:rPr>
          <w:rFonts w:ascii="Times New Roman;sans-serif" w:hAnsi="Times New Roman;sans-serif"/>
          <w:b/>
          <w:i/>
          <w:color w:val="000000"/>
          <w:sz w:val="24"/>
        </w:rPr>
        <w:t>CEO</w:t>
      </w:r>
      <w:r>
        <w:rPr>
          <w:color w:val="000000"/>
        </w:rPr>
        <w:t>”</w:t>
      </w:r>
      <w:r>
        <w:rPr>
          <w:rFonts w:ascii="Times New Roman;sans-serif" w:hAnsi="Times New Roman;sans-serif"/>
          <w:b w:val="false"/>
          <w:color w:val="000000"/>
          <w:sz w:val="24"/>
        </w:rPr>
        <w:t xml:space="preserve">). During your employment with Tempest, you will devote substantially all of your professional efforts to the business of Tempest, except that you may engage in the business activities described on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of this employment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and other activities that may be approved in advance by the Company’s Chief Executive Officer, with advice from the Board (which together with the activities set forth on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spacing w:lineRule="auto" w:line="240" w:before="0" w:after="240"/>
        <w:jc w:val="both"/>
        <w:rPr/>
      </w:pPr>
      <w:r>
        <w:rPr>
          <w:rFonts w:ascii="Times New Roman;sans-serif" w:hAnsi="Times New Roman;sans-serif"/>
          <w:b w:val="false"/>
          <w:color w:val="000000"/>
          <w:sz w:val="24"/>
        </w:rPr>
        <w:t>This Agreement supersedes, amends and restates in all respects all prior agreements and understandings between you and the Company regarding the subject matter herein. The date on which you sign this Agreement is referred to herein as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intended to summarize some of the terms and conditions of your employment.</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Location</w:t>
      </w:r>
      <w:r>
        <w:rPr>
          <w:rFonts w:ascii="Times New Roman;sans-serif" w:hAnsi="Times New Roman;sans-serif"/>
          <w:b w:val="false"/>
          <w:color w:val="000000"/>
          <w:sz w:val="24"/>
        </w:rPr>
        <w:t>. Your place of employment will be at Tempest’s principal offices, currently located in South San Francisco, California. You will be required to work from this location as reasonably determined by the Company in accordance with its “work from home,” and “work from office” policies, taking into account relevant factors of your responsibilities</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Base Salary</w:t>
      </w:r>
      <w:r>
        <w:rPr>
          <w:rFonts w:ascii="Times New Roman;sans-serif" w:hAnsi="Times New Roman;sans-serif"/>
          <w:b w:val="false"/>
          <w:color w:val="000000"/>
          <w:sz w:val="24"/>
        </w:rPr>
        <w:t>. Your annualized base salary rate is $489,541, less standard deductions and withholding and payable bi-weekly in accordance with Tempest’s regular payroll practices. Your salary shall be reviewed annually and may be adjusted in connection with any such review.</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Bonus Program</w:t>
      </w:r>
      <w:r>
        <w:rPr>
          <w:rFonts w:ascii="Times New Roman;sans-serif" w:hAnsi="Times New Roman;sans-serif"/>
          <w:b w:val="false"/>
          <w:color w:val="000000"/>
          <w:sz w:val="24"/>
        </w:rPr>
        <w:t>. You will be eligible for an annual target bonus of forty percent (50%) of your annual base salary, as determined by the Board in its sole discretion based upon, among other things, the achievement of pre-determined performance milestones. Any annual bonus, if earned, shall be paid no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year immediately following the year to which the applicable annual bonus relates.</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Option Grants</w:t>
      </w:r>
      <w:r>
        <w:rPr>
          <w:rFonts w:ascii="Times New Roman;sans-serif" w:hAnsi="Times New Roman;sans-serif"/>
          <w:b w:val="false"/>
          <w:color w:val="000000"/>
          <w:sz w:val="24"/>
        </w:rPr>
        <w:t xml:space="preserve">. As of the Effective Date, you acknowledge that you have outstanding options to purchase 175,601 shares of Tempest’s common stock (the “Option”), vesting in accordance with the terms of the grant agreements therefor, and otherwise in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77495"/>
                <wp:effectExtent l="0" t="0" r="0" b="0"/>
                <wp:wrapNone/>
                <wp:docPr id="74" name="Frame74"/>
                <a:graphic xmlns:a="http://schemas.openxmlformats.org/drawingml/2006/main">
                  <a:graphicData uri="http://schemas.microsoft.com/office/word/2010/wordprocessingShape">
                    <wps:wsp>
                      <wps:cNvSpPr txBox="1"/>
                      <wps:spPr>
                        <a:xfrm>
                          <a:off x="0" y="0"/>
                          <a:ext cx="6480175" cy="277495"/>
                        </a:xfrm>
                        <a:prstGeom prst="rect"/>
                      </wps:spPr>
                      <wps:txb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accordance with this Agreement. You also may be granted other stock options in the course of providing services to the Company (collectively with the Option, the “</w:t>
      </w:r>
      <w:r>
        <w:rPr>
          <w:rFonts w:ascii="Times New Roman;sans-serif" w:hAnsi="Times New Roman;sans-serif"/>
          <w:b/>
          <w:i/>
          <w:color w:val="000000"/>
          <w:sz w:val="24"/>
        </w:rPr>
        <w:t>Stock Option Grants</w:t>
      </w:r>
      <w:r>
        <w:rPr>
          <w:color w:val="000000"/>
        </w:rPr>
        <w:t>”</w:t>
      </w:r>
      <w:r>
        <w:rPr>
          <w:rFonts w:ascii="Times New Roman;sans-serif" w:hAnsi="Times New Roman;sans-serif"/>
          <w:b w:val="false"/>
          <w:color w:val="000000"/>
          <w:sz w:val="24"/>
        </w:rPr>
        <w:t>). The Stock Option Grants are also subject to the terms of Tempest’s equity incentive arrangements, including its customary Incentive Stock Option (ISO) Grant Agreement. In the event that (i) the Company consummates a Change in Control (as defined below), and (ii) the Stock Option Grants are not otherwise vested, then one hundred percent (100%) of remaining shares subject to the Stock Option Grants shall vest in full on the date immediately prior to the effective date of the Change in Control, subject to your continuous employment through such vesting date.</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 xml:space="preserve">Withholding. </w:t>
      </w:r>
      <w:r>
        <w:rPr>
          <w:rFonts w:ascii="Times New Roman;sans-serif" w:hAnsi="Times New Roman;sans-serif"/>
          <w:b w:val="false"/>
          <w:color w:val="000000"/>
          <w:sz w:val="24"/>
        </w:rPr>
        <w:t>Tempest shall withhold from any compensation or benefits payable to you by Tempest any federal, state and/or local income, employment and/or other similar taxes as may be required to be withheld pursuant to any applicable law or regulation.</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Other</w:t>
      </w:r>
      <w:r>
        <w:rPr>
          <w:rFonts w:ascii="Times New Roman;sans-serif" w:hAnsi="Times New Roman;sans-serif"/>
          <w:b w:val="false"/>
          <w:color w:val="000000"/>
          <w:sz w:val="24"/>
        </w:rPr>
        <w:t>. You will be eligible to participate in the benefits to be offered by Tempest on the same terms and 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Expenses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Tempest shall reimburse you for all reasonable expenses of the type authorized by Tempest and incurred by you in the performance of your duties under this Agreement, all in accordance with the Company’s reimbursement policies.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is the case of all employee benefits, such benefits will be governed by the terms and conditions of applicable Tempest plans or policies, which are subject to change or discontinuation at any time.</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Definitions.</w:t>
      </w:r>
      <w:r>
        <w:rPr>
          <w:color w:val="000000"/>
        </w:rPr>
        <w:t xml:space="preserve"> </w:t>
      </w:r>
      <w:r>
        <w:rPr>
          <w:rFonts w:ascii="Times New Roman;sans-serif" w:hAnsi="Times New Roman;sans-serif"/>
          <w:b w:val="false"/>
          <w:color w:val="000000"/>
          <w:sz w:val="24"/>
        </w:rPr>
        <w:t xml:space="preserve">For purposes of this Agreement: </w:t>
      </w:r>
    </w:p>
    <w:p>
      <w:pPr>
        <w:pStyle w:val="TextBody"/>
        <w:spacing w:lineRule="auto" w:line="240" w:before="0" w:after="240"/>
        <w:ind w:left="0" w:right="0" w:firstLine="234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Accrued Benefits</w:t>
      </w:r>
      <w:r>
        <w:rPr>
          <w:color w:val="000000"/>
        </w:rPr>
        <w:t xml:space="preserve">” </w:t>
      </w:r>
      <w:r>
        <w:rPr>
          <w:rFonts w:ascii="Times New Roman;sans-serif" w:hAnsi="Times New Roman;sans-serif"/>
          <w:b w:val="false"/>
          <w:color w:val="000000"/>
          <w:sz w:val="24"/>
        </w:rPr>
        <w:t xml:space="preserve">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 </w:t>
      </w:r>
    </w:p>
    <w:p>
      <w:pPr>
        <w:pStyle w:val="TextBody"/>
        <w:spacing w:lineRule="auto" w:line="240" w:before="0" w:after="240"/>
        <w:ind w:left="0" w:right="0" w:firstLine="2160"/>
        <w:jc w:val="both"/>
        <w:rPr/>
      </w:pPr>
      <w:r>
        <w:rPr>
          <w:rFonts w:ascii="Times New Roman;sans-serif" w:hAnsi="Times New Roman;sans-serif"/>
          <w:b w:val="false"/>
          <w:color w:val="000000"/>
          <w:sz w:val="24"/>
        </w:rPr>
        <w:t>ii.</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30 days after written notice given to you by Tempest, except in the case of your physical or mental illness; (ii) disloyalty, gross negligence, willful misconduct, or dishonesty that materially injures Tempest or a breach of fiduciary duty to Tempest; (iii) the conviction of (x) a felony or (y) a misdemeanor involving moral turpitude, or fraud;</w:t>
      </w:r>
      <w:r>
        <w:rPr>
          <w:color w:val="000000"/>
        </w:rPr>
        <w:t xml:space="preserve"> </w:t>
      </w:r>
      <w:r>
        <w:rPr>
          <w:rFonts w:ascii="Times New Roman;sans-serif" w:hAnsi="Times New Roman;sans-serif"/>
          <w:b w:val="false"/>
          <w:color w:val="000000"/>
          <w:sz w:val="24"/>
        </w:rPr>
        <w:t xml:space="preserve">(iv) the commission of an act of embezzlement or fraud; or (v) the material breach of any agreement between Tempest and you.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62890"/>
                <wp:effectExtent l="0" t="0" r="0" b="0"/>
                <wp:wrapNone/>
                <wp:docPr id="75" name="Frame75"/>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iii.</w:t>
      </w:r>
      <w:r>
        <w:rPr>
          <w:color w:val="000000"/>
        </w:rPr>
        <w:t>“</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shall have the meaning set forth in the Company’s 2017 Equity Incentive Plan.</w:t>
      </w:r>
    </w:p>
    <w:p>
      <w:pPr>
        <w:pStyle w:val="TextBody"/>
        <w:spacing w:lineRule="auto" w:line="240" w:before="0" w:after="240"/>
        <w:ind w:left="0" w:right="0" w:firstLine="2160"/>
        <w:jc w:val="both"/>
        <w:rPr/>
      </w:pPr>
      <w:r>
        <w:rPr>
          <w:rFonts w:ascii="Times New Roman;sans-serif" w:hAnsi="Times New Roman;sans-serif"/>
          <w:b w:val="false"/>
          <w:color w:val="000000"/>
          <w:sz w:val="24"/>
        </w:rPr>
        <w:t>iv.</w:t>
      </w:r>
      <w:r>
        <w:rPr>
          <w:color w:val="000000"/>
        </w:rPr>
        <w:t>“</w:t>
      </w:r>
      <w:r>
        <w:rPr>
          <w:rFonts w:ascii="Times New Roman;sans-serif" w:hAnsi="Times New Roman;sans-serif"/>
          <w:b/>
          <w:i/>
          <w:color w:val="000000"/>
          <w:sz w:val="24"/>
        </w:rPr>
        <w:t>Change in Control Period</w:t>
      </w:r>
      <w:r>
        <w:rPr>
          <w:color w:val="000000"/>
        </w:rPr>
        <w:t xml:space="preserve">” </w:t>
      </w:r>
      <w:r>
        <w:rPr>
          <w:rFonts w:ascii="Times New Roman;sans-serif" w:hAnsi="Times New Roman;sans-serif"/>
          <w:b w:val="false"/>
          <w:color w:val="000000"/>
          <w:sz w:val="24"/>
        </w:rPr>
        <w:t>means the three (3) month period prior to, and twelve (12) month period following, a Change in Control.</w:t>
      </w:r>
    </w:p>
    <w:p>
      <w:pPr>
        <w:pStyle w:val="TextBody"/>
        <w:spacing w:lineRule="auto" w:line="240" w:before="0" w:after="240"/>
        <w:ind w:left="0" w:right="0" w:firstLine="216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means, without your express written consent, (i) any reduction in your annual base salary other than a reduction which is proportional to general reductions affecting other senior executive officers of Tempest generally, or (ii) any material reduction in your title or scope of responsibilities without your consent (other than your removal from the Board).</w:t>
      </w:r>
    </w:p>
    <w:p>
      <w:pPr>
        <w:pStyle w:val="TextBody"/>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Severance Benefits and Payment</w:t>
      </w:r>
      <w:r>
        <w:rPr>
          <w:rFonts w:ascii="Times New Roman;sans-serif" w:hAnsi="Times New Roman;sans-serif"/>
          <w:b w:val="false"/>
          <w:color w:val="000000"/>
          <w:sz w:val="24"/>
        </w:rPr>
        <w:t xml:space="preserve">. </w:t>
      </w:r>
    </w:p>
    <w:p>
      <w:pPr>
        <w:pStyle w:val="TextBody"/>
        <w:spacing w:lineRule="auto" w:line="240" w:before="0" w:after="240"/>
        <w:ind w:left="0" w:right="0" w:firstLine="1980"/>
        <w:jc w:val="both"/>
        <w:rPr/>
      </w:pPr>
      <w:r>
        <w:rPr>
          <w:rFonts w:ascii="Times New Roman;sans-serif" w:hAnsi="Times New Roman;sans-serif"/>
          <w:b w:val="false"/>
          <w:color w:val="000000"/>
          <w:sz w:val="24"/>
        </w:rPr>
        <w:t>i.</w:t>
      </w:r>
      <w:r>
        <w:rPr>
          <w:rFonts w:ascii="Times New Roman;sans-serif" w:hAnsi="Times New Roman;sans-serif"/>
          <w:b w:val="false"/>
          <w:i/>
          <w:color w:val="000000"/>
          <w:sz w:val="24"/>
        </w:rPr>
        <w:t>Generally</w:t>
      </w:r>
      <w:r>
        <w:rPr>
          <w:rFonts w:ascii="Times New Roman;sans-serif" w:hAnsi="Times New Roman;sans-serif"/>
          <w:b w:val="false"/>
          <w:color w:val="000000"/>
          <w:sz w:val="24"/>
        </w:rPr>
        <w:t xml:space="preserve">. If your employment with Tempest is terminated (x) by Tempest for any reason other than Cause, or (y) by you for Good Reason, Tempest will pay you (1) the Accrued Benefits; (2) subject to your compliance with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below, after the execution and delivery of the Separation Agreement and General Release in substantially the form attached hereto as </w:t>
      </w:r>
      <w:r>
        <w:rPr>
          <w:rFonts w:ascii="Times New Roman;sans-serif" w:hAnsi="Times New Roman;sans-serif"/>
          <w:b w:val="false"/>
          <w:color w:val="000000"/>
          <w:sz w:val="24"/>
          <w:u w:val="single"/>
        </w:rPr>
        <w:t>Appendix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Separation Agreement and General Release</w:t>
      </w:r>
      <w:r>
        <w:rPr>
          <w:color w:val="000000"/>
        </w:rPr>
        <w:t>”</w:t>
      </w:r>
      <w:r>
        <w:rPr>
          <w:rFonts w:ascii="Times New Roman;sans-serif" w:hAnsi="Times New Roman;sans-serif"/>
          <w:b w:val="false"/>
          <w:color w:val="000000"/>
          <w:sz w:val="24"/>
        </w:rPr>
        <w:t>) and the expiration of any revocation period without the release being revoked, twelve (12) months’ base salary, plus your annual bonus at 100% of target prorated for the period of the bonus year you have completed at the time your employment terminates,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pStyle w:val="TextBody"/>
        <w:spacing w:lineRule="auto" w:line="240" w:before="0" w:after="240"/>
        <w:ind w:left="0" w:right="0" w:firstLine="1980"/>
        <w:jc w:val="both"/>
        <w:rPr/>
      </w:pPr>
      <w:r>
        <w:rPr>
          <w:rFonts w:ascii="Times New Roman;sans-serif" w:hAnsi="Times New Roman;sans-serif"/>
          <w:b w:val="false"/>
          <w:color w:val="000000"/>
          <w:sz w:val="24"/>
        </w:rPr>
        <w:t>ii.</w:t>
      </w:r>
      <w:r>
        <w:rPr>
          <w:rFonts w:ascii="Times New Roman;sans-serif" w:hAnsi="Times New Roman;sans-serif"/>
          <w:b w:val="false"/>
          <w:i/>
          <w:color w:val="000000"/>
          <w:sz w:val="24"/>
        </w:rPr>
        <w:t>In connection with the Change in Control Period.</w:t>
      </w:r>
      <w:r>
        <w:rPr>
          <w:color w:val="000000"/>
        </w:rPr>
        <w:t xml:space="preserve"> </w:t>
      </w:r>
      <w:r>
        <w:rPr>
          <w:rFonts w:ascii="Times New Roman;sans-serif" w:hAnsi="Times New Roman;sans-serif"/>
          <w:b w:val="false"/>
          <w:color w:val="000000"/>
          <w:sz w:val="24"/>
        </w:rPr>
        <w:t xml:space="preserve">If your employment with Tempest is terminated (x) by Tempest for any reason other than Cause, or (y) by you for Good Reason during the Change in Control Period, Tempest will pay you (1) the Accrued Benefits; (2) subject to your compliance with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below, after the execution and delivery of the Separation Agreement and General Release and the expiration of any revocation period without the release being revoked, eighteen (18) months’ base salary plus your annual bonus at one hundred percent (100%) of target, less standard deductions, payable in a single lump sum on the 60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following the termination of your employment; and (3) if you elect to continue your health insurance coverage pursuant to your rights under COBRA following the termination of your employment, your monthly premium under COBRA on a monthly basis until the earlier of (x) eighteen (18) months following the effective termination date, or (y) the date upon which you commence full-time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Eligibility for Severance</w:t>
      </w:r>
      <w:r>
        <w:rPr>
          <w:rFonts w:ascii="Times New Roman;sans-serif" w:hAnsi="Times New Roman;sans-serif"/>
          <w:b w:val="false"/>
          <w:color w:val="000000"/>
          <w:sz w:val="24"/>
        </w:rPr>
        <w:t xml:space="preserve">. Eligibility for receipt of the items in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 xml:space="preserve">above, shall be conditioned on your (i) returning to Tempest promptly upon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62890"/>
                <wp:effectExtent l="0" t="0" r="0" b="0"/>
                <wp:wrapNone/>
                <wp:docPr id="76" name="Frame76"/>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termination of your employment all of its property, including confidential information and all electronically stored information, and (ii) signing and not revoking the Separation Agreement and General Release within the applicable deadline set forth therein, but in no event later than forty-five (45) calendar days following your employment termination date. No benefits set forth in Section 4(b) above will be paid or provided hereunder prior to the effective date of the Separation Agreement and General Release (other than any Accrued Benefits required to be paid)..</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Accrued Benefits</w:t>
      </w:r>
      <w:r>
        <w:rPr>
          <w:rFonts w:ascii="Times New Roman;sans-serif" w:hAnsi="Times New Roman;sans-serif"/>
          <w:b w:val="false"/>
          <w:color w:val="000000"/>
          <w:sz w:val="24"/>
        </w:rPr>
        <w:t xml:space="preserve">. The Accrued Benefits shall be paid to you (or your estate in the event of your death) upon termination of employment regardless of the circumstances giving rise to such termination. </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Your employment with Tempest is at will, meaning it may be terminated by you or Tempest at any time, subject to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above, for any reason with or without Cause. You understand that this Agreement is not a contract for employment for a definite term. </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Confidentiality and Proprietary Rights Agreement</w:t>
      </w:r>
      <w:r>
        <w:rPr>
          <w:rFonts w:ascii="Times New Roman;sans-serif" w:hAnsi="Times New Roman;sans-serif"/>
          <w:b w:val="false"/>
          <w:color w:val="000000"/>
          <w:sz w:val="24"/>
        </w:rPr>
        <w:t xml:space="preserve">. This offer of employment is subject to the Confidentiality and Proprietary Rights Agreement attached as </w:t>
      </w:r>
      <w:r>
        <w:rPr>
          <w:rFonts w:ascii="Times New Roman;sans-serif" w:hAnsi="Times New Roman;sans-serif"/>
          <w:b w:val="false"/>
          <w:color w:val="000000"/>
          <w:sz w:val="24"/>
          <w:u w:val="single"/>
        </w:rPr>
        <w:t>Appendix C</w:t>
      </w:r>
      <w:r>
        <w:rPr>
          <w:rFonts w:ascii="Times New Roman;sans-serif" w:hAnsi="Times New Roman;sans-serif"/>
          <w:b w:val="false"/>
          <w:color w:val="000000"/>
          <w:sz w:val="24"/>
        </w:rPr>
        <w:t>, which shall be effective as of the date set forth therein.</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Inconsistent Obligations</w:t>
      </w:r>
      <w:r>
        <w:rPr>
          <w:rFonts w:ascii="Times New Roman;sans-serif" w:hAnsi="Times New Roman;sans-serif"/>
          <w:b w:val="false"/>
          <w:color w:val="000000"/>
          <w:sz w:val="24"/>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pStyle w:val="TextBody"/>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Delayed Commencement Date for Payments and Benefits</w:t>
      </w:r>
      <w:r>
        <w:rPr>
          <w:rFonts w:ascii="Times New Roman;sans-serif" w:hAnsi="Times New Roman;sans-serif"/>
          <w:b w:val="false"/>
          <w:color w:val="000000"/>
          <w:sz w:val="24"/>
        </w:rPr>
        <w:t xml:space="preserve">. </w:t>
      </w:r>
    </w:p>
    <w:p>
      <w:pPr>
        <w:pStyle w:val="TextBody"/>
        <w:spacing w:lineRule="auto" w:line="276" w:before="0" w:after="240"/>
        <w:ind w:left="0" w:right="0" w:firstLine="1440"/>
        <w:jc w:val="both"/>
        <w:rPr/>
      </w:pPr>
      <w:r>
        <w:rPr>
          <w:rFonts w:ascii="Times New Roman;sans-serif" w:hAnsi="Times New Roman;sans-serif"/>
          <w:b w:val="false"/>
          <w:color w:val="000000"/>
          <w:sz w:val="23"/>
        </w:rPr>
        <w:t>a.</w:t>
      </w:r>
      <w:r>
        <w:rPr>
          <w:rFonts w:ascii="Times New Roman;sans-serif" w:hAnsi="Times New Roman;sans-serif"/>
          <w:b w:val="false"/>
          <w:color w:val="000000"/>
          <w:sz w:val="24"/>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sans-serif" w:hAnsi="Times New Roman;sans-serif"/>
          <w:b/>
          <w:i/>
          <w:color w:val="000000"/>
          <w:sz w:val="24"/>
        </w:rPr>
        <w:t>Code Section 409A</w:t>
      </w:r>
      <w:r>
        <w:rPr>
          <w:color w:val="000000"/>
        </w:rPr>
        <w:t>”</w:t>
      </w:r>
      <w:r>
        <w:rPr>
          <w:rFonts w:ascii="Times New Roman;sans-serif" w:hAnsi="Times New Roman;sans-serif"/>
          <w:b w:val="false"/>
          <w:color w:val="000000"/>
          <w:sz w:val="24"/>
        </w:rPr>
        <w:t>) and, accordingly, to the maximum extent permitted, this Agreement shall be interpreted to 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w:t>
      </w:r>
    </w:p>
    <w:p>
      <w:pPr>
        <w:pStyle w:val="TextBody"/>
        <w:spacing w:lineRule="auto" w:line="276" w:before="0" w:after="240"/>
        <w:ind w:left="0" w:right="0" w:firstLine="1440"/>
        <w:jc w:val="both"/>
        <w:rPr/>
      </w:pPr>
      <w:r>
        <w:rPr>
          <w:rFonts w:ascii="Times New Roman;sans-serif" w:hAnsi="Times New Roman;sans-serif"/>
          <w:b w:val="false"/>
          <w:color w:val="000000"/>
          <w:sz w:val="23"/>
        </w:rPr>
        <w:t>b.</w:t>
      </w:r>
      <w:r>
        <w:rPr>
          <w:rFonts w:ascii="Times New Roman;sans-serif" w:hAnsi="Times New Roman;sans-serif"/>
          <w:b w:val="false"/>
          <w:color w:val="000000"/>
          <w:sz w:val="24"/>
        </w:rPr>
        <w:t xml:space="preserve">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62890"/>
                <wp:effectExtent l="0" t="0" r="0" b="0"/>
                <wp:wrapNone/>
                <wp:docPr id="77" name="Frame77"/>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v:textbox>
              </v:rect>
            </w:pict>
          </mc:Fallback>
        </mc:AlternateContent>
      </w:r>
    </w:p>
    <w:p>
      <w:pPr>
        <w:pStyle w:val="TextBody"/>
        <w:spacing w:lineRule="auto" w:line="276" w:before="0" w:after="240"/>
        <w:jc w:val="both"/>
        <w:rPr/>
      </w:pPr>
      <w:r>
        <w:rPr>
          <w:rFonts w:ascii="Times New Roman;sans-serif" w:hAnsi="Times New Roman;sans-serif"/>
          <w:b w:val="false"/>
          <w:color w:val="000000"/>
          <w:sz w:val="24"/>
        </w:rPr>
        <w:t xml:space="preserve">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Times New Roman;sans-serif" w:hAnsi="Times New Roman;sans-serif"/>
          <w:b w:val="false"/>
          <w:color w:val="000000"/>
          <w:sz w:val="24"/>
          <w:u w:val="single"/>
        </w:rPr>
        <w:t>Section 8(b)</w:t>
      </w:r>
      <w:r>
        <w:rPr>
          <w:color w:val="000000"/>
        </w:rPr>
        <w:t xml:space="preserve"> </w:t>
      </w:r>
      <w:r>
        <w:rPr>
          <w:rFonts w:ascii="Times New Roman;sans-serif" w:hAnsi="Times New Roman;sans-serif"/>
          <w:b w:val="false"/>
          <w:color w:val="000000"/>
          <w:sz w:val="24"/>
        </w:rPr>
        <w:t>(whether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 In addition to the above, to the extent required to comply with Code Section 409A and the applicable regulations and guidance issued thereunder, if the applicable deadline for you to execute (and not revoke) the applicable Separation Agreement and General Release spans two calendar years, your severance benefits set forth in Section 4(b) above shall commence to be paid on the first regularly scheduled payroll date that occurs in the second calendar year.</w:t>
      </w:r>
    </w:p>
    <w:p>
      <w:pPr>
        <w:pStyle w:val="TextBody"/>
        <w:spacing w:lineRule="auto" w:line="276" w:before="0" w:after="240"/>
        <w:ind w:left="0" w:right="0" w:firstLine="1440"/>
        <w:jc w:val="both"/>
        <w:rPr/>
      </w:pPr>
      <w:r>
        <w:rPr>
          <w:rFonts w:ascii="Times New Roman;sans-serif" w:hAnsi="Times New Roman;sans-serif"/>
          <w:b w:val="false"/>
          <w:color w:val="000000"/>
          <w:sz w:val="23"/>
        </w:rPr>
        <w:t>c.</w:t>
      </w:r>
      <w:r>
        <w:rPr>
          <w:rFonts w:ascii="Times New Roman;sans-serif" w:hAnsi="Times New Roman;sans-serif"/>
          <w:b w:val="false"/>
          <w:color w:val="000000"/>
          <w:sz w:val="24"/>
        </w:rPr>
        <w:t>For purposes of Code Section 409A, your right to receive any installment</w:t>
        <w:br/>
        <w:t>payment pursuant to this Agreement shall be treated as a right to receive a series of separate and distinct payments. Whenever a payment under this Agreement specifies a payment period with reference to a number of days (</w:t>
      </w:r>
      <w:r>
        <w:rPr>
          <w:rFonts w:ascii="Times New Roman;sans-serif" w:hAnsi="Times New Roman;sans-serif"/>
          <w:b w:val="false"/>
          <w:i/>
          <w:color w:val="000000"/>
          <w:sz w:val="24"/>
        </w:rPr>
        <w:t>e.g.</w:t>
      </w:r>
      <w:r>
        <w:rPr>
          <w:rFonts w:ascii="Times New Roman;sans-serif" w:hAnsi="Times New Roman;sans-serif"/>
          <w:b w:val="false"/>
          <w:color w:val="000000"/>
          <w:sz w:val="24"/>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pStyle w:val="TextBody"/>
        <w:spacing w:lineRule="auto" w:line="276" w:before="0" w:after="240"/>
        <w:ind w:left="0" w:right="0" w:firstLine="1440"/>
        <w:jc w:val="both"/>
        <w:rPr/>
      </w:pPr>
      <w:r>
        <w:rPr>
          <w:rFonts w:ascii="Times New Roman;sans-serif" w:hAnsi="Times New Roman;sans-serif"/>
          <w:b w:val="false"/>
          <w:color w:val="000000"/>
          <w:sz w:val="23"/>
        </w:rPr>
        <w:t>d.</w:t>
      </w:r>
      <w:r>
        <w:rPr>
          <w:rFonts w:ascii="Times New Roman;sans-serif" w:hAnsi="Times New Roman;sans-serif"/>
          <w:b w:val="false"/>
          <w:color w:val="000000"/>
          <w:sz w:val="24"/>
        </w:rPr>
        <w:t xml:space="preserve">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w:t>
      </w:r>
    </w:p>
    <w:p>
      <w:pPr>
        <w:pStyle w:val="TextBody"/>
        <w:spacing w:lineRule="auto" w:line="276" w:before="0" w:after="240"/>
        <w:ind w:left="0" w:right="0" w:firstLine="1440"/>
        <w:jc w:val="both"/>
        <w:rPr/>
      </w:pPr>
      <w:r>
        <w:rPr>
          <w:rFonts w:ascii="Times New Roman;sans-serif" w:hAnsi="Times New Roman;sans-serif"/>
          <w:b w:val="false"/>
          <w:color w:val="000000"/>
          <w:sz w:val="23"/>
        </w:rPr>
        <w:t>e.</w:t>
      </w:r>
      <w:r>
        <w:rPr>
          <w:rFonts w:ascii="Times New Roman;sans-serif" w:hAnsi="Times New Roman;sans-serif"/>
          <w:b w:val="false"/>
          <w:color w:val="000000"/>
          <w:sz w:val="24"/>
        </w:rPr>
        <w:t xml:space="preserve">If under this Agreement an amount is to be paid in installments, each installment shall be treated as a separate payment for purposes of Treasury Regulation Section 1.409A-2(b)(2)(iii).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62890"/>
                <wp:effectExtent l="0" t="0" r="0" b="0"/>
                <wp:wrapNone/>
                <wp:docPr id="78" name="Frame78"/>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280G</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Times New Roman;sans-serif" w:hAnsi="Times New Roman;sans-serif"/>
          <w:b/>
          <w:i/>
          <w:color w:val="000000"/>
          <w:sz w:val="24"/>
        </w:rPr>
        <w:t>Aggregate Payments</w:t>
      </w:r>
      <w:r>
        <w:rPr>
          <w:color w:val="000000"/>
        </w:rPr>
        <w:t>”</w:t>
      </w:r>
      <w:r>
        <w:rPr>
          <w:rFonts w:ascii="Times New Roman;sans-serif" w:hAnsi="Times New Roman;sans-serif"/>
          <w:b w:val="false"/>
          <w:color w:val="000000"/>
          <w:sz w:val="24"/>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sans-serif" w:hAnsi="Times New Roman;sans-serif"/>
          <w:b/>
          <w:i/>
          <w:color w:val="000000"/>
          <w:sz w:val="24"/>
        </w:rPr>
        <w:t>After Tax Amount</w:t>
      </w:r>
      <w:r>
        <w:rPr>
          <w:color w:val="000000"/>
        </w:rPr>
        <w:t xml:space="preserve">” </w:t>
      </w:r>
      <w:r>
        <w:rPr>
          <w:rFonts w:ascii="Times New Roman;sans-serif" w:hAnsi="Times New Roman;sans-serif"/>
          <w:b w:val="false"/>
          <w:color w:val="000000"/>
          <w:sz w:val="24"/>
        </w:rPr>
        <w:t xml:space="preserve">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Tempest shall use its reasonable best efforts to obtain such approval. </w:t>
      </w:r>
    </w:p>
    <w:p>
      <w:pPr>
        <w:pStyle w:val="TextBody"/>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w:t>
      </w:r>
    </w:p>
    <w:p>
      <w:pPr>
        <w:pStyle w:val="TextBody"/>
        <w:spacing w:lineRule="auto" w:line="276" w:before="0" w:after="240"/>
        <w:ind w:left="0" w:right="0" w:firstLine="1440"/>
        <w:jc w:val="both"/>
        <w:rPr/>
      </w:pPr>
      <w:r>
        <w:rPr>
          <w:rFonts w:ascii="Times New Roman;sans-serif" w:hAnsi="Times New Roman;sans-serif"/>
          <w:b w:val="false"/>
          <w:color w:val="000000"/>
          <w:sz w:val="23"/>
        </w:rPr>
        <w:t>a.</w:t>
      </w:r>
      <w:r>
        <w:rPr>
          <w:rFonts w:ascii="Times New Roman;sans-serif" w:hAnsi="Times New Roman;sans-serif"/>
          <w:b w:val="false"/>
          <w:color w:val="000000"/>
          <w:sz w:val="24"/>
        </w:rPr>
        <w:t xml:space="preserve">This offer of employment is made subject to you having the legal right to work in the United States. </w:t>
      </w:r>
    </w:p>
    <w:p>
      <w:pPr>
        <w:pStyle w:val="TextBody"/>
        <w:spacing w:lineRule="auto" w:line="276" w:before="0" w:after="240"/>
        <w:ind w:left="0" w:right="0" w:firstLine="1440"/>
        <w:jc w:val="both"/>
        <w:rPr/>
      </w:pPr>
      <w:r>
        <w:rPr>
          <w:rFonts w:ascii="Times New Roman;sans-serif" w:hAnsi="Times New Roman;sans-serif"/>
          <w:b w:val="false"/>
          <w:color w:val="000000"/>
          <w:sz w:val="23"/>
        </w:rPr>
        <w:t>b.</w:t>
      </w:r>
      <w:r>
        <w:rPr>
          <w:rFonts w:ascii="Times New Roman;sans-serif" w:hAnsi="Times New Roman;sans-serif"/>
          <w:b w:val="false"/>
          <w:color w:val="000000"/>
          <w:sz w:val="24"/>
        </w:rPr>
        <w:t>Your employment with Tempest is subject to all Company policies and procedures, and Tempest retains the right to change its policies or procedures at any time.</w:t>
      </w:r>
    </w:p>
    <w:p>
      <w:pPr>
        <w:pStyle w:val="TextBody"/>
        <w:spacing w:lineRule="auto" w:line="276" w:before="0" w:after="240"/>
        <w:ind w:left="0" w:right="0" w:firstLine="1440"/>
        <w:jc w:val="both"/>
        <w:rPr/>
      </w:pPr>
      <w:r>
        <w:rPr>
          <w:rFonts w:ascii="Times New Roman;sans-serif" w:hAnsi="Times New Roman;sans-serif"/>
          <w:b w:val="false"/>
          <w:color w:val="000000"/>
          <w:sz w:val="23"/>
        </w:rPr>
        <w:t>c.</w:t>
      </w:r>
      <w:r>
        <w:rPr>
          <w:rFonts w:ascii="Times New Roman;sans-serif" w:hAnsi="Times New Roman;sans-serif"/>
          <w:b w:val="false"/>
          <w:color w:val="000000"/>
          <w:sz w:val="24"/>
        </w:rPr>
        <w:t>This Agreement may be executed in several counterparts, each of which shall be deemed to be an original but all of which together will constitute one and the same instrument.</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62890"/>
                <wp:effectExtent l="0" t="0" r="0" b="0"/>
                <wp:wrapNone/>
                <wp:docPr id="79" name="Frame79"/>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v:textbox>
              </v:rect>
            </w:pict>
          </mc:Fallback>
        </mc:AlternateContent>
      </w:r>
    </w:p>
    <w:p>
      <w:pPr>
        <w:pStyle w:val="TextBody"/>
        <w:spacing w:lineRule="auto" w:line="276" w:before="0" w:after="240"/>
        <w:ind w:left="0" w:right="0" w:firstLine="1440"/>
        <w:jc w:val="both"/>
        <w:rPr/>
      </w:pPr>
      <w:r>
        <w:rPr>
          <w:rFonts w:ascii="Times New Roman;sans-serif" w:hAnsi="Times New Roman;sans-serif"/>
          <w:b w:val="false"/>
          <w:color w:val="000000"/>
          <w:sz w:val="23"/>
        </w:rPr>
        <w:t>d.</w:t>
      </w:r>
      <w:r>
        <w:rPr>
          <w:rFonts w:ascii="Times New Roman;sans-serif" w:hAnsi="Times New Roman;sans-serif"/>
          <w:b w:val="false"/>
          <w:color w:val="000000"/>
          <w:sz w:val="24"/>
        </w:rPr>
        <w:t>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pStyle w:val="TextBody"/>
        <w:spacing w:lineRule="auto" w:line="276" w:before="0" w:after="240"/>
        <w:ind w:left="0" w:right="0" w:firstLine="1440"/>
        <w:jc w:val="both"/>
        <w:rPr/>
      </w:pPr>
      <w:r>
        <w:rPr>
          <w:rFonts w:ascii="Times New Roman;sans-serif" w:hAnsi="Times New Roman;sans-serif"/>
          <w:b w:val="false"/>
          <w:color w:val="000000"/>
          <w:sz w:val="23"/>
        </w:rPr>
        <w:t>e.</w:t>
      </w:r>
      <w:r>
        <w:rPr>
          <w:rFonts w:ascii="Times New Roman;sans-serif" w:hAnsi="Times New Roman;sans-serif"/>
          <w:b w:val="false"/>
          <w:color w:val="000000"/>
          <w:sz w:val="24"/>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spacing w:lineRule="auto" w:line="276" w:before="0" w:after="240"/>
        <w:ind w:left="0" w:right="0" w:firstLine="1440"/>
        <w:jc w:val="both"/>
        <w:rPr/>
      </w:pPr>
      <w:r>
        <w:rPr>
          <w:rFonts w:ascii="Times New Roman;sans-serif" w:hAnsi="Times New Roman;sans-serif"/>
          <w:b w:val="false"/>
          <w:color w:val="000000"/>
          <w:sz w:val="23"/>
        </w:rPr>
        <w:t>f.</w:t>
      </w:r>
      <w:r>
        <w:rPr>
          <w:rFonts w:ascii="Times New Roman;sans-serif" w:hAnsi="Times New Roman;sans-serif"/>
          <w:b w:val="false"/>
          <w:color w:val="000000"/>
          <w:sz w:val="24"/>
        </w:rPr>
        <w:t>The validity, interpretation, construction and performance of this Agreement shall be governed by the laws of the State of California without regard to the choice of law principles thereof.</w:t>
      </w:r>
    </w:p>
    <w:p>
      <w:pPr>
        <w:pStyle w:val="TextBody"/>
        <w:spacing w:lineRule="auto" w:line="276"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pStyle w:val="TextBody"/>
        <w:spacing w:before="0" w:after="240"/>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62890"/>
                <wp:effectExtent l="0" t="0" r="0" b="0"/>
                <wp:wrapNone/>
                <wp:docPr id="80" name="Frame80"/>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foregoing is acceptable, please indicate your agreement by signing below and returning the original signed Agreement (keeping a copy for your own records) to me on or before July 7, 2021. If you have any further questions or require additional information, please feel free to contact me.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TEMPEST THERAPEUTICS, INC.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Stephen R. Brady                </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Stephen Brady</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ACCEPTED AND AGREED</w:t>
      </w:r>
      <w:r>
        <w:rPr>
          <w:rFonts w:ascii="Times New Roman;sans-serif" w:hAnsi="Times New Roman;sans-serif"/>
          <w:b/>
          <w:color w:val="000000"/>
          <w:sz w:val="24"/>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Thomas Dubensky, Jr.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Tom Dubensky, Ph.D.</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Date:</w:t>
      </w:r>
      <w:r>
        <w:rPr>
          <w:color w:val="000000"/>
          <w:u w:val="single"/>
        </w:rPr>
        <w:t>    </w:t>
      </w:r>
      <w:r>
        <w:rPr>
          <w:rFonts w:ascii="Times New Roman;sans-serif" w:hAnsi="Times New Roman;sans-serif"/>
          <w:b w:val="false"/>
          <w:color w:val="000000"/>
          <w:sz w:val="24"/>
          <w:u w:val="single"/>
        </w:rPr>
        <w:t>January 13, 2022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Appendices:    Appendix A — Approved Activities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Appendix B — Separation Agreement and General Release</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Appendix C — Confidentiality and Proprietary Rights Agreement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62890"/>
                <wp:effectExtent l="0" t="0" r="0" b="0"/>
                <wp:wrapNone/>
                <wp:docPr id="81" name="Frame81"/>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273895993v.2</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Tempest Therapeutics,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7000 Shoreline Court, Suite 275</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South San Francisco, California 94080</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January 12, 2022</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4"/>
        </w:rPr>
      </w:pPr>
      <w:r>
        <w:rPr>
          <w:rFonts w:ascii="Times New Roman;sans-serif" w:hAnsi="Times New Roman;sans-serif"/>
          <w:b/>
          <w:i/>
          <w:color w:val="000000"/>
          <w:sz w:val="24"/>
        </w:rPr>
        <w:t>Via Email Only</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SWHITING@TEMPESTTX.COM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Sam Whiting, M.D., Ph.D.</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EXECUTIVE EMPLOYMENT AGREEMENT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Sam:</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val="false"/>
          <w:color w:val="000000"/>
          <w:sz w:val="24"/>
        </w:rPr>
        <w:t>On behalf of Tempest Therapeutics, Inc. (“</w:t>
      </w:r>
      <w:r>
        <w:rPr>
          <w:rFonts w:ascii="Times New Roman;sans-serif" w:hAnsi="Times New Roman;sans-serif"/>
          <w:b/>
          <w:i/>
          <w:color w:val="000000"/>
          <w:sz w:val="24"/>
        </w:rPr>
        <w:t>Tempest</w:t>
      </w:r>
      <w:r>
        <w:rPr>
          <w:color w:val="000000"/>
        </w:rPr>
        <w:t>”</w:t>
      </w:r>
      <w:r>
        <w:rPr>
          <w:rFonts w:ascii="Times New Roman;sans-serif" w:hAnsi="Times New Roman;sans-serif"/>
          <w:b w:val="false"/>
          <w:color w:val="000000"/>
          <w:sz w:val="24"/>
        </w:rPr>
        <w:t>, or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it is my pleasure to confirm the terms and conditions of your continued employment as Tempest’s Chief Medical Officer, reporting to the Company’s Chief Executive Officer (the “</w:t>
      </w:r>
      <w:r>
        <w:rPr>
          <w:rFonts w:ascii="Times New Roman;sans-serif" w:hAnsi="Times New Roman;sans-serif"/>
          <w:b/>
          <w:i/>
          <w:color w:val="000000"/>
          <w:sz w:val="24"/>
        </w:rPr>
        <w:t>CEO</w:t>
      </w:r>
      <w:r>
        <w:rPr>
          <w:color w:val="000000"/>
        </w:rPr>
        <w:t>”</w:t>
      </w:r>
      <w:r>
        <w:rPr>
          <w:rFonts w:ascii="Times New Roman;sans-serif" w:hAnsi="Times New Roman;sans-serif"/>
          <w:b w:val="false"/>
          <w:color w:val="000000"/>
          <w:sz w:val="24"/>
        </w:rPr>
        <w:t xml:space="preserve">). During your employment with Tempest, you will devote substantially all of your professional efforts to the business of Tempest, except that you may engage in the business activities described on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of this employment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and other activities that may be approved in advance by the Company’s Chief Executive Officer, with advice from the Board (which together with the activities set forth on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spacing w:lineRule="auto" w:line="240" w:before="0" w:after="240"/>
        <w:jc w:val="both"/>
        <w:rPr/>
      </w:pPr>
      <w:r>
        <w:rPr>
          <w:rFonts w:ascii="Times New Roman;sans-serif" w:hAnsi="Times New Roman;sans-serif"/>
          <w:b w:val="false"/>
          <w:color w:val="000000"/>
          <w:sz w:val="24"/>
        </w:rPr>
        <w:t>This Agreement supersedes, amends and restates in all respects all prior agreements and understandings between you and the Company regarding the subject matter herein. The date on which you sign this Agreement is referred to herein as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intended to summarize some of the terms and conditions of your employment.</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Location</w:t>
      </w:r>
      <w:r>
        <w:rPr>
          <w:rFonts w:ascii="Times New Roman;sans-serif" w:hAnsi="Times New Roman;sans-serif"/>
          <w:b w:val="false"/>
          <w:color w:val="000000"/>
          <w:sz w:val="24"/>
        </w:rPr>
        <w:t>. Your place of employment will be at Tempest’s principal offices, currently located in South San Francisco, California. You will be required to work from this location as reasonably determined by the Company in accordance with its “work from home,” and “work from office” policies, taking into account relevant factors of your responsibilities.</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Base Salary</w:t>
      </w:r>
      <w:r>
        <w:rPr>
          <w:rFonts w:ascii="Times New Roman;sans-serif" w:hAnsi="Times New Roman;sans-serif"/>
          <w:b w:val="false"/>
          <w:color w:val="000000"/>
          <w:sz w:val="24"/>
        </w:rPr>
        <w:t>. Your annualized base salary rate is $437,000, less standard deductions and withholding and payable bi-weekly in accordance with Tempest’s regular payroll practices. Your salary shall be reviewed annually and may be adjusted in connection with any such review.</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Bonus Program</w:t>
      </w:r>
      <w:r>
        <w:rPr>
          <w:rFonts w:ascii="Times New Roman;sans-serif" w:hAnsi="Times New Roman;sans-serif"/>
          <w:b w:val="false"/>
          <w:color w:val="000000"/>
          <w:sz w:val="24"/>
        </w:rPr>
        <w:t>. You will be eligible for an annual target bonus of forty percent (40%) of your annual base salary, as determined by the Board in its sole discretion based upon, among other things, the achievement of pre-determined performance milestones. Any annual bonus, if earned, shall be paid no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year immediately following the year to which the applicable annual bonus relates.</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Option Grants</w:t>
      </w:r>
      <w:r>
        <w:rPr>
          <w:rFonts w:ascii="Times New Roman;sans-serif" w:hAnsi="Times New Roman;sans-serif"/>
          <w:b w:val="false"/>
          <w:color w:val="000000"/>
          <w:sz w:val="24"/>
        </w:rPr>
        <w:t xml:space="preserve">. As of the Effective Date, you acknowledge that you have been granted options to purchase 111,359 shares of Tempest’s common stock (the “Option”), vesting in accordance with the terms of the grant agreements therefor, and otherwise in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77495"/>
                <wp:effectExtent l="0" t="0" r="0" b="0"/>
                <wp:wrapNone/>
                <wp:docPr id="82" name="Frame82"/>
                <a:graphic xmlns:a="http://schemas.openxmlformats.org/drawingml/2006/main">
                  <a:graphicData uri="http://schemas.microsoft.com/office/word/2010/wordprocessingShape">
                    <wps:wsp>
                      <wps:cNvSpPr txBox="1"/>
                      <wps:spPr>
                        <a:xfrm>
                          <a:off x="0" y="0"/>
                          <a:ext cx="6480175" cy="277495"/>
                        </a:xfrm>
                        <a:prstGeom prst="rect"/>
                      </wps:spPr>
                      <wps:txb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accordance with this Agreement . You also may be granted other stock options in the course of providing services to the Company (collectively with the Option, the “</w:t>
      </w:r>
      <w:r>
        <w:rPr>
          <w:rFonts w:ascii="Times New Roman;sans-serif" w:hAnsi="Times New Roman;sans-serif"/>
          <w:b/>
          <w:i/>
          <w:color w:val="000000"/>
          <w:sz w:val="24"/>
        </w:rPr>
        <w:t>Stock Option Grants</w:t>
      </w:r>
      <w:r>
        <w:rPr>
          <w:color w:val="000000"/>
        </w:rPr>
        <w:t>”</w:t>
      </w:r>
      <w:r>
        <w:rPr>
          <w:rFonts w:ascii="Times New Roman;sans-serif" w:hAnsi="Times New Roman;sans-serif"/>
          <w:b w:val="false"/>
          <w:color w:val="000000"/>
          <w:sz w:val="24"/>
        </w:rPr>
        <w:t>). The Stock Option Grants are also subject to the terms of Tempest’s equity incentive arrangements, including its customary Incentive Stock Option (ISO) Grant Agreement. In the event that (i) the Company consummates a Change in Control (as defined below), and (ii) the Stock Option Grants are not otherwise vested, then one hundred percent (100%) of remaining shares subject to the Stock Option Grants shall vest in full on the date immediately prior to the effective date of the Change in Control, subject to your continuous employment through such vesting date.</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 xml:space="preserve">Withholding. </w:t>
      </w:r>
      <w:r>
        <w:rPr>
          <w:rFonts w:ascii="Times New Roman;sans-serif" w:hAnsi="Times New Roman;sans-serif"/>
          <w:b w:val="false"/>
          <w:color w:val="000000"/>
          <w:sz w:val="24"/>
        </w:rPr>
        <w:t>Tempest shall withhold from any compensation or benefits payable to you by Tempest any federal, state and/or local income, employment and/or other similar taxes as may be required to be withheld pursuant to any applicable law or regulation.</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Other</w:t>
      </w:r>
      <w:r>
        <w:rPr>
          <w:rFonts w:ascii="Times New Roman;sans-serif" w:hAnsi="Times New Roman;sans-serif"/>
          <w:b w:val="false"/>
          <w:color w:val="000000"/>
          <w:sz w:val="24"/>
        </w:rPr>
        <w:t>. You will be eligible to participate in the benefits to be offered by Tempest on the same terms and 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Expenses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Tempest shall reimburse you for all reasonable expenses of the type authorized by Tempest and incurred by you in the performance of your duties under this Agreement, all in accordance with the Company’s reimbursement policies.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is the case of all employee benefits, such benefits will be governed by the terms and conditions of applicable Tempest plans or policies, which are subject to change or discontinuation at any time.</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Definitions.</w:t>
      </w:r>
      <w:r>
        <w:rPr>
          <w:color w:val="000000"/>
        </w:rPr>
        <w:t xml:space="preserve"> </w:t>
      </w:r>
      <w:r>
        <w:rPr>
          <w:rFonts w:ascii="Times New Roman;sans-serif" w:hAnsi="Times New Roman;sans-serif"/>
          <w:b w:val="false"/>
          <w:color w:val="000000"/>
          <w:sz w:val="24"/>
        </w:rPr>
        <w:t xml:space="preserve">For purposes of this Agreement: </w:t>
      </w:r>
    </w:p>
    <w:p>
      <w:pPr>
        <w:pStyle w:val="TextBody"/>
        <w:spacing w:lineRule="auto" w:line="240" w:before="0" w:after="240"/>
        <w:ind w:left="0" w:right="0" w:firstLine="234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Accrued Benefits</w:t>
      </w:r>
      <w:r>
        <w:rPr>
          <w:color w:val="000000"/>
        </w:rPr>
        <w:t xml:space="preserve">” </w:t>
      </w:r>
      <w:r>
        <w:rPr>
          <w:rFonts w:ascii="Times New Roman;sans-serif" w:hAnsi="Times New Roman;sans-serif"/>
          <w:b w:val="false"/>
          <w:color w:val="000000"/>
          <w:sz w:val="24"/>
        </w:rPr>
        <w:t xml:space="preserve">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 </w:t>
      </w:r>
    </w:p>
    <w:p>
      <w:pPr>
        <w:pStyle w:val="TextBody"/>
        <w:spacing w:lineRule="auto" w:line="240" w:before="0" w:after="240"/>
        <w:ind w:left="0" w:right="0" w:firstLine="2160"/>
        <w:jc w:val="both"/>
        <w:rPr/>
      </w:pPr>
      <w:r>
        <w:rPr>
          <w:rFonts w:ascii="Times New Roman;sans-serif" w:hAnsi="Times New Roman;sans-serif"/>
          <w:b w:val="false"/>
          <w:color w:val="000000"/>
          <w:sz w:val="24"/>
        </w:rPr>
        <w:t>ii.</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30 days after written notice given to you by Tempest, except in the case of your physical or mental illness; (ii) disloyalty, gross negligence, willful misconduct, or dishonesty that materially injures Tempest or a breach of fiduciary duty to Tempest; (iii) the conviction of (x) a felony or (y) a misdemeanor involving moral turpitude, or fraud;</w:t>
      </w:r>
      <w:r>
        <w:rPr>
          <w:color w:val="000000"/>
        </w:rPr>
        <w:t xml:space="preserve"> </w:t>
      </w:r>
      <w:r>
        <w:rPr>
          <w:rFonts w:ascii="Times New Roman;sans-serif" w:hAnsi="Times New Roman;sans-serif"/>
          <w:b w:val="false"/>
          <w:color w:val="000000"/>
          <w:sz w:val="24"/>
        </w:rPr>
        <w:t>(iv) the commission of an act of embezzlement or fraud; or (v) the material breach of any agreement between Tempest and you.</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62890"/>
                <wp:effectExtent l="0" t="0" r="0" b="0"/>
                <wp:wrapNone/>
                <wp:docPr id="83" name="Frame83"/>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v:textbox>
              </v:rect>
            </w:pict>
          </mc:Fallback>
        </mc:AlternateContent>
      </w:r>
    </w:p>
    <w:p>
      <w:pPr>
        <w:pStyle w:val="TextBody"/>
        <w:spacing w:lineRule="auto" w:line="240" w:before="0" w:after="240"/>
        <w:ind w:left="0" w:right="0" w:firstLine="2160"/>
        <w:jc w:val="both"/>
        <w:rPr/>
      </w:pPr>
      <w:r>
        <w:rPr>
          <w:rFonts w:ascii="Times New Roman;sans-serif" w:hAnsi="Times New Roman;sans-serif"/>
          <w:b w:val="false"/>
          <w:color w:val="000000"/>
          <w:sz w:val="24"/>
        </w:rPr>
        <w:t>iii.</w:t>
      </w:r>
      <w:r>
        <w:rPr>
          <w:color w:val="000000"/>
        </w:rPr>
        <w:t>“</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shall have the meaning set forth in the Company’s 2017 Equity Incentive Plan.</w:t>
      </w:r>
    </w:p>
    <w:p>
      <w:pPr>
        <w:pStyle w:val="TextBody"/>
        <w:spacing w:lineRule="auto" w:line="240" w:before="0" w:after="240"/>
        <w:ind w:left="0" w:right="0" w:firstLine="2160"/>
        <w:jc w:val="both"/>
        <w:rPr/>
      </w:pPr>
      <w:r>
        <w:rPr>
          <w:rFonts w:ascii="Times New Roman;sans-serif" w:hAnsi="Times New Roman;sans-serif"/>
          <w:b w:val="false"/>
          <w:color w:val="000000"/>
          <w:sz w:val="24"/>
        </w:rPr>
        <w:t>iv.</w:t>
      </w:r>
      <w:r>
        <w:rPr>
          <w:color w:val="000000"/>
        </w:rPr>
        <w:t>“</w:t>
      </w:r>
      <w:r>
        <w:rPr>
          <w:rFonts w:ascii="Times New Roman;sans-serif" w:hAnsi="Times New Roman;sans-serif"/>
          <w:b/>
          <w:i/>
          <w:color w:val="000000"/>
          <w:sz w:val="24"/>
        </w:rPr>
        <w:t>Change in Control Period</w:t>
      </w:r>
      <w:r>
        <w:rPr>
          <w:color w:val="000000"/>
        </w:rPr>
        <w:t xml:space="preserve">” </w:t>
      </w:r>
      <w:r>
        <w:rPr>
          <w:rFonts w:ascii="Times New Roman;sans-serif" w:hAnsi="Times New Roman;sans-serif"/>
          <w:b w:val="false"/>
          <w:color w:val="000000"/>
          <w:sz w:val="24"/>
        </w:rPr>
        <w:t>means the three (3) month period prior to, and twelve (12) month period following, a Change in Control.</w:t>
      </w:r>
    </w:p>
    <w:p>
      <w:pPr>
        <w:pStyle w:val="TextBody"/>
        <w:spacing w:lineRule="auto" w:line="240" w:before="0" w:after="240"/>
        <w:ind w:left="0" w:right="0" w:firstLine="216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means, without your express written consent, (i) any reduction in your annual base salary other than a reduction which is proportional to general reductions affecting other senior executive officers of Tempest generally, or (ii) any material reduction in your title or scope of responsibilities without your consent (other than your removal from the Board).</w:t>
      </w:r>
    </w:p>
    <w:p>
      <w:pPr>
        <w:pStyle w:val="TextBody"/>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Severance Benefits and Payment</w:t>
      </w:r>
      <w:r>
        <w:rPr>
          <w:rFonts w:ascii="Times New Roman;sans-serif" w:hAnsi="Times New Roman;sans-serif"/>
          <w:b w:val="false"/>
          <w:color w:val="000000"/>
          <w:sz w:val="24"/>
        </w:rPr>
        <w:t xml:space="preserve">. </w:t>
      </w:r>
    </w:p>
    <w:p>
      <w:pPr>
        <w:pStyle w:val="TextBody"/>
        <w:spacing w:lineRule="auto" w:line="240" w:before="0" w:after="240"/>
        <w:ind w:left="0" w:right="0" w:firstLine="1980"/>
        <w:jc w:val="both"/>
        <w:rPr/>
      </w:pPr>
      <w:r>
        <w:rPr>
          <w:rFonts w:ascii="Times New Roman;sans-serif" w:hAnsi="Times New Roman;sans-serif"/>
          <w:b w:val="false"/>
          <w:color w:val="000000"/>
          <w:sz w:val="24"/>
        </w:rPr>
        <w:t>i.</w:t>
      </w:r>
      <w:r>
        <w:rPr>
          <w:rFonts w:ascii="Times New Roman;sans-serif" w:hAnsi="Times New Roman;sans-serif"/>
          <w:b w:val="false"/>
          <w:i/>
          <w:color w:val="000000"/>
          <w:sz w:val="24"/>
        </w:rPr>
        <w:t>Generally</w:t>
      </w:r>
      <w:r>
        <w:rPr>
          <w:rFonts w:ascii="Times New Roman;sans-serif" w:hAnsi="Times New Roman;sans-serif"/>
          <w:b w:val="false"/>
          <w:color w:val="000000"/>
          <w:sz w:val="24"/>
        </w:rPr>
        <w:t xml:space="preserve">. If your employment with Tempest is terminated (x) by Tempest for any reason other than Cause, or (y) by you for Good Reason, Tempest will pay you (1) the Accrued Benefits; (2) subject to your compliance with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below, after the execution and delivery of the Separation Agreement and General Release in the form attached hereto as </w:t>
      </w:r>
      <w:r>
        <w:rPr>
          <w:rFonts w:ascii="Times New Roman;sans-serif" w:hAnsi="Times New Roman;sans-serif"/>
          <w:b w:val="false"/>
          <w:color w:val="000000"/>
          <w:sz w:val="24"/>
          <w:u w:val="single"/>
        </w:rPr>
        <w:t>Appendix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Separation Agreement and General Release</w:t>
      </w:r>
      <w:r>
        <w:rPr>
          <w:color w:val="000000"/>
        </w:rPr>
        <w:t>”</w:t>
      </w:r>
      <w:r>
        <w:rPr>
          <w:rFonts w:ascii="Times New Roman;sans-serif" w:hAnsi="Times New Roman;sans-serif"/>
          <w:b w:val="false"/>
          <w:color w:val="000000"/>
          <w:sz w:val="24"/>
        </w:rPr>
        <w:t>) and the expiration of any revocation period without the release being revoked, nine (9) months’ base salary, plus a prorated portion of your bonus at target for the year of your termination,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following the termination of your employment, your monthly premium under COBRA on a monthly basis until the earlier of (x) nine (9)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pStyle w:val="TextBody"/>
        <w:spacing w:lineRule="auto" w:line="240" w:before="0" w:after="240"/>
        <w:ind w:left="0" w:right="0" w:firstLine="1980"/>
        <w:jc w:val="both"/>
        <w:rPr/>
      </w:pPr>
      <w:r>
        <w:rPr>
          <w:rFonts w:ascii="Times New Roman;sans-serif" w:hAnsi="Times New Roman;sans-serif"/>
          <w:b w:val="false"/>
          <w:color w:val="000000"/>
          <w:sz w:val="24"/>
        </w:rPr>
        <w:t>ii.</w:t>
      </w:r>
      <w:r>
        <w:rPr>
          <w:rFonts w:ascii="Times New Roman;sans-serif" w:hAnsi="Times New Roman;sans-serif"/>
          <w:b w:val="false"/>
          <w:i/>
          <w:color w:val="000000"/>
          <w:sz w:val="24"/>
        </w:rPr>
        <w:t>In connection with the Change in Control Period.</w:t>
      </w:r>
      <w:r>
        <w:rPr>
          <w:color w:val="000000"/>
        </w:rPr>
        <w:t xml:space="preserve"> </w:t>
      </w:r>
      <w:r>
        <w:rPr>
          <w:rFonts w:ascii="Times New Roman;sans-serif" w:hAnsi="Times New Roman;sans-serif"/>
          <w:b w:val="false"/>
          <w:color w:val="000000"/>
          <w:sz w:val="24"/>
        </w:rPr>
        <w:t xml:space="preserve">If your employment with Tempest is terminated (x) by Tempest for any reason other than Cause, or (y) by you for Good Reason during the Change in Control Period, Tempest will pay you (1) the Accrued Benefits; (2) subject to your compliance with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below, after the execution and delivery of the Separation Agreement and General Release and the expiration of any revocation period without the release being revoked, twelve (12) months’ base salary plus your annual bonus at one hundred percent (100%) of target, less standard deductions, payable in a single lump sum on the 60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day following the termination of your employment; and (3) if you elect to continue your health insurance coverage pursuant to your rights under COBRA following the termination of your employment, your monthly premium under COBRA on a monthly basis until the earlier of (x) twelve (12)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Eligibility for Severance</w:t>
      </w:r>
      <w:r>
        <w:rPr>
          <w:rFonts w:ascii="Times New Roman;sans-serif" w:hAnsi="Times New Roman;sans-serif"/>
          <w:b w:val="false"/>
          <w:color w:val="000000"/>
          <w:sz w:val="24"/>
        </w:rPr>
        <w:t xml:space="preserve">. Eligibility for receipt of the items in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 xml:space="preserve">above, shall be conditioned on your (i) returning to Tempest promptly upon termination of your employment all of its property, including confidential information and all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62890"/>
                <wp:effectExtent l="0" t="0" r="0" b="0"/>
                <wp:wrapNone/>
                <wp:docPr id="84" name="Frame84"/>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electronically stored information, and (ii) signing and not revoking the Separation Agreement and General Release within the applicable deadline set forth therein, but in no event later than forty-five (45) calendar days following your employment termination date. No benefits set forth in Section 4(b) above will be paid or provided hereunder prior to the effective date of the Separation Agreement and General Release (other than any Accrued Benefits required to be paid).</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Accrued Benefits</w:t>
      </w:r>
      <w:r>
        <w:rPr>
          <w:rFonts w:ascii="Times New Roman;sans-serif" w:hAnsi="Times New Roman;sans-serif"/>
          <w:b w:val="false"/>
          <w:color w:val="000000"/>
          <w:sz w:val="24"/>
        </w:rPr>
        <w:t xml:space="preserve">. The Accrued Benefits shall be paid to you (or your estate in the event of your death) upon termination of employment regardless of the circumstances giving rise to such termination. </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Your employment with Tempest is at will, meaning it may be terminated by you or Tempest at any time, subject to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above, for any reason with or without Cause. You understand that this Agreement is not a contract for employment for a definite term. </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Confidentiality and Proprietary Rights Agreement</w:t>
      </w:r>
      <w:r>
        <w:rPr>
          <w:rFonts w:ascii="Times New Roman;sans-serif" w:hAnsi="Times New Roman;sans-serif"/>
          <w:b w:val="false"/>
          <w:color w:val="000000"/>
          <w:sz w:val="24"/>
        </w:rPr>
        <w:t xml:space="preserve">. This offer of employment is subject to the Confidentiality and Proprietary Rights Agreement attached as </w:t>
      </w:r>
      <w:r>
        <w:rPr>
          <w:rFonts w:ascii="Times New Roman;sans-serif" w:hAnsi="Times New Roman;sans-serif"/>
          <w:b w:val="false"/>
          <w:color w:val="000000"/>
          <w:sz w:val="24"/>
          <w:u w:val="single"/>
        </w:rPr>
        <w:t>Appendix C</w:t>
      </w:r>
      <w:r>
        <w:rPr>
          <w:rFonts w:ascii="Times New Roman;sans-serif" w:hAnsi="Times New Roman;sans-serif"/>
          <w:b w:val="false"/>
          <w:color w:val="000000"/>
          <w:sz w:val="24"/>
        </w:rPr>
        <w:t>, which shall be effective as of the date set forth therein.</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Inconsistent Obligations</w:t>
      </w:r>
      <w:r>
        <w:rPr>
          <w:rFonts w:ascii="Times New Roman;sans-serif" w:hAnsi="Times New Roman;sans-serif"/>
          <w:b w:val="false"/>
          <w:color w:val="000000"/>
          <w:sz w:val="24"/>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pStyle w:val="TextBody"/>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Delayed Commencement Date for Payments and Benefits</w:t>
      </w:r>
      <w:r>
        <w:rPr>
          <w:rFonts w:ascii="Times New Roman;sans-serif" w:hAnsi="Times New Roman;sans-serif"/>
          <w:b w:val="false"/>
          <w:color w:val="000000"/>
          <w:sz w:val="24"/>
        </w:rPr>
        <w:t xml:space="preserve">. </w:t>
      </w:r>
    </w:p>
    <w:p>
      <w:pPr>
        <w:pStyle w:val="TextBody"/>
        <w:spacing w:lineRule="auto" w:line="276" w:before="0" w:after="240"/>
        <w:ind w:left="0" w:right="0" w:firstLine="1440"/>
        <w:jc w:val="both"/>
        <w:rPr/>
      </w:pPr>
      <w:r>
        <w:rPr>
          <w:rFonts w:ascii="Times New Roman;sans-serif" w:hAnsi="Times New Roman;sans-serif"/>
          <w:b w:val="false"/>
          <w:color w:val="000000"/>
          <w:sz w:val="23"/>
        </w:rPr>
        <w:t>a.</w:t>
      </w:r>
      <w:r>
        <w:rPr>
          <w:rFonts w:ascii="Times New Roman;sans-serif" w:hAnsi="Times New Roman;sans-serif"/>
          <w:b w:val="false"/>
          <w:color w:val="000000"/>
          <w:sz w:val="24"/>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sans-serif" w:hAnsi="Times New Roman;sans-serif"/>
          <w:b/>
          <w:i/>
          <w:color w:val="000000"/>
          <w:sz w:val="24"/>
        </w:rPr>
        <w:t>Code Section 409A</w:t>
      </w:r>
      <w:r>
        <w:rPr>
          <w:color w:val="000000"/>
        </w:rPr>
        <w:t>”</w:t>
      </w:r>
      <w:r>
        <w:rPr>
          <w:rFonts w:ascii="Times New Roman;sans-serif" w:hAnsi="Times New Roman;sans-serif"/>
          <w:b w:val="false"/>
          <w:color w:val="000000"/>
          <w:sz w:val="24"/>
        </w:rPr>
        <w:t>) and, accordingly, to the maximum extent permitted, this Agreement shall be interpreted to 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409A, such modification shall be made in good faith and shall, to the maximum extent reasonably possible, maintain the original intent and economic benefit to you and Tempest of the applicable provision without violating the provisions of Code Section 409A.</w:t>
      </w:r>
    </w:p>
    <w:p>
      <w:pPr>
        <w:pStyle w:val="TextBody"/>
        <w:spacing w:lineRule="auto" w:line="276" w:before="0" w:after="240"/>
        <w:ind w:left="0" w:right="0" w:firstLine="1440"/>
        <w:jc w:val="both"/>
        <w:rPr/>
      </w:pPr>
      <w:r>
        <w:rPr>
          <w:rFonts w:ascii="Times New Roman;sans-serif" w:hAnsi="Times New Roman;sans-serif"/>
          <w:b w:val="false"/>
          <w:color w:val="000000"/>
          <w:sz w:val="23"/>
        </w:rPr>
        <w:t>b.</w:t>
      </w:r>
      <w:r>
        <w:rPr>
          <w:rFonts w:ascii="Times New Roman;sans-serif" w:hAnsi="Times New Roman;sans-serif"/>
          <w:b w:val="false"/>
          <w:color w:val="000000"/>
          <w:sz w:val="24"/>
        </w:rPr>
        <w:t xml:space="preserve">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62890"/>
                <wp:effectExtent l="0" t="0" r="0" b="0"/>
                <wp:wrapNone/>
                <wp:docPr id="85" name="Frame85"/>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v:textbox>
              </v:rect>
            </w:pict>
          </mc:Fallback>
        </mc:AlternateContent>
      </w:r>
    </w:p>
    <w:p>
      <w:pPr>
        <w:pStyle w:val="TextBody"/>
        <w:spacing w:lineRule="auto" w:line="276" w:before="0" w:after="240"/>
        <w:jc w:val="both"/>
        <w:rPr/>
      </w:pPr>
      <w:r>
        <w:rPr>
          <w:rFonts w:ascii="Times New Roman;sans-serif" w:hAnsi="Times New Roman;sans-serif"/>
          <w:b w:val="false"/>
          <w:color w:val="000000"/>
          <w:sz w:val="24"/>
        </w:rPr>
        <w:t xml:space="preserve">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Times New Roman;sans-serif" w:hAnsi="Times New Roman;sans-serif"/>
          <w:b w:val="false"/>
          <w:color w:val="000000"/>
          <w:sz w:val="24"/>
          <w:u w:val="single"/>
        </w:rPr>
        <w:t>Section 8(b)</w:t>
      </w:r>
      <w:r>
        <w:rPr>
          <w:color w:val="000000"/>
        </w:rPr>
        <w:t xml:space="preserve"> </w:t>
      </w:r>
      <w:r>
        <w:rPr>
          <w:rFonts w:ascii="Times New Roman;sans-serif" w:hAnsi="Times New Roman;sans-serif"/>
          <w:b w:val="false"/>
          <w:color w:val="000000"/>
          <w:sz w:val="24"/>
        </w:rPr>
        <w:t>(whether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 In addition to the above, to the extent required to comply with Code Section 409A and the applicable regulations and guidance issued thereunder, if the applicable deadline for you to execute (and not revoke) the applicable Separation Agreement and General Release spans two calendar years, your severance benefits set forth in Section 4(b) above shall commence to be paid on the first regularly scheduled payroll date that occurs in the second calendar year.</w:t>
      </w:r>
    </w:p>
    <w:p>
      <w:pPr>
        <w:pStyle w:val="TextBody"/>
        <w:spacing w:lineRule="auto" w:line="276" w:before="0" w:after="240"/>
        <w:ind w:left="0" w:right="0" w:firstLine="1440"/>
        <w:jc w:val="both"/>
        <w:rPr/>
      </w:pPr>
      <w:r>
        <w:rPr>
          <w:rFonts w:ascii="Times New Roman;sans-serif" w:hAnsi="Times New Roman;sans-serif"/>
          <w:b w:val="false"/>
          <w:color w:val="000000"/>
          <w:sz w:val="23"/>
        </w:rPr>
        <w:t>c.</w:t>
      </w:r>
      <w:r>
        <w:rPr>
          <w:rFonts w:ascii="Times New Roman;sans-serif" w:hAnsi="Times New Roman;sans-serif"/>
          <w:b w:val="false"/>
          <w:color w:val="000000"/>
          <w:sz w:val="24"/>
        </w:rPr>
        <w:t>For purposes of Code Section 409A, your right to receive any installment</w:t>
        <w:br/>
        <w:t>payment pursuant to this Agreement shall be treated as a right to receive a series of separate and distinct payments. Whenever a payment under this Agreement specifies a payment period with reference to a number of days (</w:t>
      </w:r>
      <w:r>
        <w:rPr>
          <w:rFonts w:ascii="Times New Roman;sans-serif" w:hAnsi="Times New Roman;sans-serif"/>
          <w:b w:val="false"/>
          <w:i/>
          <w:color w:val="000000"/>
          <w:sz w:val="24"/>
        </w:rPr>
        <w:t>e.g.</w:t>
      </w:r>
      <w:r>
        <w:rPr>
          <w:rFonts w:ascii="Times New Roman;sans-serif" w:hAnsi="Times New Roman;sans-serif"/>
          <w:b w:val="false"/>
          <w:color w:val="000000"/>
          <w:sz w:val="24"/>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pStyle w:val="TextBody"/>
        <w:spacing w:lineRule="auto" w:line="276" w:before="0" w:after="240"/>
        <w:ind w:left="0" w:right="0" w:firstLine="1440"/>
        <w:jc w:val="both"/>
        <w:rPr/>
      </w:pPr>
      <w:r>
        <w:rPr>
          <w:rFonts w:ascii="Times New Roman;sans-serif" w:hAnsi="Times New Roman;sans-serif"/>
          <w:b w:val="false"/>
          <w:color w:val="000000"/>
          <w:sz w:val="23"/>
        </w:rPr>
        <w:t>d.</w:t>
      </w:r>
      <w:r>
        <w:rPr>
          <w:rFonts w:ascii="Times New Roman;sans-serif" w:hAnsi="Times New Roman;sans-serif"/>
          <w:b w:val="false"/>
          <w:color w:val="000000"/>
          <w:sz w:val="24"/>
        </w:rPr>
        <w:t xml:space="preserve">All in-kind benefits provided and expenses eligible for reimbursement under this Agreement shall be provided by Tempest or incurred by you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w:t>
      </w:r>
    </w:p>
    <w:p>
      <w:pPr>
        <w:pStyle w:val="TextBody"/>
        <w:spacing w:lineRule="auto" w:line="276" w:before="0" w:after="240"/>
        <w:ind w:left="0" w:right="0" w:firstLine="1440"/>
        <w:jc w:val="both"/>
        <w:rPr/>
      </w:pPr>
      <w:r>
        <w:rPr>
          <w:rFonts w:ascii="Times New Roman;sans-serif" w:hAnsi="Times New Roman;sans-serif"/>
          <w:b w:val="false"/>
          <w:color w:val="000000"/>
          <w:sz w:val="23"/>
        </w:rPr>
        <w:t>e.</w:t>
      </w:r>
      <w:r>
        <w:rPr>
          <w:rFonts w:ascii="Times New Roman;sans-serif" w:hAnsi="Times New Roman;sans-serif"/>
          <w:b w:val="false"/>
          <w:color w:val="000000"/>
          <w:sz w:val="24"/>
        </w:rPr>
        <w:t xml:space="preserve">If under this Agreement an amount is to be paid in installments, each installment shall be treated as a separate payment for purposes of Treasury Regulation Section 1.409A-2(b)(2)(iii). </w:t>
      </w:r>
    </w:p>
    <w:p>
      <w:pPr>
        <w:pStyle w:val="TextBody"/>
        <w:spacing w:lineRule="auto" w:line="240"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280G</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 xml:space="preserve">In the event that the amount of any compensation, payment or distribution by Tempest or its affiliates to or for your benefit, whether paid or payable or distributed or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62890"/>
                <wp:effectExtent l="0" t="0" r="0" b="0"/>
                <wp:wrapNone/>
                <wp:docPr id="86" name="Frame86"/>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distributable pursuant to the terms of this Agreement or otherwise, calculated in a manner consistent with Section 280G of the Code and the applicable regulations thereunder (the “</w:t>
      </w:r>
      <w:r>
        <w:rPr>
          <w:rFonts w:ascii="Times New Roman;sans-serif" w:hAnsi="Times New Roman;sans-serif"/>
          <w:b/>
          <w:i/>
          <w:color w:val="000000"/>
          <w:sz w:val="24"/>
        </w:rPr>
        <w:t>Aggregate Payments</w:t>
      </w:r>
      <w:r>
        <w:rPr>
          <w:color w:val="000000"/>
        </w:rPr>
        <w:t>”</w:t>
      </w:r>
      <w:r>
        <w:rPr>
          <w:rFonts w:ascii="Times New Roman;sans-serif" w:hAnsi="Times New Roman;sans-serif"/>
          <w:b w:val="false"/>
          <w:color w:val="000000"/>
          <w:sz w:val="24"/>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sans-serif" w:hAnsi="Times New Roman;sans-serif"/>
          <w:b/>
          <w:i/>
          <w:color w:val="000000"/>
          <w:sz w:val="24"/>
        </w:rPr>
        <w:t>After Tax Amount</w:t>
      </w:r>
      <w:r>
        <w:rPr>
          <w:color w:val="000000"/>
        </w:rPr>
        <w:t xml:space="preserve">” </w:t>
      </w:r>
      <w:r>
        <w:rPr>
          <w:rFonts w:ascii="Times New Roman;sans-serif" w:hAnsi="Times New Roman;sans-serif"/>
          <w:b w:val="false"/>
          <w:color w:val="000000"/>
          <w:sz w:val="24"/>
        </w:rPr>
        <w:t xml:space="preserve">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will be exempt from the excise taxes imposed under Sections 280G and 4999 of the Code, Tempest shall use its reasonable best efforts to obtain such approval. </w:t>
      </w:r>
    </w:p>
    <w:p>
      <w:pPr>
        <w:pStyle w:val="TextBody"/>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w:t>
      </w:r>
    </w:p>
    <w:p>
      <w:pPr>
        <w:pStyle w:val="TextBody"/>
        <w:spacing w:lineRule="auto" w:line="276" w:before="0" w:after="240"/>
        <w:ind w:left="0" w:right="0" w:firstLine="1440"/>
        <w:jc w:val="both"/>
        <w:rPr/>
      </w:pPr>
      <w:r>
        <w:rPr>
          <w:rFonts w:ascii="Times New Roman;sans-serif" w:hAnsi="Times New Roman;sans-serif"/>
          <w:b w:val="false"/>
          <w:color w:val="000000"/>
          <w:sz w:val="23"/>
        </w:rPr>
        <w:t>a.</w:t>
      </w:r>
      <w:r>
        <w:rPr>
          <w:rFonts w:ascii="Times New Roman;sans-serif" w:hAnsi="Times New Roman;sans-serif"/>
          <w:b w:val="false"/>
          <w:color w:val="000000"/>
          <w:sz w:val="24"/>
        </w:rPr>
        <w:t xml:space="preserve">This offer of employment is made subject to you having the legal right to work in the United States. </w:t>
      </w:r>
    </w:p>
    <w:p>
      <w:pPr>
        <w:pStyle w:val="TextBody"/>
        <w:spacing w:lineRule="auto" w:line="276" w:before="0" w:after="240"/>
        <w:ind w:left="0" w:right="0" w:firstLine="1440"/>
        <w:jc w:val="both"/>
        <w:rPr/>
      </w:pPr>
      <w:r>
        <w:rPr>
          <w:rFonts w:ascii="Times New Roman;sans-serif" w:hAnsi="Times New Roman;sans-serif"/>
          <w:b w:val="false"/>
          <w:color w:val="000000"/>
          <w:sz w:val="23"/>
        </w:rPr>
        <w:t>b.</w:t>
      </w:r>
      <w:r>
        <w:rPr>
          <w:rFonts w:ascii="Times New Roman;sans-serif" w:hAnsi="Times New Roman;sans-serif"/>
          <w:b w:val="false"/>
          <w:color w:val="000000"/>
          <w:sz w:val="24"/>
        </w:rPr>
        <w:t>Your employment with Tempest is subject to all Company policies and procedures, and Tempest retains the right to change its policies or procedures at any time.</w:t>
      </w:r>
    </w:p>
    <w:p>
      <w:pPr>
        <w:pStyle w:val="TextBody"/>
        <w:spacing w:lineRule="auto" w:line="276" w:before="0" w:after="240"/>
        <w:ind w:left="0" w:right="0" w:firstLine="1440"/>
        <w:jc w:val="both"/>
        <w:rPr/>
      </w:pPr>
      <w:r>
        <w:rPr>
          <w:rFonts w:ascii="Times New Roman;sans-serif" w:hAnsi="Times New Roman;sans-serif"/>
          <w:b w:val="false"/>
          <w:color w:val="000000"/>
          <w:sz w:val="23"/>
        </w:rPr>
        <w:t>c.</w:t>
      </w:r>
      <w:r>
        <w:rPr>
          <w:rFonts w:ascii="Times New Roman;sans-serif" w:hAnsi="Times New Roman;sans-serif"/>
          <w:b w:val="false"/>
          <w:color w:val="000000"/>
          <w:sz w:val="24"/>
        </w:rPr>
        <w:t>This Agreement may be executed in several counterparts, each of which shall be deemed to be an original but all of which together will constitute one and the same instrument.</w:t>
      </w:r>
    </w:p>
    <w:p>
      <w:pPr>
        <w:pStyle w:val="TextBody"/>
        <w:spacing w:lineRule="auto" w:line="276" w:before="0" w:after="240"/>
        <w:ind w:left="0" w:right="0" w:firstLine="1440"/>
        <w:jc w:val="both"/>
        <w:rPr/>
      </w:pPr>
      <w:r>
        <w:rPr>
          <w:rFonts w:ascii="Times New Roman;sans-serif" w:hAnsi="Times New Roman;sans-serif"/>
          <w:b w:val="false"/>
          <w:color w:val="000000"/>
          <w:sz w:val="23"/>
        </w:rPr>
        <w:t>d.</w:t>
      </w:r>
      <w:r>
        <w:rPr>
          <w:rFonts w:ascii="Times New Roman;sans-serif" w:hAnsi="Times New Roman;sans-serif"/>
          <w:b w:val="false"/>
          <w:color w:val="000000"/>
          <w:sz w:val="24"/>
        </w:rPr>
        <w:t xml:space="preserve">Neither this Agreement nor any of your rights or obligations hereunder shall be assignable by you. Tempest may assign this Agreement or any of its obligations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62890"/>
                <wp:effectExtent l="0" t="0" r="0" b="0"/>
                <wp:wrapNone/>
                <wp:docPr id="87" name="Frame87"/>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pStyle w:val="TextBody"/>
        <w:spacing w:lineRule="auto" w:line="276" w:before="0" w:after="240"/>
        <w:ind w:left="0" w:right="0" w:firstLine="1440"/>
        <w:jc w:val="both"/>
        <w:rPr/>
      </w:pPr>
      <w:r>
        <w:rPr>
          <w:rFonts w:ascii="Times New Roman;sans-serif" w:hAnsi="Times New Roman;sans-serif"/>
          <w:b w:val="false"/>
          <w:color w:val="000000"/>
          <w:sz w:val="23"/>
        </w:rPr>
        <w:t>e.</w:t>
      </w:r>
      <w:r>
        <w:rPr>
          <w:rFonts w:ascii="Times New Roman;sans-serif" w:hAnsi="Times New Roman;sans-serif"/>
          <w:b w:val="false"/>
          <w:color w:val="000000"/>
          <w:sz w:val="24"/>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spacing w:lineRule="auto" w:line="276" w:before="0" w:after="240"/>
        <w:ind w:left="0" w:right="0" w:firstLine="1440"/>
        <w:jc w:val="both"/>
        <w:rPr/>
      </w:pPr>
      <w:r>
        <w:rPr>
          <w:rFonts w:ascii="Times New Roman;sans-serif" w:hAnsi="Times New Roman;sans-serif"/>
          <w:b w:val="false"/>
          <w:color w:val="000000"/>
          <w:sz w:val="23"/>
        </w:rPr>
        <w:t>f.</w:t>
      </w:r>
      <w:r>
        <w:rPr>
          <w:rFonts w:ascii="Times New Roman;sans-serif" w:hAnsi="Times New Roman;sans-serif"/>
          <w:b w:val="false"/>
          <w:color w:val="000000"/>
          <w:sz w:val="24"/>
        </w:rPr>
        <w:t>The validity, interpretation, construction and performance of this Agreement shall be governed by the laws of the State of California without regard to the choice of law principles thereof.</w:t>
      </w:r>
    </w:p>
    <w:p>
      <w:pPr>
        <w:pStyle w:val="TextBody"/>
        <w:spacing w:lineRule="auto" w:line="276"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pStyle w:val="TextBody"/>
        <w:spacing w:before="0" w:after="240"/>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62890"/>
                <wp:effectExtent l="0" t="0" r="0" b="0"/>
                <wp:wrapNone/>
                <wp:docPr id="88" name="Frame88"/>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foregoing is acceptable, please indicate your agreement by signing below and returning the original signed Agreement (keeping a copy for your own records) to me on or before January 18, 2022. If you have any further questions or require additional information, please feel free to contact me.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TEMPEST THERAPEUTICS, INC.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Stephen R. Brady                </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Stephen Brady</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ACCEPTED AND AGREED</w:t>
      </w:r>
      <w:r>
        <w:rPr>
          <w:rFonts w:ascii="Times New Roman;sans-serif" w:hAnsi="Times New Roman;sans-serif"/>
          <w:b/>
          <w:color w:val="000000"/>
          <w:sz w:val="24"/>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/s/ Sam Whiting, M.D., Ph.D.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Sam Whiting, M.D., Ph.D.</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Date:</w:t>
      </w:r>
      <w:r>
        <w:rPr>
          <w:color w:val="000000"/>
          <w:u w:val="single"/>
        </w:rPr>
        <w:t>    </w:t>
      </w:r>
      <w:r>
        <w:rPr>
          <w:rFonts w:ascii="Times New Roman;sans-serif" w:hAnsi="Times New Roman;sans-serif"/>
          <w:b w:val="false"/>
          <w:color w:val="000000"/>
          <w:sz w:val="24"/>
          <w:u w:val="single"/>
        </w:rPr>
        <w:t>January 14, 2022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Appendices:    Appendix A — Approved Activities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Appendix B — Separation Agreement and General Release</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Appendix C — Confidentiality and Proprietary Rights Agreement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62890"/>
                <wp:effectExtent l="0" t="0" r="0" b="0"/>
                <wp:wrapNone/>
                <wp:docPr id="89" name="Frame89"/>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273897484v.2</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Tempest Therapeutics,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7000 Shoreline Court, Suite 275</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South San Francisco, California 94080</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January 12, 2022</w:t>
      </w:r>
    </w:p>
    <w:p>
      <w:pPr>
        <w:pStyle w:val="TextBody"/>
        <w:spacing w:before="0" w:after="0"/>
        <w:jc w:val="both"/>
        <w:rPr/>
      </w:pPr>
      <w:r>
        <w:rPr/>
      </w:r>
    </w:p>
    <w:p>
      <w:pPr>
        <w:pStyle w:val="TextBody"/>
        <w:spacing w:lineRule="auto" w:line="240" w:before="0" w:after="0"/>
        <w:jc w:val="both"/>
        <w:rPr>
          <w:rFonts w:ascii="Times New Roman;sans-serif" w:hAnsi="Times New Roman;sans-serif"/>
          <w:b/>
          <w:i/>
          <w:color w:val="000000"/>
          <w:sz w:val="24"/>
        </w:rPr>
      </w:pPr>
      <w:r>
        <w:rPr>
          <w:rFonts w:ascii="Times New Roman;sans-serif" w:hAnsi="Times New Roman;sans-serif"/>
          <w:b/>
          <w:i/>
          <w:color w:val="000000"/>
          <w:sz w:val="24"/>
        </w:rPr>
        <w:t>Via Email Only</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NMAESTAS@TEMPESTTX.COM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Nicholas M. Maestas</w:t>
      </w:r>
    </w:p>
    <w:p>
      <w:pPr>
        <w:pStyle w:val="TextBody"/>
        <w:spacing w:before="0" w:after="0"/>
        <w:jc w:val="both"/>
        <w:rPr/>
      </w:pPr>
      <w:r>
        <w:rPr/>
      </w:r>
    </w:p>
    <w:p>
      <w:pPr>
        <w:pStyle w:val="TextBody"/>
        <w:spacing w:lineRule="auto" w:line="240" w:before="0" w:after="0"/>
        <w:jc w:val="both"/>
        <w:rPr>
          <w:rFonts w:ascii="Times New Roman;sans-serif" w:hAnsi="Times New Roman;sans-serif"/>
          <w:b/>
          <w:color w:val="000000"/>
          <w:sz w:val="24"/>
        </w:rPr>
      </w:pPr>
      <w:r>
        <w:rPr>
          <w:rFonts w:ascii="Times New Roman;sans-serif" w:hAnsi="Times New Roman;sans-serif"/>
          <w:b/>
          <w:color w:val="000000"/>
          <w:sz w:val="24"/>
        </w:rPr>
        <w:t>RE:    EXECUTIVE EMPLOYMENT AGREEMENT</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Dear Nic:</w:t>
      </w:r>
    </w:p>
    <w:p>
      <w:pPr>
        <w:pStyle w:val="TextBody"/>
        <w:spacing w:before="0" w:after="0"/>
        <w:jc w:val="both"/>
        <w:rPr/>
      </w:pPr>
      <w:r>
        <w:rPr/>
      </w:r>
    </w:p>
    <w:p>
      <w:pPr>
        <w:pStyle w:val="TextBody"/>
        <w:spacing w:lineRule="auto" w:line="240" w:before="0" w:after="240"/>
        <w:jc w:val="both"/>
        <w:rPr/>
      </w:pPr>
      <w:r>
        <w:rPr>
          <w:rFonts w:ascii="Times New Roman;sans-serif" w:hAnsi="Times New Roman;sans-serif"/>
          <w:b w:val="false"/>
          <w:color w:val="000000"/>
          <w:sz w:val="24"/>
        </w:rPr>
        <w:t>On behalf of Tempest Therapeutics, Inc. (“</w:t>
      </w:r>
      <w:r>
        <w:rPr>
          <w:rFonts w:ascii="Times New Roman;sans-serif" w:hAnsi="Times New Roman;sans-serif"/>
          <w:b/>
          <w:i/>
          <w:color w:val="000000"/>
          <w:sz w:val="24"/>
        </w:rPr>
        <w:t>Tempest</w:t>
      </w:r>
      <w:r>
        <w:rPr>
          <w:color w:val="000000"/>
        </w:rPr>
        <w:t>”</w:t>
      </w:r>
      <w:r>
        <w:rPr>
          <w:rFonts w:ascii="Times New Roman;sans-serif" w:hAnsi="Times New Roman;sans-serif"/>
          <w:b w:val="false"/>
          <w:color w:val="000000"/>
          <w:sz w:val="24"/>
        </w:rPr>
        <w:t>, or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it is my pleasure to confirm the terms and conditions of your continued employment as Tempest’s vice president, strategy and finance, reporting to the Company’s Chief Executive Officer (the “</w:t>
      </w:r>
      <w:r>
        <w:rPr>
          <w:rFonts w:ascii="Times New Roman;sans-serif" w:hAnsi="Times New Roman;sans-serif"/>
          <w:b/>
          <w:i/>
          <w:color w:val="000000"/>
          <w:sz w:val="24"/>
        </w:rPr>
        <w:t>CEO</w:t>
      </w:r>
      <w:r>
        <w:rPr>
          <w:color w:val="000000"/>
        </w:rPr>
        <w:t>”</w:t>
      </w:r>
      <w:r>
        <w:rPr>
          <w:rFonts w:ascii="Times New Roman;sans-serif" w:hAnsi="Times New Roman;sans-serif"/>
          <w:b w:val="false"/>
          <w:color w:val="000000"/>
          <w:sz w:val="24"/>
        </w:rPr>
        <w:t xml:space="preserve">),. During your employment with Tempest, you will devote substantially all of your professional efforts to the business of Tempest, except that you may engage in the business activities described on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of this employment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xml:space="preserve">), and other activities that may be approved in advance by the Company’s Chief Executive Officer, with advice from the Board (which together with the activities set forth on </w:t>
      </w:r>
      <w:r>
        <w:rPr>
          <w:rFonts w:ascii="Times New Roman;sans-serif" w:hAnsi="Times New Roman;sans-serif"/>
          <w:b w:val="false"/>
          <w:color w:val="000000"/>
          <w:sz w:val="24"/>
          <w:u w:val="single"/>
        </w:rPr>
        <w:t>Appendix A</w:t>
      </w:r>
      <w:r>
        <w:rPr>
          <w:color w:val="000000"/>
        </w:rPr>
        <w:t xml:space="preserve"> </w:t>
      </w:r>
      <w:r>
        <w:rPr>
          <w:rFonts w:ascii="Times New Roman;sans-serif" w:hAnsi="Times New Roman;sans-serif"/>
          <w:b w:val="false"/>
          <w:color w:val="000000"/>
          <w:sz w:val="24"/>
        </w:rPr>
        <w:t xml:space="preserve">may include one for-profit board membership(s)), in each case, so long as these activities do not interfere or conflict with your obligations to the Company. Your employment under the terms of this Agreement shall continue until it terminates in accordance with </w:t>
      </w:r>
      <w:r>
        <w:rPr>
          <w:rFonts w:ascii="Times New Roman;sans-serif" w:hAnsi="Times New Roman;sans-serif"/>
          <w:b w:val="false"/>
          <w:color w:val="000000"/>
          <w:sz w:val="24"/>
          <w:u w:val="single"/>
        </w:rPr>
        <w:t>Section 5</w:t>
      </w:r>
      <w:r>
        <w:rPr>
          <w:color w:val="000000"/>
        </w:rPr>
        <w:t xml:space="preserve"> </w:t>
      </w:r>
      <w:r>
        <w:rPr>
          <w:rFonts w:ascii="Times New Roman;sans-serif" w:hAnsi="Times New Roman;sans-serif"/>
          <w:b w:val="false"/>
          <w:color w:val="000000"/>
          <w:sz w:val="24"/>
        </w:rPr>
        <w:t>below.</w:t>
      </w:r>
    </w:p>
    <w:p>
      <w:pPr>
        <w:pStyle w:val="TextBody"/>
        <w:spacing w:lineRule="auto" w:line="240" w:before="0" w:after="240"/>
        <w:jc w:val="both"/>
        <w:rPr/>
      </w:pPr>
      <w:r>
        <w:rPr>
          <w:rFonts w:ascii="Times New Roman;sans-serif" w:hAnsi="Times New Roman;sans-serif"/>
          <w:b w:val="false"/>
          <w:color w:val="000000"/>
          <w:sz w:val="24"/>
        </w:rPr>
        <w:t>This Agreement supersedes, amends and restates in all respects all prior agreements and understandings between you and the Company regarding the subject matter herein. The date on which you sign this Agreement is referred to herein as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This Agreement is intended to summarize some of the terms and conditions of your employment.</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Location</w:t>
      </w:r>
      <w:r>
        <w:rPr>
          <w:rFonts w:ascii="Times New Roman;sans-serif" w:hAnsi="Times New Roman;sans-serif"/>
          <w:b w:val="false"/>
          <w:color w:val="000000"/>
          <w:sz w:val="24"/>
        </w:rPr>
        <w:t>. Your place of employment will be at Tempest’s principal offices, currently located in South San Francisco, California. You will be required to work from this location as reasonably determined by the Company in accordance with its “work from home,” and “work from office” policies, as may be amended from time to time, taking into account relevant factors of your responsibilities.</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Compensation</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Base Salary</w:t>
      </w:r>
      <w:r>
        <w:rPr>
          <w:rFonts w:ascii="Times New Roman;sans-serif" w:hAnsi="Times New Roman;sans-serif"/>
          <w:b w:val="false"/>
          <w:color w:val="000000"/>
          <w:sz w:val="24"/>
        </w:rPr>
        <w:t>. Your annualized base salary rate as of the Effective Date is $334,750, less standard deductions and withholding and payable bi-weekly in accordance with Tempest’s regular payroll practices. Your salary shall be reviewed annually and may be adjusted in connection with any such review.</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Bonus Program</w:t>
      </w:r>
      <w:r>
        <w:rPr>
          <w:rFonts w:ascii="Times New Roman;sans-serif" w:hAnsi="Times New Roman;sans-serif"/>
          <w:b w:val="false"/>
          <w:color w:val="000000"/>
          <w:sz w:val="24"/>
        </w:rPr>
        <w:t>. You will be eligible for an annual target bonus of 30% of your annual base salary, as determined by the Board in its sole discretion based upon, among other things, the achievement of pre-determined performance milestones. Any annual bonus, if earned, shall be paid no later than March 15</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of the year immediately following the year to which the applicable annual bonus relates.</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77495"/>
                <wp:effectExtent l="0" t="0" r="0" b="0"/>
                <wp:wrapNone/>
                <wp:docPr id="90" name="Frame90"/>
                <a:graphic xmlns:a="http://schemas.openxmlformats.org/drawingml/2006/main">
                  <a:graphicData uri="http://schemas.microsoft.com/office/word/2010/wordprocessingShape">
                    <wps:wsp>
                      <wps:cNvSpPr txBox="1"/>
                      <wps:spPr>
                        <a:xfrm>
                          <a:off x="0" y="0"/>
                          <a:ext cx="6480175" cy="277495"/>
                        </a:xfrm>
                        <a:prstGeom prst="rect"/>
                      </wps:spPr>
                      <wps:txb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before="0" w:after="0"/>
                        <w:rPr/>
                      </w:pPr>
                      <w:r>
                        <w:rPr/>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Option Grants</w:t>
      </w:r>
      <w:r>
        <w:rPr>
          <w:rFonts w:ascii="Times New Roman;sans-serif" w:hAnsi="Times New Roman;sans-serif"/>
          <w:b w:val="false"/>
          <w:color w:val="000000"/>
          <w:sz w:val="24"/>
        </w:rPr>
        <w:t>. As of the Effective Date, you acknowledge that you have been granted options to purchase 42,725 shares of Tempest’s common stock (the “Option”), vesting in accordance with the terms of the grant agreements therefor, and otherwise in accordance with this Agreement. . You also may be granted other stock options in the course of providing services to the Company (collectively with the Option, the “</w:t>
      </w:r>
      <w:r>
        <w:rPr>
          <w:rFonts w:ascii="Times New Roman;sans-serif" w:hAnsi="Times New Roman;sans-serif"/>
          <w:b/>
          <w:i/>
          <w:color w:val="000000"/>
          <w:sz w:val="24"/>
        </w:rPr>
        <w:t>Stock Option Grants</w:t>
      </w:r>
      <w:r>
        <w:rPr>
          <w:color w:val="000000"/>
        </w:rPr>
        <w:t>”</w:t>
      </w:r>
      <w:r>
        <w:rPr>
          <w:rFonts w:ascii="Times New Roman;sans-serif" w:hAnsi="Times New Roman;sans-serif"/>
          <w:b w:val="false"/>
          <w:color w:val="000000"/>
          <w:sz w:val="24"/>
        </w:rPr>
        <w:t>). The Stock Option Grants are also subject to the terms of Tempest’s equity incentive arrangements, including its customary Incentive Stock Option (ISO) Grant Agreement. In the event that (i) the Company consummates a Change in Control (as defined below), and (ii) the Stock Option Grants are not otherwise vested, then one hundred percent (100%) of remaining shares subject to the Stock Option Grants shall vest in full on the date immediately prior to the effective date of the Change in Control, subject to your continuous employment through such vesting date.</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 xml:space="preserve">Withholding. </w:t>
      </w:r>
      <w:r>
        <w:rPr>
          <w:rFonts w:ascii="Times New Roman;sans-serif" w:hAnsi="Times New Roman;sans-serif"/>
          <w:b w:val="false"/>
          <w:color w:val="000000"/>
          <w:sz w:val="24"/>
        </w:rPr>
        <w:t>Tempest shall withhold from any compensation or benefits payable to you by Tempest any federal, state and/or local income, employment and/or other similar taxes as may be required to be withheld pursuant to any applicable law or regulation.</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Benefits</w:t>
      </w:r>
      <w:r>
        <w:rPr>
          <w:rFonts w:ascii="Times New Roman;sans-serif" w:hAnsi="Times New Roman;sans-serif"/>
          <w:b w:val="false"/>
          <w:color w:val="000000"/>
          <w:sz w:val="24"/>
        </w:rPr>
        <w:t xml:space="preserve">. </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Other</w:t>
      </w:r>
      <w:r>
        <w:rPr>
          <w:rFonts w:ascii="Times New Roman;sans-serif" w:hAnsi="Times New Roman;sans-serif"/>
          <w:b w:val="false"/>
          <w:color w:val="000000"/>
          <w:sz w:val="24"/>
        </w:rPr>
        <w:t>. You will be eligible to participate in the benefits to be offered by Tempest on the same terms and conditions as it will make such benefits available to employees in positions similar to your position. The benefits are currently expected to include health insurance and such other benefits provided by similar companies of a similar stage, as approved by the Board.</w:t>
      </w:r>
    </w:p>
    <w:p>
      <w:pPr>
        <w:pStyle w:val="TextBody"/>
        <w:spacing w:lineRule="auto" w:line="240" w:before="0" w:after="240"/>
        <w:ind w:left="0" w:right="0" w:firstLine="144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Expenses</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Tempest shall reimburse you for all reasonable expenses of the type authorized by Tempest and incurred by you in the performance of your duties under this Agreement, all in accordance with the Company’s reimbursement policies.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As is the case of all employee benefits, such benefits will be governed by the terms and conditions of applicable Tempest plans or policies, which are subject to change or discontinuation at any time.</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Definitions.</w:t>
      </w:r>
      <w:r>
        <w:rPr>
          <w:color w:val="000000"/>
        </w:rPr>
        <w:t xml:space="preserve"> </w:t>
      </w:r>
      <w:r>
        <w:rPr>
          <w:rFonts w:ascii="Times New Roman;sans-serif" w:hAnsi="Times New Roman;sans-serif"/>
          <w:b w:val="false"/>
          <w:color w:val="000000"/>
          <w:sz w:val="24"/>
        </w:rPr>
        <w:t xml:space="preserve">For purposes of this Agreement: </w:t>
      </w:r>
    </w:p>
    <w:p>
      <w:pPr>
        <w:pStyle w:val="TextBody"/>
        <w:spacing w:lineRule="auto" w:line="240" w:before="0" w:after="240"/>
        <w:ind w:left="0" w:right="0" w:firstLine="2340"/>
        <w:jc w:val="both"/>
        <w:rPr/>
      </w:pPr>
      <w:r>
        <w:rPr>
          <w:rFonts w:ascii="Times New Roman;sans-serif" w:hAnsi="Times New Roman;sans-serif"/>
          <w:b w:val="false"/>
          <w:color w:val="000000"/>
          <w:sz w:val="24"/>
        </w:rPr>
        <w:t>i.</w:t>
      </w:r>
      <w:r>
        <w:rPr>
          <w:color w:val="000000"/>
        </w:rPr>
        <w:t>“</w:t>
      </w:r>
      <w:r>
        <w:rPr>
          <w:rFonts w:ascii="Times New Roman;sans-serif" w:hAnsi="Times New Roman;sans-serif"/>
          <w:b/>
          <w:i/>
          <w:color w:val="000000"/>
          <w:sz w:val="24"/>
        </w:rPr>
        <w:t>Accrued Benefits</w:t>
      </w:r>
      <w:r>
        <w:rPr>
          <w:color w:val="000000"/>
        </w:rPr>
        <w:t xml:space="preserve">” </w:t>
      </w:r>
      <w:r>
        <w:rPr>
          <w:rFonts w:ascii="Times New Roman;sans-serif" w:hAnsi="Times New Roman;sans-serif"/>
          <w:b w:val="false"/>
          <w:color w:val="000000"/>
          <w:sz w:val="24"/>
        </w:rPr>
        <w:t xml:space="preserve">means: (i) any unpaid base salary for services rendered prior to the date of termination of employment; (ii) any earned but unpaid annual bonus for any completed fiscal year prior to the year in which termination of employment occurs; (iii) reimbursement of any unreimbursed business expenses incurred as of the date of termination of employment in accordance with Tempest’s reimbursement policy, (iv) accrued but unused vacation (if applicable), earned through the date of termination of employment; and (v) all other payments, benefits or fringe benefits to which you shall be entitled under the terms of any applicable compensation arrangement or benefit, equity or fringe benefit plan or program or grant with or by Tempest or this Agreement. </w:t>
      </w:r>
    </w:p>
    <w:p>
      <w:pPr>
        <w:pStyle w:val="TextBody"/>
        <w:spacing w:lineRule="auto" w:line="240" w:before="0" w:after="240"/>
        <w:ind w:left="0" w:right="0" w:firstLine="2160"/>
        <w:jc w:val="both"/>
        <w:rPr/>
      </w:pPr>
      <w:r>
        <w:rPr>
          <w:rFonts w:ascii="Times New Roman;sans-serif" w:hAnsi="Times New Roman;sans-serif"/>
          <w:b w:val="false"/>
          <w:color w:val="000000"/>
          <w:sz w:val="24"/>
        </w:rPr>
        <w:t>ii.</w:t>
      </w:r>
      <w:r>
        <w:rPr>
          <w:color w:val="000000"/>
        </w:rPr>
        <w:t>“</w:t>
      </w:r>
      <w:r>
        <w:rPr>
          <w:rFonts w:ascii="Times New Roman;sans-serif" w:hAnsi="Times New Roman;sans-serif"/>
          <w:b/>
          <w:i/>
          <w:color w:val="000000"/>
          <w:sz w:val="24"/>
        </w:rPr>
        <w:t>Cause</w:t>
      </w:r>
      <w:r>
        <w:rPr>
          <w:color w:val="000000"/>
        </w:rPr>
        <w:t xml:space="preserve">” </w:t>
      </w:r>
      <w:r>
        <w:rPr>
          <w:rFonts w:ascii="Times New Roman;sans-serif" w:hAnsi="Times New Roman;sans-serif"/>
          <w:b w:val="false"/>
          <w:color w:val="000000"/>
          <w:sz w:val="24"/>
        </w:rPr>
        <w:t xml:space="preserve">means conduct involving one or more of the following by you: (i) failure to perform a substantial portion of your duties and responsibilities in accordance with the terms or requirements of this Agreement and your position, which failure continues for, or is not permanently cured within, a period of 30 days after written notice given to you by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62890"/>
                <wp:effectExtent l="0" t="0" r="0" b="0"/>
                <wp:wrapNone/>
                <wp:docPr id="91" name="Frame91"/>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Tempest, except in the case of your physical or mental illness; (ii) disloyalty, gross negligence, willful misconduct, or dishonesty that materially injures Tempest or a breach of fiduciary duty to Tempest; (iii) the conviction of (x) a felony or (y) a misdemeanor involving moral turpitude, or fraud;</w:t>
      </w:r>
      <w:r>
        <w:rPr>
          <w:color w:val="000000"/>
        </w:rPr>
        <w:t xml:space="preserve"> </w:t>
      </w:r>
      <w:r>
        <w:rPr>
          <w:rFonts w:ascii="Times New Roman;sans-serif" w:hAnsi="Times New Roman;sans-serif"/>
          <w:b w:val="false"/>
          <w:color w:val="000000"/>
          <w:sz w:val="24"/>
        </w:rPr>
        <w:t xml:space="preserve">(iv) the commission of an act of embezzlement or fraud; or (v) the material breach of any agreement between Tempest and you. </w:t>
      </w:r>
    </w:p>
    <w:p>
      <w:pPr>
        <w:pStyle w:val="TextBody"/>
        <w:spacing w:lineRule="auto" w:line="240" w:before="0" w:after="240"/>
        <w:ind w:left="0" w:right="0" w:firstLine="2160"/>
        <w:jc w:val="both"/>
        <w:rPr/>
      </w:pPr>
      <w:r>
        <w:rPr>
          <w:rFonts w:ascii="Times New Roman;sans-serif" w:hAnsi="Times New Roman;sans-serif"/>
          <w:b w:val="false"/>
          <w:color w:val="000000"/>
          <w:sz w:val="24"/>
        </w:rPr>
        <w:t>iii.</w:t>
      </w:r>
      <w:r>
        <w:rPr>
          <w:color w:val="000000"/>
        </w:rPr>
        <w:t>“</w:t>
      </w:r>
      <w:r>
        <w:rPr>
          <w:rFonts w:ascii="Times New Roman;sans-serif" w:hAnsi="Times New Roman;sans-serif"/>
          <w:b/>
          <w:i/>
          <w:color w:val="000000"/>
          <w:sz w:val="24"/>
        </w:rPr>
        <w:t>Change in Control</w:t>
      </w:r>
      <w:r>
        <w:rPr>
          <w:color w:val="000000"/>
        </w:rPr>
        <w:t xml:space="preserve">” </w:t>
      </w:r>
      <w:r>
        <w:rPr>
          <w:rFonts w:ascii="Times New Roman;sans-serif" w:hAnsi="Times New Roman;sans-serif"/>
          <w:b w:val="false"/>
          <w:color w:val="000000"/>
          <w:sz w:val="24"/>
        </w:rPr>
        <w:t>shall have the meaning set forth in the Company’s 2017 Equity Incentive Plan.</w:t>
      </w:r>
    </w:p>
    <w:p>
      <w:pPr>
        <w:pStyle w:val="TextBody"/>
        <w:spacing w:lineRule="auto" w:line="240" w:before="0" w:after="240"/>
        <w:ind w:left="0" w:right="0" w:firstLine="2160"/>
        <w:jc w:val="both"/>
        <w:rPr/>
      </w:pPr>
      <w:r>
        <w:rPr>
          <w:rFonts w:ascii="Times New Roman;sans-serif" w:hAnsi="Times New Roman;sans-serif"/>
          <w:b w:val="false"/>
          <w:color w:val="000000"/>
          <w:sz w:val="24"/>
        </w:rPr>
        <w:t>iv.</w:t>
      </w:r>
      <w:r>
        <w:rPr>
          <w:color w:val="000000"/>
        </w:rPr>
        <w:t>“</w:t>
      </w:r>
      <w:r>
        <w:rPr>
          <w:rFonts w:ascii="Times New Roman;sans-serif" w:hAnsi="Times New Roman;sans-serif"/>
          <w:b/>
          <w:i/>
          <w:color w:val="000000"/>
          <w:sz w:val="24"/>
        </w:rPr>
        <w:t>Change in Control Period</w:t>
      </w:r>
      <w:r>
        <w:rPr>
          <w:color w:val="000000"/>
        </w:rPr>
        <w:t xml:space="preserve">” </w:t>
      </w:r>
      <w:r>
        <w:rPr>
          <w:rFonts w:ascii="Times New Roman;sans-serif" w:hAnsi="Times New Roman;sans-serif"/>
          <w:b w:val="false"/>
          <w:color w:val="000000"/>
          <w:sz w:val="24"/>
        </w:rPr>
        <w:t>means the three (3) month period prior to, and twelve (12) month period following, a Change in Control.</w:t>
      </w:r>
    </w:p>
    <w:p>
      <w:pPr>
        <w:pStyle w:val="TextBody"/>
        <w:spacing w:lineRule="auto" w:line="240" w:before="0" w:after="240"/>
        <w:ind w:left="0" w:right="0" w:firstLine="2160"/>
        <w:jc w:val="both"/>
        <w:rPr/>
      </w:pPr>
      <w:r>
        <w:rPr>
          <w:rFonts w:ascii="Times New Roman;sans-serif" w:hAnsi="Times New Roman;sans-serif"/>
          <w:b w:val="false"/>
          <w:color w:val="000000"/>
          <w:sz w:val="24"/>
        </w:rPr>
        <w:t>v.</w:t>
      </w:r>
      <w:r>
        <w:rPr>
          <w:color w:val="000000"/>
        </w:rPr>
        <w:t>“</w:t>
      </w:r>
      <w:r>
        <w:rPr>
          <w:rFonts w:ascii="Times New Roman;sans-serif" w:hAnsi="Times New Roman;sans-serif"/>
          <w:b/>
          <w:i/>
          <w:color w:val="000000"/>
          <w:sz w:val="24"/>
        </w:rPr>
        <w:t>Good Reason</w:t>
      </w:r>
      <w:r>
        <w:rPr>
          <w:color w:val="000000"/>
        </w:rPr>
        <w:t xml:space="preserve">” </w:t>
      </w:r>
      <w:r>
        <w:rPr>
          <w:rFonts w:ascii="Times New Roman;sans-serif" w:hAnsi="Times New Roman;sans-serif"/>
          <w:b w:val="false"/>
          <w:color w:val="000000"/>
          <w:sz w:val="24"/>
        </w:rPr>
        <w:t>means, without your express written consent, (i) any reduction in your annual base salary other than a reduction which is proportional to general reductions affecting other senior executive officers of Tempest generally, or (ii) any material reduction in your title or scope of responsibilities without your consent (other than your removal from the Board).</w:t>
      </w:r>
    </w:p>
    <w:p>
      <w:pPr>
        <w:pStyle w:val="TextBody"/>
        <w:spacing w:lineRule="auto" w:line="240" w:before="0" w:after="240"/>
        <w:ind w:left="0" w:right="0" w:hanging="36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Severance Benefits and Payment</w:t>
      </w:r>
      <w:r>
        <w:rPr>
          <w:rFonts w:ascii="Times New Roman;sans-serif" w:hAnsi="Times New Roman;sans-serif"/>
          <w:b w:val="false"/>
          <w:color w:val="000000"/>
          <w:sz w:val="24"/>
        </w:rPr>
        <w:t xml:space="preserve">. </w:t>
      </w:r>
    </w:p>
    <w:p>
      <w:pPr>
        <w:pStyle w:val="TextBody"/>
        <w:spacing w:lineRule="auto" w:line="240" w:before="0" w:after="240"/>
        <w:ind w:left="0" w:right="0" w:firstLine="1980"/>
        <w:jc w:val="both"/>
        <w:rPr/>
      </w:pPr>
      <w:r>
        <w:rPr>
          <w:rFonts w:ascii="Times New Roman;sans-serif" w:hAnsi="Times New Roman;sans-serif"/>
          <w:b w:val="false"/>
          <w:color w:val="000000"/>
          <w:sz w:val="24"/>
        </w:rPr>
        <w:t>i.</w:t>
      </w:r>
      <w:r>
        <w:rPr>
          <w:rFonts w:ascii="Times New Roman;sans-serif" w:hAnsi="Times New Roman;sans-serif"/>
          <w:b w:val="false"/>
          <w:i/>
          <w:color w:val="000000"/>
          <w:sz w:val="24"/>
        </w:rPr>
        <w:t>Generally</w:t>
      </w:r>
      <w:r>
        <w:rPr>
          <w:rFonts w:ascii="Times New Roman;sans-serif" w:hAnsi="Times New Roman;sans-serif"/>
          <w:b w:val="false"/>
          <w:color w:val="000000"/>
          <w:sz w:val="24"/>
        </w:rPr>
        <w:t xml:space="preserve">. If your employment with Tempest is terminated (x) by Tempest for any reason other than Cause, or (y) by you for Good Reason, Tempest will pay you (1) the Accrued Benefits; (2) subject to your compliance with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 xml:space="preserve">below, after the execution and delivery of the Separation Agreement and General Release in substantially the form attached hereto as </w:t>
      </w:r>
      <w:r>
        <w:rPr>
          <w:rFonts w:ascii="Times New Roman;sans-serif" w:hAnsi="Times New Roman;sans-serif"/>
          <w:b w:val="false"/>
          <w:color w:val="000000"/>
          <w:sz w:val="24"/>
          <w:u w:val="single"/>
        </w:rPr>
        <w:t>Appendix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Separation Agreement and General Release</w:t>
      </w:r>
      <w:r>
        <w:rPr>
          <w:color w:val="000000"/>
        </w:rPr>
        <w:t>”</w:t>
      </w:r>
      <w:r>
        <w:rPr>
          <w:rFonts w:ascii="Times New Roman;sans-serif" w:hAnsi="Times New Roman;sans-serif"/>
          <w:b w:val="false"/>
          <w:color w:val="000000"/>
          <w:sz w:val="24"/>
        </w:rPr>
        <w:t>) and the expiration of any revocation period without the release being revoked, three (3) months’ base salary, less standard deductions, payable in bi-weekly installments in accordance with the Company’s regular payroll policies; and (3) if you elect to continue your health insurance coverage pursuant to your rights under the Consolidated Omnibus Budget Reconciliation Act of 1985, as amended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following the termination of your employment, your monthly premium under COBRA on a monthly basis until the earlier of (x) three (3) months following the effective termination date, or (y) the date upon which you commence full-time employment (or employment that provides you with eligibility for healthcare benefits substantially comparable to those provided by Tempest). A termination of your employment by Tempest due to physical or mental illness which is not a Disability (as defined herein) shall be treated as an involuntary termination other than for Cause. The term “</w:t>
      </w:r>
      <w:r>
        <w:rPr>
          <w:rFonts w:ascii="Times New Roman;sans-serif" w:hAnsi="Times New Roman;sans-serif"/>
          <w:b/>
          <w:i/>
          <w:color w:val="000000"/>
          <w:sz w:val="24"/>
        </w:rPr>
        <w:t>Disability</w:t>
      </w:r>
      <w:r>
        <w:rPr>
          <w:color w:val="000000"/>
        </w:rPr>
        <w:t xml:space="preserve">” </w:t>
      </w:r>
      <w:r>
        <w:rPr>
          <w:rFonts w:ascii="Times New Roman;sans-serif" w:hAnsi="Times New Roman;sans-serif"/>
          <w:b w:val="false"/>
          <w:color w:val="000000"/>
          <w:sz w:val="24"/>
        </w:rPr>
        <w:t>shall mean that you have not been able to materially engage in your duties and responsibilities by reason of any medically determinable physical or mental impairment for a period of not less than 120 consecutive days or not less than 180 days during any one-year period.</w:t>
      </w:r>
    </w:p>
    <w:p>
      <w:pPr>
        <w:pStyle w:val="TextBody"/>
        <w:spacing w:lineRule="auto" w:line="240" w:before="0" w:after="240"/>
        <w:ind w:left="0" w:right="0" w:firstLine="1980"/>
        <w:jc w:val="both"/>
        <w:rPr/>
      </w:pPr>
      <w:r>
        <w:rPr>
          <w:rFonts w:ascii="Times New Roman;sans-serif" w:hAnsi="Times New Roman;sans-serif"/>
          <w:b w:val="false"/>
          <w:color w:val="000000"/>
          <w:sz w:val="24"/>
        </w:rPr>
        <w:t>ii.</w:t>
      </w:r>
      <w:r>
        <w:rPr>
          <w:rFonts w:ascii="Times New Roman;sans-serif" w:hAnsi="Times New Roman;sans-serif"/>
          <w:b w:val="false"/>
          <w:i/>
          <w:color w:val="000000"/>
          <w:sz w:val="24"/>
        </w:rPr>
        <w:t>In connection with the Change in Control Period.</w:t>
      </w:r>
      <w:r>
        <w:rPr>
          <w:color w:val="000000"/>
        </w:rPr>
        <w:t xml:space="preserve"> </w:t>
      </w:r>
      <w:r>
        <w:rPr>
          <w:rFonts w:ascii="Times New Roman;sans-serif" w:hAnsi="Times New Roman;sans-serif"/>
          <w:b w:val="false"/>
          <w:color w:val="000000"/>
          <w:sz w:val="24"/>
        </w:rPr>
        <w:t xml:space="preserve">If your employment with Tempest is terminated (x) by Tempest for any reason other than Cause, or (y) by you for Good Reason during the Change in Control Period, Tempest will pay you (1) the Accrued Benefits; (2) subject to your compliance with </w:t>
      </w:r>
      <w:r>
        <w:rPr>
          <w:rFonts w:ascii="Times New Roman;sans-serif" w:hAnsi="Times New Roman;sans-serif"/>
          <w:b w:val="false"/>
          <w:color w:val="000000"/>
          <w:sz w:val="24"/>
          <w:u w:val="single"/>
        </w:rPr>
        <w:t>Section 4(c)</w:t>
      </w:r>
      <w:r>
        <w:rPr>
          <w:color w:val="000000"/>
        </w:rPr>
        <w:t xml:space="preserve"> </w:t>
      </w:r>
      <w:r>
        <w:rPr>
          <w:rFonts w:ascii="Times New Roman;sans-serif" w:hAnsi="Times New Roman;sans-serif"/>
          <w:b w:val="false"/>
          <w:color w:val="000000"/>
          <w:sz w:val="24"/>
        </w:rPr>
        <w:t>below, after the execution and delivery of the Separation Agreement and General Release and the expiration of any revocation period without the release being revoked, six (6) months’ base salary plus your annual bonus at fifty percent (50%) of target, less standard deductions, payable in a single lump sum on the 60</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 xml:space="preserve">day following the termination of your employment; and (3) if you elect to continue your health insurance coverage pursuant to your rights under COBRA following the termination of your employment, your monthly premium under COBRA on a monthly basis until the earlier of (x) six (6)months following the effective termination date, or (y) the date upon which you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62890"/>
                <wp:effectExtent l="0" t="0" r="0" b="0"/>
                <wp:wrapNone/>
                <wp:docPr id="92" name="Frame92"/>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commence full-time employment (or employment that provides you with eligibility for healthcare benefits substantially comparable to those provided by Tempest). A termination of your employment by Tempest due to physical or mental illness which is not a Disability shall be treated as an involuntary termination other than for Cause.</w:t>
      </w:r>
    </w:p>
    <w:p>
      <w:pPr>
        <w:pStyle w:val="TextBody"/>
        <w:spacing w:lineRule="auto" w:line="240" w:before="0" w:after="240"/>
        <w:ind w:left="0" w:right="0" w:firstLine="144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Eligibility for Severance</w:t>
      </w:r>
      <w:r>
        <w:rPr>
          <w:rFonts w:ascii="Times New Roman;sans-serif" w:hAnsi="Times New Roman;sans-serif"/>
          <w:b w:val="false"/>
          <w:color w:val="000000"/>
          <w:sz w:val="24"/>
        </w:rPr>
        <w:t xml:space="preserve">. Eligibility for receipt of the items in </w:t>
      </w:r>
      <w:r>
        <w:rPr>
          <w:rFonts w:ascii="Times New Roman;sans-serif" w:hAnsi="Times New Roman;sans-serif"/>
          <w:b w:val="false"/>
          <w:color w:val="000000"/>
          <w:sz w:val="24"/>
          <w:u w:val="single"/>
        </w:rPr>
        <w:t>Section 4(b)</w:t>
      </w:r>
      <w:r>
        <w:rPr>
          <w:color w:val="000000"/>
        </w:rPr>
        <w:t xml:space="preserve"> </w:t>
      </w:r>
      <w:r>
        <w:rPr>
          <w:rFonts w:ascii="Times New Roman;sans-serif" w:hAnsi="Times New Roman;sans-serif"/>
          <w:b w:val="false"/>
          <w:color w:val="000000"/>
          <w:sz w:val="24"/>
        </w:rPr>
        <w:t>above, shall be conditioned on your (i) returning to Tempest promptly upon termination of your employment all of its property, including confidential information and all electronically stored information, and (ii) signing and not revoking the Separation Agreement and General Release within the applicable deadline set forth therein, but in no event later than forty-five (45) calendar days following your employment termination date. No benefits set forth in Section 4(b) above will be paid or provided hereunder prior to the effective date of the Separation Agreement and General Release (other than any Accrued Benefits required to be paid).</w:t>
      </w:r>
    </w:p>
    <w:p>
      <w:pPr>
        <w:pStyle w:val="TextBody"/>
        <w:spacing w:lineRule="auto" w:line="240" w:before="0" w:after="240"/>
        <w:ind w:left="0" w:right="0" w:firstLine="144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Accrued Benefits</w:t>
      </w:r>
      <w:r>
        <w:rPr>
          <w:rFonts w:ascii="Times New Roman;sans-serif" w:hAnsi="Times New Roman;sans-serif"/>
          <w:b w:val="false"/>
          <w:color w:val="000000"/>
          <w:sz w:val="24"/>
        </w:rPr>
        <w:t xml:space="preserve">. The Accrued Benefits shall be paid to you (or your estate in the event of your death) upon termination of employment regardless of the circumstances giving rise to such termination. </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At-Will Employment</w:t>
      </w:r>
      <w:r>
        <w:rPr>
          <w:rFonts w:ascii="Times New Roman;sans-serif" w:hAnsi="Times New Roman;sans-serif"/>
          <w:b w:val="false"/>
          <w:color w:val="000000"/>
          <w:sz w:val="24"/>
        </w:rPr>
        <w:t xml:space="preserve">. Your employment with Tempest is at will, meaning it may be terminated by you or Tempest at any time, subject to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above, for any reason with or without Cause. You understand that this Agreement is not a contract for employment for a definite term. </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Confidentiality and Proprietary Rights Agreement</w:t>
      </w:r>
      <w:r>
        <w:rPr>
          <w:rFonts w:ascii="Times New Roman;sans-serif" w:hAnsi="Times New Roman;sans-serif"/>
          <w:b w:val="false"/>
          <w:color w:val="000000"/>
          <w:sz w:val="24"/>
        </w:rPr>
        <w:t xml:space="preserve">. This offer of employment is subject to the Confidentiality and Proprietary Rights Agreement attached as </w:t>
      </w:r>
      <w:r>
        <w:rPr>
          <w:rFonts w:ascii="Times New Roman;sans-serif" w:hAnsi="Times New Roman;sans-serif"/>
          <w:b w:val="false"/>
          <w:color w:val="000000"/>
          <w:sz w:val="24"/>
          <w:u w:val="single"/>
        </w:rPr>
        <w:t>Appendix C</w:t>
      </w:r>
      <w:r>
        <w:rPr>
          <w:rFonts w:ascii="Times New Roman;sans-serif" w:hAnsi="Times New Roman;sans-serif"/>
          <w:b w:val="false"/>
          <w:color w:val="000000"/>
          <w:sz w:val="24"/>
        </w:rPr>
        <w:t>, which shall be effective as of the date set forth therein.</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No Inconsistent Obligations</w:t>
      </w:r>
      <w:r>
        <w:rPr>
          <w:rFonts w:ascii="Times New Roman;sans-serif" w:hAnsi="Times New Roman;sans-serif"/>
          <w:b w:val="false"/>
          <w:color w:val="000000"/>
          <w:sz w:val="24"/>
        </w:rPr>
        <w:t>. By accepting this offer of employment, you represent and warrant to Tempest that you are under no obligations or commitments, whether contractual or otherwise, that are inconsistent with your obligations set forth in this Agreement or that would be violated by your employment by Tempest. You agree that you will not take any action on behalf of Tempest or cause Tempest to take any action that will violate any agreement that you have with a prior employer.</w:t>
      </w:r>
    </w:p>
    <w:p>
      <w:pPr>
        <w:pStyle w:val="TextBody"/>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Delayed Commencement Date for Payments and Benefits</w:t>
      </w:r>
      <w:r>
        <w:rPr>
          <w:rFonts w:ascii="Times New Roman;sans-serif" w:hAnsi="Times New Roman;sans-serif"/>
          <w:b w:val="false"/>
          <w:color w:val="000000"/>
          <w:sz w:val="24"/>
        </w:rPr>
        <w:t xml:space="preserve">. </w:t>
      </w:r>
    </w:p>
    <w:p>
      <w:pPr>
        <w:pStyle w:val="TextBody"/>
        <w:spacing w:lineRule="auto" w:line="276" w:before="0" w:after="240"/>
        <w:ind w:left="0" w:right="0" w:firstLine="1440"/>
        <w:jc w:val="both"/>
        <w:rPr/>
      </w:pPr>
      <w:r>
        <w:rPr>
          <w:rFonts w:ascii="Times New Roman;sans-serif" w:hAnsi="Times New Roman;sans-serif"/>
          <w:b w:val="false"/>
          <w:color w:val="000000"/>
          <w:sz w:val="23"/>
        </w:rPr>
        <w:t>a.</w:t>
      </w:r>
      <w:r>
        <w:rPr>
          <w:rFonts w:ascii="Times New Roman;sans-serif" w:hAnsi="Times New Roman;sans-serif"/>
          <w:b w:val="false"/>
          <w:color w:val="000000"/>
          <w:sz w:val="24"/>
        </w:rPr>
        <w:t>The intent of the parties hereto is that payments and benefits under this Agreement comply with, or be exempt from, Section 409A of the Internal Revenue Code of 1986, as amended, and the regulations and guidance promulgated thereunder (collectively “</w:t>
      </w:r>
      <w:r>
        <w:rPr>
          <w:rFonts w:ascii="Times New Roman;sans-serif" w:hAnsi="Times New Roman;sans-serif"/>
          <w:b/>
          <w:i/>
          <w:color w:val="000000"/>
          <w:sz w:val="24"/>
        </w:rPr>
        <w:t>Code Section 409A</w:t>
      </w:r>
      <w:r>
        <w:rPr>
          <w:color w:val="000000"/>
        </w:rPr>
        <w:t>”</w:t>
      </w:r>
      <w:r>
        <w:rPr>
          <w:rFonts w:ascii="Times New Roman;sans-serif" w:hAnsi="Times New Roman;sans-serif"/>
          <w:b w:val="false"/>
          <w:color w:val="000000"/>
          <w:sz w:val="24"/>
        </w:rPr>
        <w:t xml:space="preserve">) and, accordingly, to the maximum extent permitted, this Agreement shall be interpreted to be in compliance therewith or exempt therefrom. If you notify Tempest (with specificity as to the reason therefor) that you believe that any provision of this Agreement (or of any award of compensation, including equity compensation or benefits) would cause you to incur any additional tax or interest under Code Section 409A and Tempest concurs with such belief or Tempest independently makes such determination, Tempest shall, after consulting with you, reform such provision to try to comply with Code Section 409A through good faith modifications to the minimum extent reasonably appropriate to conform with Code Section 409A. To the extent that any provision hereof is modified in order to comply with Code Section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62890"/>
                <wp:effectExtent l="0" t="0" r="0" b="0"/>
                <wp:wrapNone/>
                <wp:docPr id="93" name="Frame93"/>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409A, such modification shall be made in good faith and shall, to the maximum extent reasonably possible, maintain the original intent and economic benefit to you and Tempest of the applicable provision without violating the provisions of Code Section 409A.</w:t>
      </w:r>
    </w:p>
    <w:p>
      <w:pPr>
        <w:pStyle w:val="TextBody"/>
        <w:spacing w:lineRule="auto" w:line="276" w:before="0" w:after="240"/>
        <w:ind w:left="0" w:right="0" w:firstLine="1440"/>
        <w:jc w:val="both"/>
        <w:rPr/>
      </w:pPr>
      <w:r>
        <w:rPr>
          <w:rFonts w:ascii="Times New Roman;sans-serif" w:hAnsi="Times New Roman;sans-serif"/>
          <w:b w:val="false"/>
          <w:color w:val="000000"/>
          <w:sz w:val="23"/>
        </w:rPr>
        <w:t>b.</w:t>
      </w:r>
      <w:r>
        <w:rPr>
          <w:rFonts w:ascii="Times New Roman;sans-serif" w:hAnsi="Times New Roman;sans-serif"/>
          <w:b w:val="false"/>
          <w:color w:val="000000"/>
          <w:sz w:val="24"/>
        </w:rPr>
        <w:t xml:space="preserve">A termination of employment shall not be deemed to have occurred for purposes of any provision of this Agreement providing for the payment of any amounts or benefits upon or following a termination of employment that are considered “nonqualified deferred compensation” under Code Section 409A unless such termination is also a “separation from service” within the meaning of Code Section 409A and, for purposes of any such provision of this Agreement, references to a “termination,” “termination of employment” or like terms shall mean “separation from service.” Notwithstanding any provision to the contrary in this Agreement, no payments or benefits that are considered “nonqualified deferred compensation” under Code Section 409A to which you otherwise become entitled under this Agreement in connection with your termination of employment, shall be made or provided to you prior to the earlier of (i) the expiration of the 6 month period measured from the date of your “separation from service” with Tempest (as such term is defined in Code Section 409A) or (ii) the date of your death, if you are deemed at the time of such separation from service to be a “specified employee” under Code Section 409A and if, in the absence of such delay, the payments would be subject to additional tax under Code Section 409A. Upon the expiration of the applicable Code Section 409A(a)(2) deferral period, all payments and benefits deferred pursuant to this </w:t>
      </w:r>
      <w:r>
        <w:rPr>
          <w:rFonts w:ascii="Times New Roman;sans-serif" w:hAnsi="Times New Roman;sans-serif"/>
          <w:b w:val="false"/>
          <w:color w:val="000000"/>
          <w:sz w:val="24"/>
          <w:u w:val="single"/>
        </w:rPr>
        <w:t>Section 8(b)</w:t>
      </w:r>
      <w:r>
        <w:rPr>
          <w:color w:val="000000"/>
        </w:rPr>
        <w:t xml:space="preserve"> </w:t>
      </w:r>
      <w:r>
        <w:rPr>
          <w:rFonts w:ascii="Times New Roman;sans-serif" w:hAnsi="Times New Roman;sans-serif"/>
          <w:b w:val="false"/>
          <w:color w:val="000000"/>
          <w:sz w:val="24"/>
        </w:rPr>
        <w:t>(whether they would have otherwise been payable in a single sum or in installments in the absence of such deferral) shall be paid or reimbursed to you in a lump sum, and any remaining payments and benefits due under this Agreement shall be paid or provided in accordance with the normal payment dates specified for them herein. In addition to the above, to the extent required to comply with Code Section 409A and the applicable regulations and guidance issued thereunder, if the applicable deadline for you to execute (and not revoke) the applicable Separation Agreement and General Release spans two calendar years, your severance benefits set forth in Section 4(b) above shall commence to be paid on the first regularly scheduled payroll date that occurs in the second calendar year.</w:t>
      </w:r>
    </w:p>
    <w:p>
      <w:pPr>
        <w:pStyle w:val="TextBody"/>
        <w:spacing w:lineRule="auto" w:line="276" w:before="0" w:after="240"/>
        <w:ind w:left="0" w:right="0" w:firstLine="1440"/>
        <w:jc w:val="both"/>
        <w:rPr/>
      </w:pPr>
      <w:r>
        <w:rPr>
          <w:rFonts w:ascii="Times New Roman;sans-serif" w:hAnsi="Times New Roman;sans-serif"/>
          <w:b w:val="false"/>
          <w:color w:val="000000"/>
          <w:sz w:val="23"/>
        </w:rPr>
        <w:t>c.</w:t>
      </w:r>
      <w:r>
        <w:rPr>
          <w:rFonts w:ascii="Times New Roman;sans-serif" w:hAnsi="Times New Roman;sans-serif"/>
          <w:b w:val="false"/>
          <w:color w:val="000000"/>
          <w:sz w:val="24"/>
        </w:rPr>
        <w:t>For purposes of Code Section 409A, your right to receive any installment</w:t>
        <w:br/>
        <w:t>payment pursuant to this Agreement shall be treated as a right to receive a series of separate and distinct payments. Whenever a payment under this Agreement specifies a payment period with reference to a number of days (</w:t>
      </w:r>
      <w:r>
        <w:rPr>
          <w:rFonts w:ascii="Times New Roman;sans-serif" w:hAnsi="Times New Roman;sans-serif"/>
          <w:b w:val="false"/>
          <w:i/>
          <w:color w:val="000000"/>
          <w:sz w:val="24"/>
        </w:rPr>
        <w:t>e.g.</w:t>
      </w:r>
      <w:r>
        <w:rPr>
          <w:rFonts w:ascii="Times New Roman;sans-serif" w:hAnsi="Times New Roman;sans-serif"/>
          <w:b w:val="false"/>
          <w:color w:val="000000"/>
          <w:sz w:val="24"/>
        </w:rPr>
        <w:t>, “payment shall be made within 30 days following the date of termination”), the actual date of payment within the specified period shall be within the sole discretion of Tempest. Notwithstanding any other provision of this Agreement to the contrary, in no event shall any payment under this Agreement that constitutes “nonqualified deferred compensation” for purposes of Code Section 409A be subject to offset, counterclaim or recoupment by any other amount payable to you unless otherwise permitted by Code Section 409A.</w:t>
      </w:r>
    </w:p>
    <w:p>
      <w:pPr>
        <w:pStyle w:val="TextBody"/>
        <w:spacing w:lineRule="auto" w:line="276" w:before="0" w:after="240"/>
        <w:ind w:left="0" w:right="0" w:firstLine="1440"/>
        <w:jc w:val="both"/>
        <w:rPr/>
      </w:pPr>
      <w:r>
        <w:rPr>
          <w:rFonts w:ascii="Times New Roman;sans-serif" w:hAnsi="Times New Roman;sans-serif"/>
          <w:b w:val="false"/>
          <w:color w:val="000000"/>
          <w:sz w:val="23"/>
        </w:rPr>
        <w:t>d.</w:t>
      </w:r>
      <w:r>
        <w:rPr>
          <w:rFonts w:ascii="Times New Roman;sans-serif" w:hAnsi="Times New Roman;sans-serif"/>
          <w:b w:val="false"/>
          <w:color w:val="000000"/>
          <w:sz w:val="24"/>
        </w:rPr>
        <w:t xml:space="preserve">All in-kind benefits provided and expenses eligible for reimbursement under this Agreement shall be provided by Tempest or incurred by you during the time periods set forth in this Agreement. All reimbursements shall be paid as soon as administratively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62890"/>
                <wp:effectExtent l="0" t="0" r="0" b="0"/>
                <wp:wrapNone/>
                <wp:docPr id="94" name="Frame94"/>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v:textbox>
              </v:rect>
            </w:pict>
          </mc:Fallback>
        </mc:AlternateContent>
      </w:r>
    </w:p>
    <w:p>
      <w:pPr>
        <w:pStyle w:val="TextBody"/>
        <w:spacing w:lineRule="auto" w:line="276"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 </w:t>
      </w:r>
    </w:p>
    <w:p>
      <w:pPr>
        <w:pStyle w:val="TextBody"/>
        <w:spacing w:lineRule="auto" w:line="276" w:before="0" w:after="240"/>
        <w:ind w:left="0" w:right="0" w:firstLine="1440"/>
        <w:jc w:val="both"/>
        <w:rPr/>
      </w:pPr>
      <w:r>
        <w:rPr>
          <w:rFonts w:ascii="Times New Roman;sans-serif" w:hAnsi="Times New Roman;sans-serif"/>
          <w:b w:val="false"/>
          <w:color w:val="000000"/>
          <w:sz w:val="23"/>
        </w:rPr>
        <w:t>e.</w:t>
      </w:r>
      <w:r>
        <w:rPr>
          <w:rFonts w:ascii="Times New Roman;sans-serif" w:hAnsi="Times New Roman;sans-serif"/>
          <w:b w:val="false"/>
          <w:color w:val="000000"/>
          <w:sz w:val="24"/>
        </w:rPr>
        <w:t xml:space="preserve">If under this Agreement an amount is to be paid in installments, each installment shall be treated as a separate payment for purposes of Treasury Regulation Section 1.409A-2(b)(2)(iii). </w:t>
      </w:r>
    </w:p>
    <w:p>
      <w:pPr>
        <w:pStyle w:val="TextBody"/>
        <w:spacing w:lineRule="auto" w:line="240" w:before="0" w:after="240"/>
        <w:ind w:left="0" w:right="0" w:firstLine="720"/>
        <w:jc w:val="both"/>
        <w:rPr/>
      </w:pPr>
      <w:r>
        <w:rPr>
          <w:rFonts w:ascii="Times New Roman;sans-serif" w:hAnsi="Times New Roman;sans-serif"/>
          <w:b w:val="false"/>
          <w:color w:val="000000"/>
          <w:sz w:val="24"/>
        </w:rPr>
        <w:t>9.    </w:t>
      </w:r>
      <w:r>
        <w:rPr>
          <w:rFonts w:ascii="Times New Roman;sans-serif" w:hAnsi="Times New Roman;sans-serif"/>
          <w:b w:val="false"/>
          <w:color w:val="000000"/>
          <w:sz w:val="24"/>
          <w:u w:val="single"/>
        </w:rPr>
        <w:t>280G</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In the event that the amount of any compensation, payment or distribution by Tempest or its affiliates to or for your benefit, whether paid or payable or distributed or distributable pursuant to the terms of this Agreement or otherwise, calculated in a manner consistent with Section 280G of the Code and the applicable regulations thereunder (the “</w:t>
      </w:r>
      <w:r>
        <w:rPr>
          <w:rFonts w:ascii="Times New Roman;sans-serif" w:hAnsi="Times New Roman;sans-serif"/>
          <w:b/>
          <w:i/>
          <w:color w:val="000000"/>
          <w:sz w:val="24"/>
        </w:rPr>
        <w:t>Aggregate Payments</w:t>
      </w:r>
      <w:r>
        <w:rPr>
          <w:color w:val="000000"/>
        </w:rPr>
        <w:t>”</w:t>
      </w:r>
      <w:r>
        <w:rPr>
          <w:rFonts w:ascii="Times New Roman;sans-serif" w:hAnsi="Times New Roman;sans-serif"/>
          <w:b w:val="false"/>
          <w:color w:val="000000"/>
          <w:sz w:val="24"/>
        </w:rPr>
        <w:t>) would be subject to the excise tax imposed by Section 4999 of the Code, then the Aggregate Payments shall be reduced (but not below zero) so that the sum of all of the Aggregate Payments shall be $1.00 less than the amount at which you become subject to the excise tax imposed by Section 4999 of the Code; provided that such reduction shall only occur if it would result in you receiving a higher After Tax Amount (as defined below) than you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 1.280G-1, Q&amp;A-24(b) or (c) shall be reduced before any amounts that are subject to calculation under Treasury Regulation §1.280G-1, Q&amp;A- 24(b) or (c). For purposes of this Section 9, the “</w:t>
      </w:r>
      <w:r>
        <w:rPr>
          <w:rFonts w:ascii="Times New Roman;sans-serif" w:hAnsi="Times New Roman;sans-serif"/>
          <w:b/>
          <w:i/>
          <w:color w:val="000000"/>
          <w:sz w:val="24"/>
        </w:rPr>
        <w:t>After Tax Amount</w:t>
      </w:r>
      <w:r>
        <w:rPr>
          <w:color w:val="000000"/>
        </w:rPr>
        <w:t xml:space="preserve">” </w:t>
      </w:r>
      <w:r>
        <w:rPr>
          <w:rFonts w:ascii="Times New Roman;sans-serif" w:hAnsi="Times New Roman;sans-serif"/>
          <w:b w:val="false"/>
          <w:color w:val="000000"/>
          <w:sz w:val="24"/>
        </w:rPr>
        <w:t xml:space="preserve">means the amount of the Aggregate Payments less all federal, state, and local income, excise and employment taxes imposed on you as a result of your receipt of the Aggregate Payments. For purposes of determining the After Tax Amount, you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 The determination as to whether a reduction in the Aggregate Payments shall be made pursuant to this Section 9 shall be made by a nationally recognized accounting firm or a firm specializing in Section 280G calculations selected by Tempest, which shall provide detailed supporting calculations both to Tempest and you. The costs of obtaining such determination and all related fees and expenses (including related fees and expenses incurred in any later audit) shall be borne by Tempest. Notwithstanding the foregoing, if (i) Tempest is not publicly traded prior to the occurrence of a change in control such that the private company exception pursuant to Q &amp; A #7 of the regulations promulgated under Section 280G of the Code is applicable and (ii) you request that Tempest seek shareholder approval of the portion of any payments to be made to you which are parachute payments under Section 280G and exceed 2.99 times your “base amount” (as such term is defined in Section 280G) in order that, upon obtaining such approval, all of the payments </w:t>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62890"/>
                <wp:effectExtent l="0" t="0" r="0" b="0"/>
                <wp:wrapNone/>
                <wp:docPr id="95" name="Frame95"/>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will be exempt from the excise taxes imposed under Sections 280G and 4999 of the Code, Tempest shall use its reasonable best efforts to obtain such approval. </w:t>
      </w:r>
    </w:p>
    <w:p>
      <w:pPr>
        <w:pStyle w:val="TextBody"/>
        <w:spacing w:lineRule="auto" w:line="240" w:before="0" w:after="24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Miscellaneous</w:t>
      </w:r>
      <w:r>
        <w:rPr>
          <w:rFonts w:ascii="Times New Roman;sans-serif" w:hAnsi="Times New Roman;sans-serif"/>
          <w:b w:val="false"/>
          <w:color w:val="000000"/>
          <w:sz w:val="24"/>
        </w:rPr>
        <w:t xml:space="preserve">. </w:t>
      </w:r>
    </w:p>
    <w:p>
      <w:pPr>
        <w:pStyle w:val="TextBody"/>
        <w:spacing w:lineRule="auto" w:line="276" w:before="0" w:after="240"/>
        <w:ind w:left="0" w:right="0" w:firstLine="1440"/>
        <w:jc w:val="both"/>
        <w:rPr/>
      </w:pPr>
      <w:r>
        <w:rPr>
          <w:rFonts w:ascii="Times New Roman;sans-serif" w:hAnsi="Times New Roman;sans-serif"/>
          <w:b w:val="false"/>
          <w:color w:val="000000"/>
          <w:sz w:val="23"/>
        </w:rPr>
        <w:t>a.</w:t>
      </w:r>
      <w:r>
        <w:rPr>
          <w:rFonts w:ascii="Times New Roman;sans-serif" w:hAnsi="Times New Roman;sans-serif"/>
          <w:b w:val="false"/>
          <w:color w:val="000000"/>
          <w:sz w:val="24"/>
        </w:rPr>
        <w:t xml:space="preserve">This offer of employment is made subject to you having the legal right to work in the United States. </w:t>
      </w:r>
    </w:p>
    <w:p>
      <w:pPr>
        <w:pStyle w:val="TextBody"/>
        <w:spacing w:lineRule="auto" w:line="276" w:before="0" w:after="240"/>
        <w:ind w:left="0" w:right="0" w:firstLine="1440"/>
        <w:jc w:val="both"/>
        <w:rPr/>
      </w:pPr>
      <w:r>
        <w:rPr>
          <w:rFonts w:ascii="Times New Roman;sans-serif" w:hAnsi="Times New Roman;sans-serif"/>
          <w:b w:val="false"/>
          <w:color w:val="000000"/>
          <w:sz w:val="23"/>
        </w:rPr>
        <w:t>b.</w:t>
      </w:r>
      <w:r>
        <w:rPr>
          <w:rFonts w:ascii="Times New Roman;sans-serif" w:hAnsi="Times New Roman;sans-serif"/>
          <w:b w:val="false"/>
          <w:color w:val="000000"/>
          <w:sz w:val="24"/>
        </w:rPr>
        <w:t>Your employment with Tempest is subject to all Company policies and procedures, and Tempest retains the right to change its policies or procedures at any time.</w:t>
      </w:r>
    </w:p>
    <w:p>
      <w:pPr>
        <w:pStyle w:val="TextBody"/>
        <w:spacing w:lineRule="auto" w:line="276" w:before="0" w:after="240"/>
        <w:ind w:left="0" w:right="0" w:firstLine="1440"/>
        <w:jc w:val="both"/>
        <w:rPr/>
      </w:pPr>
      <w:r>
        <w:rPr>
          <w:rFonts w:ascii="Times New Roman;sans-serif" w:hAnsi="Times New Roman;sans-serif"/>
          <w:b w:val="false"/>
          <w:color w:val="000000"/>
          <w:sz w:val="23"/>
        </w:rPr>
        <w:t>c.</w:t>
      </w:r>
      <w:r>
        <w:rPr>
          <w:rFonts w:ascii="Times New Roman;sans-serif" w:hAnsi="Times New Roman;sans-serif"/>
          <w:b w:val="false"/>
          <w:color w:val="000000"/>
          <w:sz w:val="24"/>
        </w:rPr>
        <w:t>This Agreement may be executed in several counterparts, each of which shall be deemed to be an original but all of which together will constitute one and the same instrument.</w:t>
      </w:r>
    </w:p>
    <w:p>
      <w:pPr>
        <w:pStyle w:val="TextBody"/>
        <w:spacing w:lineRule="auto" w:line="276" w:before="0" w:after="240"/>
        <w:ind w:left="0" w:right="0" w:firstLine="1440"/>
        <w:jc w:val="both"/>
        <w:rPr/>
      </w:pPr>
      <w:r>
        <w:rPr>
          <w:rFonts w:ascii="Times New Roman;sans-serif" w:hAnsi="Times New Roman;sans-serif"/>
          <w:b w:val="false"/>
          <w:color w:val="000000"/>
          <w:sz w:val="23"/>
        </w:rPr>
        <w:t>d.</w:t>
      </w:r>
      <w:r>
        <w:rPr>
          <w:rFonts w:ascii="Times New Roman;sans-serif" w:hAnsi="Times New Roman;sans-serif"/>
          <w:b w:val="false"/>
          <w:color w:val="000000"/>
          <w:sz w:val="24"/>
        </w:rPr>
        <w:t>Neither this Agreement nor any of your rights or obligations hereunder shall be assignable by you. Tempest may assign this Agreement or any of its obligations hereunder to any subsidiary of Tempest, or to any successor (whether by merger, purchase or otherwise) to all or substantially all of the equity, assets or businesses of Tempest. This Agreement is intended to bind and inure to the benefit of and be enforceable to you and Tempest and Tempest’s permitted successors and assigns.</w:t>
      </w:r>
    </w:p>
    <w:p>
      <w:pPr>
        <w:pStyle w:val="TextBody"/>
        <w:spacing w:lineRule="auto" w:line="276" w:before="0" w:after="240"/>
        <w:ind w:left="0" w:right="0" w:firstLine="1440"/>
        <w:jc w:val="both"/>
        <w:rPr/>
      </w:pPr>
      <w:r>
        <w:rPr>
          <w:rFonts w:ascii="Times New Roman;sans-serif" w:hAnsi="Times New Roman;sans-serif"/>
          <w:b w:val="false"/>
          <w:color w:val="000000"/>
          <w:sz w:val="23"/>
        </w:rPr>
        <w:t>e.</w:t>
      </w:r>
      <w:r>
        <w:rPr>
          <w:rFonts w:ascii="Times New Roman;sans-serif" w:hAnsi="Times New Roman;sans-serif"/>
          <w:b w:val="false"/>
          <w:color w:val="000000"/>
          <w:sz w:val="24"/>
        </w:rPr>
        <w:t>No provision of this Agreement may be modified, waived or discharged unless such waiver, modification or discharge is agreed to in writing and signed by you and such officer or director as may be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spacing w:lineRule="auto" w:line="276" w:before="0" w:after="240"/>
        <w:ind w:left="0" w:right="0" w:firstLine="1440"/>
        <w:jc w:val="both"/>
        <w:rPr/>
      </w:pPr>
      <w:r>
        <w:rPr>
          <w:rFonts w:ascii="Times New Roman;sans-serif" w:hAnsi="Times New Roman;sans-serif"/>
          <w:b w:val="false"/>
          <w:color w:val="000000"/>
          <w:sz w:val="23"/>
        </w:rPr>
        <w:t>f.</w:t>
      </w:r>
      <w:r>
        <w:rPr>
          <w:rFonts w:ascii="Times New Roman;sans-serif" w:hAnsi="Times New Roman;sans-serif"/>
          <w:b w:val="false"/>
          <w:color w:val="000000"/>
          <w:sz w:val="24"/>
        </w:rPr>
        <w:t>The validity, interpretation, construction and performance of this Agreement shall be governed by the laws of the State of California without regard to the choice of law principles thereof.</w:t>
      </w:r>
    </w:p>
    <w:p>
      <w:pPr>
        <w:pStyle w:val="TextBody"/>
        <w:spacing w:lineRule="auto" w:line="276"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intentionally left blank</w:t>
      </w:r>
      <w:r>
        <w:rPr>
          <w:rFonts w:ascii="Times New Roman;sans-serif" w:hAnsi="Times New Roman;sans-serif"/>
          <w:b w:val="false"/>
          <w:color w:val="000000"/>
          <w:sz w:val="24"/>
        </w:rPr>
        <w:t>]</w:t>
      </w:r>
    </w:p>
    <w:p>
      <w:pPr>
        <w:pStyle w:val="TextBody"/>
        <w:spacing w:before="0" w:after="240"/>
        <w:jc w:val="both"/>
        <w:rPr/>
      </w:pPr>
      <w:r>
        <w:rPr/>
      </w:r>
      <w:r>
        <w:br w:type="page"/>
      </w:r>
    </w:p>
    <w:p>
      <w:pPr>
        <w:pStyle w:val="TextBody"/>
        <w:spacing w:before="0" w:after="0"/>
        <w:jc w:val="center"/>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62890"/>
                <wp:effectExtent l="0" t="0" r="0" b="0"/>
                <wp:wrapNone/>
                <wp:docPr id="96" name="Frame96"/>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foregoing is acceptable, please indicate your agreement by signing below and returning the original signed Agreement (keeping a copy for your own records) to me on or before January 19, 2022. If you have any further questions or require additional information, please feel free to contact me.</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TEMPEST THERAPEUTICS, INC.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Stephen R. Brady                </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Stephen R. Brady</w:t>
      </w:r>
    </w:p>
    <w:p>
      <w:pPr>
        <w:pStyle w:val="TextBody"/>
        <w:spacing w:lineRule="auto" w:line="240" w:before="0" w:after="0"/>
        <w:ind w:left="0" w:right="0" w:firstLine="720"/>
        <w:rPr>
          <w:rFonts w:ascii="Times New Roman;sans-serif" w:hAnsi="Times New Roman;sans-serif"/>
          <w:b w:val="false"/>
          <w:color w:val="000000"/>
          <w:sz w:val="24"/>
        </w:rPr>
      </w:pPr>
      <w:r>
        <w:rPr>
          <w:rFonts w:ascii="Times New Roman;sans-serif" w:hAnsi="Times New Roman;sans-serif"/>
          <w:b w:val="false"/>
          <w:color w:val="000000"/>
          <w:sz w:val="24"/>
        </w:rPr>
        <w:t>Chief Executive Officer</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ACCEPTED AND AGREED</w:t>
      </w:r>
      <w:r>
        <w:rPr>
          <w:rFonts w:ascii="Times New Roman;sans-serif" w:hAnsi="Times New Roman;sans-serif"/>
          <w:b/>
          <w:color w:val="000000"/>
          <w:sz w:val="24"/>
        </w:rPr>
        <w:t>:</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Nicholas M. Maestas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Nicholas M. Maestas</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Date:</w:t>
      </w:r>
      <w:r>
        <w:rPr>
          <w:color w:val="000000"/>
          <w:u w:val="single"/>
        </w:rPr>
        <w:t>    </w:t>
      </w:r>
      <w:r>
        <w:rPr>
          <w:rFonts w:ascii="Times New Roman;sans-serif" w:hAnsi="Times New Roman;sans-serif"/>
          <w:b w:val="false"/>
          <w:color w:val="000000"/>
          <w:sz w:val="24"/>
          <w:u w:val="single"/>
        </w:rPr>
        <w:t>January 19, 2022                        </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Appendices:    Appendix A — Approved Activities</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Appendix B — Separation Agreement and General Release</w:t>
      </w:r>
    </w:p>
    <w:p>
      <w:pPr>
        <w:pStyle w:val="TextBody"/>
        <w:spacing w:lineRule="auto" w:line="240" w:before="0" w:after="0"/>
        <w:rPr>
          <w:color w:val="000000"/>
        </w:rPr>
      </w:pPr>
      <w:r>
        <w:rPr>
          <w:color w:val="000000"/>
        </w:rPr>
        <w:t>    </w:t>
      </w:r>
      <w:r>
        <w:rPr>
          <w:rFonts w:ascii="Times New Roman;sans-serif" w:hAnsi="Times New Roman;sans-serif"/>
          <w:b w:val="false"/>
          <w:color w:val="000000"/>
          <w:sz w:val="24"/>
        </w:rPr>
        <w:t>Appendix C — Confidentiality and Proprietary Rights Agreement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62890"/>
                <wp:effectExtent l="0" t="0" r="0" b="0"/>
                <wp:wrapNone/>
                <wp:docPr id="97" name="Frame97"/>
                <a:graphic xmlns:a="http://schemas.openxmlformats.org/drawingml/2006/main">
                  <a:graphicData uri="http://schemas.microsoft.com/office/word/2010/wordprocessingShape">
                    <wps:wsp>
                      <wps:cNvSpPr txBox="1"/>
                      <wps:spPr>
                        <a:xfrm>
                          <a:off x="0" y="0"/>
                          <a:ext cx="6480175" cy="262890"/>
                        </a:xfrm>
                        <a:prstGeom prst="rect"/>
                      </wps:spPr>
                      <wps:txb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p>
                      <w:pPr>
                        <w:pStyle w:val="TextBody"/>
                        <w:spacing w:lineRule="auto" w:line="240" w:before="0" w:after="0"/>
                        <w:rPr>
                          <w:rFonts w:ascii="Times New Roman;sans-serif" w:hAnsi="Times New Roman;sans-serif"/>
                          <w:b w:val="false"/>
                          <w:color w:val="000000"/>
                          <w:sz w:val="14"/>
                        </w:rPr>
                      </w:pPr>
                      <w:r>
                        <w:rPr>
                          <w:rFonts w:ascii="Times New Roman;sans-serif" w:hAnsi="Times New Roman;sans-serif"/>
                          <w:b w:val="false"/>
                          <w:color w:val="000000"/>
                          <w:sz w:val="14"/>
                        </w:rPr>
                        <w:t>273897454v.2</w:t>
                      </w:r>
                    </w:p>
                  </w:txbxContent>
                </v:textbox>
              </v:rect>
            </w:pict>
          </mc:Fallback>
        </mc:AlternateContent>
      </w:r>
    </w:p>
    <w:p>
      <w:pPr>
        <w:pStyle w:val="TextBody"/>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Stephen Brady, certify that: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Tempest Therapeutics,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before="0" w:after="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45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p>
      <w:pPr>
        <w:pStyle w:val="TextBody"/>
        <w:spacing w:before="0" w:after="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Stephen Brady </w:t>
      </w:r>
    </w:p>
    <w:p>
      <w:pPr>
        <w:pStyle w:val="TextBody"/>
        <w:spacing w:lineRule="auto" w:line="223" w:before="0" w:after="0"/>
        <w:rPr>
          <w:rFonts w:ascii="Times New Roman;sans-serif" w:hAnsi="Times New Roman;sans-serif"/>
          <w:b w:val="false"/>
          <w:color w:val="000000"/>
          <w:sz w:val="20"/>
        </w:rPr>
      </w:pPr>
      <w:r>
        <w:rPr>
          <w:rFonts w:ascii="Times New Roman;sans-serif" w:hAnsi="Times New Roman;sans-serif"/>
          <w:b w:val="false"/>
          <w:color w:val="000000"/>
          <w:sz w:val="20"/>
        </w:rPr>
        <w:t>Stephen Brady</w:t>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Nicholas Maestas, certify that: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Form 10-Q of Tempest Therapeutics, Inc.;</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p>
      <w:pPr>
        <w:pStyle w:val="TextBody"/>
        <w:spacing w:lineRule="auto" w:line="288" w:before="0" w:after="0"/>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Nicholas Maestas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Nicholas Maestas</w:t>
      </w:r>
    </w:p>
    <w:p>
      <w:pPr>
        <w:pStyle w:val="TextBody"/>
        <w:spacing w:lineRule="auto" w:line="288"/>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Vice-President, Strategy and Finance</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Stephen Brady, Chief Executive Officer of Tempest Therapeutics, Inc. (the “Company”), and Nicholas Maestas, Vice President, Strategy and Finance, of the Company, each hereby certifies that, to the best of his or her knowledge:</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March 31, 2022, to which this Certification is attached as Exhibit 32.1 (the “Periodic Report”), fully complies with the requirements of Section 13(a) or Section 15(d) of the Exchange Act; and</w:t>
      </w:r>
    </w:p>
    <w:p>
      <w:pPr>
        <w:pStyle w:val="TextBody"/>
        <w:spacing w:before="0" w:after="0"/>
        <w:jc w:val="both"/>
        <w:rPr/>
      </w:pPr>
      <w:r>
        <w:rPr/>
      </w:r>
    </w:p>
    <w:p>
      <w:pPr>
        <w:pStyle w:val="TextBody"/>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Dated: May 13, 2022</w:t>
      </w:r>
    </w:p>
    <w:p>
      <w:pPr>
        <w:pStyle w:val="TextBody"/>
        <w:spacing w:before="0" w:after="0"/>
        <w:jc w:val="both"/>
        <w:rPr/>
      </w:pPr>
      <w:r>
        <w:rPr/>
      </w:r>
    </w:p>
    <w:p>
      <w:pPr>
        <w:pStyle w:val="TextBody"/>
        <w:spacing w:lineRule="auto" w:line="288" w:before="0" w:after="0"/>
        <w:jc w:val="both"/>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undersigned have set their hands hereto as of the 13th</w:t>
      </w:r>
      <w:r>
        <w:rPr>
          <w:color w:val="000000"/>
        </w:rPr>
        <w:t xml:space="preserve"> </w:t>
      </w:r>
      <w:r>
        <w:rPr>
          <w:rFonts w:ascii="Times New Roman;sans-serif" w:hAnsi="Times New Roman;sans-serif"/>
          <w:b w:val="false"/>
          <w:color w:val="000000"/>
          <w:sz w:val="20"/>
        </w:rPr>
        <w:t>day of May 2022.</w:t>
      </w:r>
    </w:p>
    <w:p>
      <w:pPr>
        <w:pStyle w:val="TextBody"/>
        <w:spacing w:before="0" w:after="0"/>
        <w:jc w:val="both"/>
        <w:rPr/>
      </w:pPr>
      <w:r>
        <w:rPr/>
      </w:r>
    </w:p>
    <w:tbl>
      <w:tblPr>
        <w:tblW w:w="5501" w:type="dxa"/>
        <w:jc w:val="left"/>
        <w:tblInd w:w="0" w:type="dxa"/>
        <w:tblCellMar>
          <w:top w:w="28" w:type="dxa"/>
          <w:left w:w="28" w:type="dxa"/>
          <w:bottom w:w="28" w:type="dxa"/>
          <w:right w:w="28" w:type="dxa"/>
        </w:tblCellMar>
      </w:tblPr>
      <w:tblGrid>
        <w:gridCol w:w="738"/>
        <w:gridCol w:w="649"/>
        <w:gridCol w:w="652"/>
        <w:gridCol w:w="109"/>
        <w:gridCol w:w="109"/>
        <w:gridCol w:w="109"/>
        <w:gridCol w:w="916"/>
        <w:gridCol w:w="916"/>
        <w:gridCol w:w="1303"/>
      </w:tblGrid>
      <w:tr>
        <w:trPr/>
        <w:tc>
          <w:tcPr>
            <w:tcW w:w="738"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916" w:type="dxa"/>
            <w:tcBorders/>
            <w:shd w:fill="auto" w:val="clear"/>
            <w:vAlign w:val="center"/>
          </w:tcPr>
          <w:p>
            <w:pPr>
              <w:pStyle w:val="TableContents"/>
              <w:spacing w:before="0" w:after="283"/>
              <w:rPr>
                <w:sz w:val="4"/>
                <w:szCs w:val="4"/>
              </w:rPr>
            </w:pPr>
            <w:r>
              <w:rPr>
                <w:sz w:val="4"/>
                <w:szCs w:val="4"/>
              </w:rPr>
            </w:r>
          </w:p>
        </w:tc>
        <w:tc>
          <w:tcPr>
            <w:tcW w:w="1303" w:type="dxa"/>
            <w:tcBorders/>
            <w:shd w:fill="auto" w:val="clear"/>
            <w:vAlign w:val="center"/>
          </w:tcPr>
          <w:p>
            <w:pPr>
              <w:pStyle w:val="TableContents"/>
              <w:spacing w:before="0" w:after="283"/>
              <w:rPr>
                <w:sz w:val="4"/>
                <w:szCs w:val="4"/>
              </w:rPr>
            </w:pPr>
            <w:r>
              <w:rPr>
                <w:sz w:val="4"/>
                <w:szCs w:val="4"/>
              </w:rPr>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Stephen Brady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Nicholas Maestas </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Stephen Brady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Nicholas Maestas</w:t>
            </w:r>
          </w:p>
        </w:tc>
      </w:tr>
      <w:tr>
        <w:trPr/>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Vice-President, Strategy and Finance</w:t>
            </w:r>
          </w:p>
        </w:tc>
      </w:tr>
    </w:tbl>
    <w:p>
      <w:pPr>
        <w:pStyle w:val="TextBody"/>
        <w:spacing w:lineRule="auto" w:line="288"/>
        <w:jc w:val="both"/>
        <w:rPr>
          <w:color w:val="000000"/>
        </w:rPr>
      </w:pPr>
      <w:r>
        <w:rPr>
          <w:color w:val="000000"/>
        </w:rPr>
        <w:t>“</w:t>
      </w:r>
      <w:r>
        <w:rPr>
          <w:rFonts w:ascii="Times New Roman;sans-serif" w:hAnsi="Times New Roman;sans-serif"/>
          <w:b w:val="false"/>
          <w:color w:val="000000"/>
          <w:sz w:val="20"/>
        </w:rPr>
        <w:t>This certification accompanies the Form 10-Q to which it relates, is not deemed filed with the Securities and Exchange Commission and is not to be incorporated by reference into any filing of Tempest Therapeutics, Inc. under the Securities Act of 1933, as amended, or the Securities Exchange Act of 1934, as amended (whether made before or after the date of the Form 10-Q), irrespective of any general incorporation language contained in such filing.”</w:t>
      </w:r>
      <w:r>
        <w:br w:type="page"/>
      </w:r>
    </w:p>
    <w:p>
      <w:pPr>
        <w:pStyle w:val="TextBody"/>
        <w:spacing w:before="0" w:after="283"/>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4227/000110465921042768/tm2111026d1_ex2-1.htm" TargetMode="External"/><Relationship Id="rId3" Type="http://schemas.openxmlformats.org/officeDocument/2006/relationships/hyperlink" Target="https://www.sec.gov/Archives/edgar/data/1544227/000155837019005038/mlnd-20190331ex31b53fa83.htm" TargetMode="External"/><Relationship Id="rId4" Type="http://schemas.openxmlformats.org/officeDocument/2006/relationships/hyperlink" Target="https://www.sec.gov/Archives/edgar/data/1544227/000119312521201157/d196630dex31.htm" TargetMode="External"/><Relationship Id="rId5" Type="http://schemas.openxmlformats.org/officeDocument/2006/relationships/hyperlink" Target="https://www.sec.gov/Archives/edgar/data/1544227/000119312521201157/d196630dex32.htm" TargetMode="External"/><Relationship Id="rId6" Type="http://schemas.openxmlformats.org/officeDocument/2006/relationships/hyperlink" Target="https://www.sec.gov/Archives/edgar/data/1544227/000119312521281694/d222030dex31.htm" TargetMode="External"/><Relationship Id="rId7" Type="http://schemas.openxmlformats.org/officeDocument/2006/relationships/hyperlink" Target="https://www.sec.gov/Archives/edgar/data/1544227/000119312521148605/d150774dex42.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43</Pages>
  <Words>60782</Words>
  <CharactersWithSpaces>396463</CharactersWithSpaces>
  <Paragraphs>2107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