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0"/>
              <w:jc w:val="left"/>
              <w:rPr/>
            </w:pPr>
            <w:hyperlink r:id="rId3">
              <w:r>
                <w:rPr>
                  <w:rStyle w:val="InternetLink"/>
                </w:rPr>
                <w:t>0001544227</w:t>
              </w:r>
            </w:hyperlink>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Millendo Therapeutics, Inc.</w:t>
                  </w:r>
                </w:p>
              </w:tc>
            </w:tr>
            <w:tr>
              <w:trPr/>
              <w:tc>
                <w:tcPr>
                  <w:tcW w:w="274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OvaScience, Inc.</w:t>
                  </w:r>
                </w:p>
              </w:tc>
            </w:tr>
          </w:tbl>
          <w:p>
            <w:pPr>
              <w:pStyle w:val="TableContents"/>
              <w:bidi w:val="0"/>
              <w:spacing w:before="0" w:after="283"/>
              <w:jc w:val="left"/>
              <w:rPr/>
            </w:pPr>
            <w:r>
              <w:rPr/>
            </w:r>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Tempest Therapeutics,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Tempest Therapeutics,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 SIERRA POINT PARKWAY, SUITE 400</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BRISBANE</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94005</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415-798-8589</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Angel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Matthew</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Tempest Therapeutics,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 Sierra Point Parkway, Suite 400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Brisbane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94005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President and Chief Executive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Constance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Tempest Therapeutics,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 Sierra Point Parkway, Suite 400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Brisbane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94005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Financial Officer, Principal Financial and Accounting Officer, Treasurer, and Corporate Secretary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David</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Tempest Therapeutics,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 Sierra Point Parkway, Suite 400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Brisbane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94005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Richey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Drake</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Tempest Therapeutics,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 Sierra Point Parkway, Suite 400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Brisbane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94005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Freda-Smith</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Nancy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Tempest Therapeutics,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 Sierra Point Parkway, Suite 400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Brisbane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94005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Frederick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Wilbert</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Tempest Therapeutics,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 Sierra Point Parkway, Suite 400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Brisbane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94005</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2026-09-15</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Pre-funded warrants and Series C and Series D Common Stock Purchase Warrants, including underlying shares of common stock.</w:t>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H.C. Wainwright &amp; Co.,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000000375</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430 Park Avenue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3rd Floor</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10022</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486" w:type="dxa"/>
              <w:jc w:val="left"/>
              <w:tblInd w:w="-7" w:type="dxa"/>
              <w:tblLayout w:type="fixed"/>
              <w:tblCellMar>
                <w:top w:w="28" w:type="dxa"/>
                <w:left w:w="28" w:type="dxa"/>
                <w:bottom w:w="28" w:type="dxa"/>
                <w:right w:w="28" w:type="dxa"/>
              </w:tblCellMar>
            </w:tblPr>
            <w:tblGrid>
              <w:gridCol w:w="1486"/>
            </w:tblGrid>
            <w:tr>
              <w:trPr/>
              <w:tc>
                <w:tcPr>
                  <w:tcW w:w="1486"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240" w:type="dxa"/>
        <w:jc w:val="left"/>
        <w:tblInd w:w="0" w:type="dxa"/>
        <w:tblLayout w:type="fixed"/>
        <w:tblCellMar>
          <w:top w:w="28" w:type="dxa"/>
          <w:left w:w="28" w:type="dxa"/>
          <w:bottom w:w="28" w:type="dxa"/>
          <w:right w:w="28" w:type="dxa"/>
        </w:tblCellMar>
      </w:tblPr>
      <w:tblGrid>
        <w:gridCol w:w="3016"/>
        <w:gridCol w:w="126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7,500,000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Offering of 3,105,591 pre-funded warrants and accompanying 3,105,591 Series C and 3,105,591 Series D warrants, including the common stock underlying such warrants at combined exercise price of $0.804. Total offering amount excludes PA warrants (Item 15).</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769" w:type="dxa"/>
        <w:jc w:val="left"/>
        <w:tblInd w:w="0" w:type="dxa"/>
        <w:tblLayout w:type="fixed"/>
        <w:tblCellMar>
          <w:top w:w="28" w:type="dxa"/>
          <w:left w:w="28" w:type="dxa"/>
          <w:bottom w:w="28" w:type="dxa"/>
          <w:right w:w="28" w:type="dxa"/>
        </w:tblCellMar>
      </w:tblPr>
      <w:tblGrid>
        <w:gridCol w:w="3086"/>
        <w:gridCol w:w="108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225,000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Includes a cash placement fee equal to 7.0% of the gross proceeds of the offering, reimbursement of $50,000 legal fees and warrants, exercisable upon stockholder approval, to purchase 217,391 common stock at an exercise price of $1.0063 per share.</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454"/>
        <w:gridCol w:w="1732"/>
        <w:gridCol w:w="1623"/>
        <w:gridCol w:w="3231"/>
        <w:gridCol w:w="1165"/>
      </w:tblGrid>
      <w:tr>
        <w:trPr>
          <w:tblHeader w:val="true"/>
        </w:trPr>
        <w:tc>
          <w:tcPr>
            <w:tcW w:w="245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73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62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323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16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45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Tempest Therapeutics, Inc.</w:t>
            </w:r>
          </w:p>
        </w:tc>
        <w:tc>
          <w:tcPr>
            <w:tcW w:w="173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Matthew Angel</w:t>
            </w:r>
          </w:p>
        </w:tc>
        <w:tc>
          <w:tcPr>
            <w:tcW w:w="162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Matthew Angel</w:t>
            </w:r>
          </w:p>
        </w:tc>
        <w:tc>
          <w:tcPr>
            <w:tcW w:w="323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President and Chief Executive Officer</w:t>
            </w:r>
          </w:p>
        </w:tc>
        <w:tc>
          <w:tcPr>
            <w:tcW w:w="116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2026-10-13</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544227"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checked.jpg" TargetMode="External"/><Relationship Id="rId117" Type="http://schemas.openxmlformats.org/officeDocument/2006/relationships/image" Target="https://cdn.kscope.io/box-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numbering" Target="numbering.xml"/><Relationship Id="rId132" Type="http://schemas.openxmlformats.org/officeDocument/2006/relationships/fontTable" Target="fontTable.xml"/><Relationship Id="rId1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1687</Words>
  <Characters>9628</Characters>
  <CharactersWithSpaces>10956</CharactersWithSpaces>
  <Paragraphs>499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