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4084"/>
        <w:spacing w:after="0"/>
        <w:rPr>
          <w:sz w:val="20"/>
          <w:szCs w:val="20"/>
          <w:color w:val="auto"/>
        </w:rPr>
      </w:pPr>
      <w:r>
        <w:rPr>
          <w:rFonts w:ascii="Arial" w:cs="Arial" w:eastAsia="Arial" w:hAnsi="Arial"/>
          <w:sz w:val="18"/>
          <w:szCs w:val="18"/>
          <w:b w:val="1"/>
          <w:bCs w:val="1"/>
          <w:color w:val="auto"/>
        </w:rPr>
        <w:t>2000 Sierra Point Parkway, Suite 400</w:t>
      </w:r>
    </w:p>
    <w:p>
      <w:pPr>
        <w:spacing w:after="0" w:line="27" w:lineRule="exact"/>
        <w:rPr>
          <w:sz w:val="24"/>
          <w:szCs w:val="24"/>
          <w:color w:val="auto"/>
        </w:rPr>
      </w:pPr>
    </w:p>
    <w:p>
      <w:pPr>
        <w:ind w:left="4484"/>
        <w:spacing w:after="0"/>
        <w:rPr>
          <w:sz w:val="20"/>
          <w:szCs w:val="20"/>
          <w:color w:val="auto"/>
        </w:rPr>
      </w:pPr>
      <w:r>
        <w:rPr>
          <w:rFonts w:ascii="Arial" w:cs="Arial" w:eastAsia="Arial" w:hAnsi="Arial"/>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0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TPST</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Nasdaq Capital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0" w:right="940" w:hanging="121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Amended and Restated 2023 Equity Incentive Plan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15, 2023, the stockholders of Tempest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approved the Amended and Restated 2023 Equity Incentive Plan (the “</w:t>
      </w:r>
      <w:r>
        <w:rPr>
          <w:rFonts w:ascii="Arial" w:cs="Arial" w:eastAsia="Arial" w:hAnsi="Arial"/>
          <w:sz w:val="18"/>
          <w:szCs w:val="18"/>
          <w:b w:val="1"/>
          <w:bCs w:val="1"/>
          <w:i w:val="1"/>
          <w:iCs w:val="1"/>
          <w:color w:val="auto"/>
        </w:rPr>
        <w:t>2023 EIP</w:t>
      </w:r>
      <w:r>
        <w:rPr>
          <w:rFonts w:ascii="Arial" w:cs="Arial" w:eastAsia="Arial" w:hAnsi="Arial"/>
          <w:sz w:val="18"/>
          <w:szCs w:val="18"/>
          <w:color w:val="auto"/>
        </w:rPr>
        <w:t>”), which is the successor to the Company’s Amended and Restated 2019 Equity Incentive Plan (the “</w:t>
      </w:r>
      <w:r>
        <w:rPr>
          <w:rFonts w:ascii="Arial" w:cs="Arial" w:eastAsia="Arial" w:hAnsi="Arial"/>
          <w:sz w:val="18"/>
          <w:szCs w:val="18"/>
          <w:b w:val="1"/>
          <w:bCs w:val="1"/>
          <w:i w:val="1"/>
          <w:iCs w:val="1"/>
          <w:color w:val="auto"/>
        </w:rPr>
        <w:t>2019 EIP</w:t>
      </w:r>
      <w:r>
        <w:rPr>
          <w:rFonts w:ascii="Arial" w:cs="Arial" w:eastAsia="Arial" w:hAnsi="Arial"/>
          <w:sz w:val="18"/>
          <w:szCs w:val="18"/>
          <w:color w:val="auto"/>
        </w:rPr>
        <w:t>”). The 2023 EIP had been adopted by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subject to stockholder approval, and in addition to changing the plan’s name, includes the following material changes:</w:t>
      </w:r>
    </w:p>
    <w:p>
      <w:pPr>
        <w:spacing w:after="0" w:line="92" w:lineRule="exact"/>
        <w:rPr>
          <w:sz w:val="20"/>
          <w:szCs w:val="20"/>
          <w:color w:val="auto"/>
        </w:rPr>
      </w:pPr>
    </w:p>
    <w:p>
      <w:pPr>
        <w:ind w:left="980" w:hanging="433"/>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 the number of shares available for issuance under the 2023 EIP by 1,150,000 shares of the Company’s common stock, which also constitutes a corresponding increase in the number of shares of the Company’s common stock available for issuance under the 2023 EIP pursuant to the exercise of “incentive stock options” as defined in Section 422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980" w:right="8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 the period of time during which shares of the Company’s common stock will be added to the 2023 EIP on an annual basis through 2033;</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establish 10,000,000 shares as the maximum number of shares that may be subject to awards granted in the form of ISOs; and</w:t>
      </w:r>
    </w:p>
    <w:p>
      <w:pPr>
        <w:spacing w:after="0" w:line="142" w:lineRule="exact"/>
        <w:rPr>
          <w:rFonts w:ascii="Arial" w:cs="Arial" w:eastAsia="Arial" w:hAnsi="Arial"/>
          <w:sz w:val="17"/>
          <w:szCs w:val="17"/>
          <w:color w:val="auto"/>
        </w:rPr>
      </w:pPr>
    </w:p>
    <w:p>
      <w:pPr>
        <w:ind w:left="980" w:right="40" w:hanging="433"/>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extend the outside date that ISOs may be granted under the 2023 EIP to the tenth anniversary of the earlier of April 30, 2023, which is the date the 2023 EIP was adopted by the Board or the date the Company’s stockholders approve the 2023 EIP.</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summary description of the terms of the 2023 EIP is set forth in the Company’s definitive proxy statement on Schedule 14A, filed with the Securities and Exchange Commission on May 1, 2023 (the “</w:t>
      </w:r>
      <w:r>
        <w:rPr>
          <w:rFonts w:ascii="Arial" w:cs="Arial" w:eastAsia="Arial" w:hAnsi="Arial"/>
          <w:sz w:val="18"/>
          <w:szCs w:val="18"/>
          <w:b w:val="1"/>
          <w:bCs w:val="1"/>
          <w:i w:val="1"/>
          <w:iCs w:val="1"/>
          <w:color w:val="auto"/>
        </w:rPr>
        <w:t>2023 Proxy Statement</w:t>
      </w:r>
      <w:r>
        <w:rPr>
          <w:rFonts w:ascii="Arial" w:cs="Arial" w:eastAsia="Arial" w:hAnsi="Arial"/>
          <w:sz w:val="18"/>
          <w:szCs w:val="18"/>
          <w:color w:val="auto"/>
        </w:rPr>
        <w:t>”), under the heading “Proposal 2 - Approval of the Amended and Restated 2023 Equity Incentive Plan.” This summary does not purport to be complete and is subject to, and qualified in its entirety by, the full text of the 2023 EIP, a copy of which is included as Appendix A to the 2023 Proxy Statement.</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2023, the Company held its 2023 Annual Meeting of Stockholders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As of April 18, 2023, the record date for the Annual Meeting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10,561,700 shares of the Company’s common stock were outstanding and entitled to vote at the Annual Meeting. A total of 8,902,253 shares of the Company’s common stock were present at the Annual Meeting in person or by proxy, which represents approximately 84.28% of the shares of the Company’s common stock outstanding as of the Record Date. A summary of the matters voted upon by stockholders at the Annual Meeting is set forth below.</w:t>
      </w:r>
    </w:p>
    <w:p>
      <w:pPr>
        <w:sectPr>
          <w:pgSz w:w="11900" w:h="16838" w:orient="portrait"/>
          <w:cols w:equalWidth="0" w:num="1">
            <w:col w:w="10940"/>
          </w:cols>
          <w:pgMar w:left="440" w:top="513"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Proposal 1. Election of Directors.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Company’s stockholders elected the persons listed below as a Class II directors, to serve until the Company’s 2026 Annual Meeting of Stockholders or until their successors are duly elected and qualified or until their earlier death, resignation or removal. The final voting results were as follows:</w:t>
      </w:r>
    </w:p>
    <w:p>
      <w:pPr>
        <w:spacing w:after="0" w:line="142"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020" w:type="dxa"/>
            <w:vAlign w:val="bottom"/>
          </w:tcPr>
          <w:p>
            <w:pPr>
              <w:jc w:val="center"/>
              <w:ind w:left="1696"/>
              <w:spacing w:after="0"/>
              <w:rPr>
                <w:sz w:val="20"/>
                <w:szCs w:val="20"/>
                <w:color w:val="auto"/>
              </w:rPr>
            </w:pPr>
            <w:r>
              <w:rPr>
                <w:rFonts w:ascii="Arial" w:cs="Arial" w:eastAsia="Arial" w:hAnsi="Arial"/>
                <w:sz w:val="14"/>
                <w:szCs w:val="14"/>
                <w:b w:val="1"/>
                <w:bCs w:val="1"/>
                <w:color w:val="auto"/>
                <w:w w:val="92"/>
              </w:rPr>
              <w:t>Votes For</w:t>
            </w:r>
          </w:p>
        </w:tc>
        <w:tc>
          <w:tcPr>
            <w:tcW w:w="1400" w:type="dxa"/>
            <w:vAlign w:val="bottom"/>
          </w:tcPr>
          <w:p>
            <w:pPr>
              <w:jc w:val="right"/>
              <w:ind w:right="136"/>
              <w:spacing w:after="0"/>
              <w:rPr>
                <w:sz w:val="20"/>
                <w:szCs w:val="20"/>
                <w:color w:val="auto"/>
              </w:rPr>
            </w:pPr>
            <w:r>
              <w:rPr>
                <w:rFonts w:ascii="Arial" w:cs="Arial" w:eastAsia="Arial" w:hAnsi="Arial"/>
                <w:sz w:val="14"/>
                <w:szCs w:val="14"/>
                <w:b w:val="1"/>
                <w:bCs w:val="1"/>
                <w:color w:val="auto"/>
              </w:rPr>
              <w:t>Votes Withheld</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Broker Non-Votes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Thomas Dubensky</w:t>
            </w:r>
          </w:p>
        </w:tc>
        <w:tc>
          <w:tcPr>
            <w:tcW w:w="3020" w:type="dxa"/>
            <w:vAlign w:val="bottom"/>
            <w:shd w:val="clear" w:color="auto" w:fill="CCEEFF"/>
          </w:tcPr>
          <w:p>
            <w:pPr>
              <w:jc w:val="center"/>
              <w:ind w:left="1736"/>
              <w:spacing w:after="0"/>
              <w:rPr>
                <w:sz w:val="20"/>
                <w:szCs w:val="20"/>
                <w:color w:val="auto"/>
              </w:rPr>
            </w:pPr>
            <w:r>
              <w:rPr>
                <w:rFonts w:ascii="Arial" w:cs="Arial" w:eastAsia="Arial" w:hAnsi="Arial"/>
                <w:sz w:val="18"/>
                <w:szCs w:val="18"/>
                <w:color w:val="auto"/>
                <w:w w:val="89"/>
              </w:rPr>
              <w:t>7,386,132</w:t>
            </w:r>
          </w:p>
        </w:tc>
        <w:tc>
          <w:tcPr>
            <w:tcW w:w="1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163,697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1,352,424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Christine Pellizzari</w:t>
            </w:r>
          </w:p>
        </w:tc>
        <w:tc>
          <w:tcPr>
            <w:tcW w:w="3020" w:type="dxa"/>
            <w:vAlign w:val="bottom"/>
          </w:tcPr>
          <w:p>
            <w:pPr>
              <w:jc w:val="center"/>
              <w:ind w:left="1736"/>
              <w:spacing w:after="0"/>
              <w:rPr>
                <w:sz w:val="20"/>
                <w:szCs w:val="20"/>
                <w:color w:val="auto"/>
              </w:rPr>
            </w:pPr>
            <w:r>
              <w:rPr>
                <w:rFonts w:ascii="Arial" w:cs="Arial" w:eastAsia="Arial" w:hAnsi="Arial"/>
                <w:sz w:val="18"/>
                <w:szCs w:val="18"/>
                <w:color w:val="auto"/>
                <w:w w:val="89"/>
              </w:rPr>
              <w:t>7,070,964</w:t>
            </w:r>
          </w:p>
        </w:tc>
        <w:tc>
          <w:tcPr>
            <w:tcW w:w="1400" w:type="dxa"/>
            <w:vAlign w:val="bottom"/>
          </w:tcPr>
          <w:p>
            <w:pPr>
              <w:jc w:val="right"/>
              <w:ind w:right="136"/>
              <w:spacing w:after="0"/>
              <w:rPr>
                <w:sz w:val="20"/>
                <w:szCs w:val="20"/>
                <w:color w:val="auto"/>
              </w:rPr>
            </w:pPr>
            <w:r>
              <w:rPr>
                <w:rFonts w:ascii="Arial" w:cs="Arial" w:eastAsia="Arial" w:hAnsi="Arial"/>
                <w:sz w:val="18"/>
                <w:szCs w:val="18"/>
                <w:color w:val="auto"/>
              </w:rPr>
              <w:t>478,865</w:t>
            </w:r>
          </w:p>
        </w:tc>
        <w:tc>
          <w:tcPr>
            <w:tcW w:w="1400" w:type="dxa"/>
            <w:vAlign w:val="bottom"/>
          </w:tcPr>
          <w:p>
            <w:pPr>
              <w:jc w:val="right"/>
              <w:spacing w:after="0"/>
              <w:rPr>
                <w:sz w:val="20"/>
                <w:szCs w:val="20"/>
                <w:color w:val="auto"/>
              </w:rPr>
            </w:pPr>
            <w:r>
              <w:rPr>
                <w:rFonts w:ascii="Arial" w:cs="Arial" w:eastAsia="Arial" w:hAnsi="Arial"/>
                <w:sz w:val="18"/>
                <w:szCs w:val="18"/>
                <w:color w:val="auto"/>
              </w:rPr>
              <w:t>1,352,424</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2. Approval of the Amended and Restated 2023 Equity Incentive Plan.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stockholders ratified the 2023 EIP, which amends, restates and will be a successor to, and replacement of, the 2019 EIP. The final voting results were as follows: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Votes Withheld</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2600" w:type="dxa"/>
            <w:vAlign w:val="bottom"/>
          </w:tcPr>
          <w:p>
            <w:pPr>
              <w:jc w:val="center"/>
              <w:ind w:left="99"/>
              <w:spacing w:after="0"/>
              <w:rPr>
                <w:sz w:val="20"/>
                <w:szCs w:val="20"/>
                <w:color w:val="auto"/>
              </w:rPr>
            </w:pPr>
            <w:r>
              <w:rPr>
                <w:rFonts w:ascii="Arial" w:cs="Arial" w:eastAsia="Arial" w:hAnsi="Arial"/>
                <w:sz w:val="14"/>
                <w:szCs w:val="14"/>
                <w:b w:val="1"/>
                <w:bCs w:val="1"/>
                <w:color w:val="auto"/>
                <w:w w:val="92"/>
              </w:rPr>
              <w:t>Broker Non-Votes</w:t>
            </w:r>
          </w:p>
        </w:tc>
      </w:tr>
      <w:tr>
        <w:trPr>
          <w:trHeight w:val="216"/>
        </w:trPr>
        <w:tc>
          <w:tcPr>
            <w:tcW w:w="24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6,978,751</w:t>
            </w:r>
          </w:p>
        </w:tc>
        <w:tc>
          <w:tcPr>
            <w:tcW w:w="26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rPr>
              <w:t>423,605</w:t>
            </w:r>
          </w:p>
        </w:tc>
        <w:tc>
          <w:tcPr>
            <w:tcW w:w="24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147,473</w:t>
            </w:r>
          </w:p>
        </w:tc>
        <w:tc>
          <w:tcPr>
            <w:tcW w:w="26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1,352,424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3. Approval, on an advisory basis, of the compensation of the Company’s named executive officers.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stockholders approved, on an advisory basis, the compensation of the Company’s named executive officers. The final voting results were as follows: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Votes Withheld</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2600" w:type="dxa"/>
            <w:vAlign w:val="bottom"/>
          </w:tcPr>
          <w:p>
            <w:pPr>
              <w:jc w:val="center"/>
              <w:ind w:left="99"/>
              <w:spacing w:after="0"/>
              <w:rPr>
                <w:sz w:val="20"/>
                <w:szCs w:val="20"/>
                <w:color w:val="auto"/>
              </w:rPr>
            </w:pPr>
            <w:r>
              <w:rPr>
                <w:rFonts w:ascii="Arial" w:cs="Arial" w:eastAsia="Arial" w:hAnsi="Arial"/>
                <w:sz w:val="14"/>
                <w:szCs w:val="14"/>
                <w:b w:val="1"/>
                <w:bCs w:val="1"/>
                <w:color w:val="auto"/>
                <w:w w:val="92"/>
              </w:rPr>
              <w:t>Broker Non-Votes</w:t>
            </w:r>
          </w:p>
        </w:tc>
      </w:tr>
      <w:tr>
        <w:trPr>
          <w:trHeight w:val="216"/>
        </w:trPr>
        <w:tc>
          <w:tcPr>
            <w:tcW w:w="24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7,355,907</w:t>
            </w:r>
          </w:p>
        </w:tc>
        <w:tc>
          <w:tcPr>
            <w:tcW w:w="268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rPr>
              <w:t>55,375</w:t>
            </w:r>
          </w:p>
        </w:tc>
        <w:tc>
          <w:tcPr>
            <w:tcW w:w="24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138,547</w:t>
            </w:r>
          </w:p>
        </w:tc>
        <w:tc>
          <w:tcPr>
            <w:tcW w:w="26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1,352,424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4. Ratification of the Selection of Independent Registered Public Accounting Firm.</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stockholders ratified the selection of Ernst &amp; Young LLP by the Audit Committee of the Board as the Company’s independent registered public accounting firm for the fiscal year ending December 31, 2023. The final voting results were as follows: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Votes Withheld</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Broker Non-Votes</w:t>
            </w:r>
          </w:p>
        </w:tc>
      </w:tr>
      <w:tr>
        <w:trPr>
          <w:trHeight w:val="216"/>
        </w:trPr>
        <w:tc>
          <w:tcPr>
            <w:tcW w:w="24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8,852,927</w:t>
            </w:r>
          </w:p>
        </w:tc>
        <w:tc>
          <w:tcPr>
            <w:tcW w:w="268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rPr>
              <w:t>45,456</w:t>
            </w:r>
          </w:p>
        </w:tc>
        <w:tc>
          <w:tcPr>
            <w:tcW w:w="242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3,870</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00"/>
          </w:cols>
          <w:pgMar w:left="440" w:top="517"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560" w:type="dxa"/>
            <w:vAlign w:val="bottom"/>
            <w:gridSpan w:val="2"/>
          </w:tcPr>
          <w:p>
            <w:pPr>
              <w:ind w:left="204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June 16, 2023</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460" w:type="dxa"/>
            <w:vAlign w:val="bottom"/>
          </w:tcPr>
          <w:p>
            <w:pPr>
              <w:spacing w:after="0"/>
              <w:rPr>
                <w:sz w:val="18"/>
                <w:szCs w:val="18"/>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46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2023-06-16T15:26:19Z</dcterms:created>
  <dcterms:modified xsi:type="dcterms:W3CDTF">2023-06-16T15:26:19Z</dcterms:modified>
</cp:coreProperties>
</file>