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3044825</wp:posOffset>
            </wp:positionH>
            <wp:positionV relativeFrom="paragraph">
              <wp:posOffset>-228600</wp:posOffset>
            </wp:positionV>
            <wp:extent cx="10534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3465" cy="825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95885</wp:posOffset>
            </wp:positionV>
            <wp:extent cx="1053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248" w:lineRule="exact"/>
        <w:rPr>
          <w:sz w:val="24"/>
          <w:szCs w:val="24"/>
          <w:color w:val="auto"/>
        </w:rPr>
      </w:pPr>
    </w:p>
    <w:p>
      <w:pPr>
        <w:ind w:left="680" w:right="380" w:hanging="450"/>
        <w:spacing w:after="0" w:line="260"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left="680" w:right="380" w:hanging="450"/>
        <w:spacing w:after="0" w:line="261" w:lineRule="auto"/>
        <w:tabs>
          <w:tab w:leader="none" w:pos="6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45" w:lineRule="exact"/>
        <w:rPr>
          <w:sz w:val="24"/>
          <w:szCs w:val="24"/>
          <w:color w:val="auto"/>
        </w:rPr>
      </w:pPr>
    </w:p>
    <w:p>
      <w:pPr>
        <w:ind w:left="3800"/>
        <w:spacing w:after="0"/>
        <w:tabs>
          <w:tab w:leader="none" w:pos="6560" w:val="left"/>
          <w:tab w:leader="none" w:pos="73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r>
        <w:rPr>
          <w:sz w:val="20"/>
          <w:szCs w:val="20"/>
          <w:color w:val="auto"/>
        </w:rPr>
        <w:tab/>
      </w:r>
      <w:r>
        <w:rPr>
          <w:rFonts w:ascii="Times New Roman" w:cs="Times New Roman" w:eastAsia="Times New Roman" w:hAnsi="Times New Roman"/>
          <w:sz w:val="16"/>
          <w:szCs w:val="16"/>
          <w:b w:val="1"/>
          <w:bCs w:val="1"/>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3742690</wp:posOffset>
            </wp:positionH>
            <wp:positionV relativeFrom="paragraph">
              <wp:posOffset>-3175</wp:posOffset>
            </wp:positionV>
            <wp:extent cx="958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885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001-35890</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3044825</wp:posOffset>
            </wp:positionH>
            <wp:positionV relativeFrom="paragraph">
              <wp:posOffset>-289560</wp:posOffset>
            </wp:positionV>
            <wp:extent cx="1053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3044825</wp:posOffset>
            </wp:positionH>
            <wp:positionV relativeFrom="paragraph">
              <wp:posOffset>69215</wp:posOffset>
            </wp:positionV>
            <wp:extent cx="1053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234" w:lineRule="exact"/>
        <w:rPr>
          <w:sz w:val="24"/>
          <w:szCs w:val="24"/>
          <w:color w:val="auto"/>
        </w:rPr>
      </w:pPr>
    </w:p>
    <w:tbl>
      <w:tblPr>
        <w:tblLayout w:type="fixed"/>
        <w:tblInd w:w="2900" w:type="dxa"/>
        <w:tblCellMar>
          <w:top w:w="0" w:type="dxa"/>
          <w:left w:w="0" w:type="dxa"/>
          <w:bottom w:w="0" w:type="dxa"/>
          <w:right w:w="0" w:type="dxa"/>
        </w:tblCellMar>
      </w:tblPr>
      <w:tr>
        <w:trPr>
          <w:trHeight w:val="212"/>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45-1472564</w:t>
            </w:r>
          </w:p>
        </w:tc>
      </w:tr>
      <w:tr>
        <w:trPr>
          <w:trHeight w:val="310"/>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6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(I.R.S. Employer</w:t>
            </w:r>
          </w:p>
        </w:tc>
      </w:tr>
      <w:tr>
        <w:trPr>
          <w:trHeight w:val="310"/>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64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10"/>
        </w:trPr>
        <w:tc>
          <w:tcPr>
            <w:tcW w:w="3080" w:type="dxa"/>
            <w:vAlign w:val="bottom"/>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2000 Sierra Point Parkway, Suite 400</w:t>
            </w:r>
          </w:p>
        </w:tc>
        <w:tc>
          <w:tcPr>
            <w:tcW w:w="1640" w:type="dxa"/>
            <w:vAlign w:val="bottom"/>
          </w:tcPr>
          <w:p>
            <w:pPr>
              <w:spacing w:after="0"/>
              <w:rPr>
                <w:sz w:val="24"/>
                <w:szCs w:val="24"/>
                <w:color w:val="auto"/>
              </w:rPr>
            </w:pPr>
          </w:p>
        </w:tc>
      </w:tr>
      <w:tr>
        <w:trPr>
          <w:trHeight w:val="310"/>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Brisbane, California</w:t>
            </w:r>
          </w:p>
        </w:tc>
        <w:tc>
          <w:tcPr>
            <w:tcW w:w="16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94005</w:t>
            </w:r>
          </w:p>
        </w:tc>
      </w:tr>
      <w:tr>
        <w:trPr>
          <w:trHeight w:val="310"/>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64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(415) 798-8589</w:t>
      </w:r>
    </w:p>
    <w:p>
      <w:pPr>
        <w:spacing w:after="0" w:line="122"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3044825</wp:posOffset>
            </wp:positionH>
            <wp:positionV relativeFrom="paragraph">
              <wp:posOffset>71755</wp:posOffset>
            </wp:positionV>
            <wp:extent cx="1053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4" w:lineRule="exact"/>
        <w:rPr>
          <w:sz w:val="24"/>
          <w:szCs w:val="24"/>
          <w:color w:val="auto"/>
        </w:rPr>
      </w:pPr>
    </w:p>
    <w:tbl>
      <w:tblPr>
        <w:tblLayout w:type="fixed"/>
        <w:tblInd w:w="120" w:type="dxa"/>
        <w:tblCellMar>
          <w:top w:w="0" w:type="dxa"/>
          <w:left w:w="0" w:type="dxa"/>
          <w:bottom w:w="0" w:type="dxa"/>
          <w:right w:w="0" w:type="dxa"/>
        </w:tblCellMar>
      </w:tblPr>
      <w:tr>
        <w:trPr>
          <w:trHeight w:val="166"/>
        </w:trPr>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80" w:type="dxa"/>
            <w:vAlign w:val="bottom"/>
            <w:gridSpan w:val="2"/>
          </w:tcPr>
          <w:p>
            <w:pPr>
              <w:ind w:left="158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2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Name of each exchange</w:t>
            </w:r>
          </w:p>
        </w:tc>
      </w:tr>
      <w:tr>
        <w:trPr>
          <w:trHeight w:val="256"/>
        </w:trPr>
        <w:tc>
          <w:tcPr>
            <w:tcW w:w="3580" w:type="dxa"/>
            <w:vAlign w:val="bottom"/>
          </w:tcPr>
          <w:p>
            <w:pPr>
              <w:ind w:left="14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00" w:type="dxa"/>
            <w:vAlign w:val="bottom"/>
          </w:tcPr>
          <w:p>
            <w:pPr>
              <w:spacing w:after="0"/>
              <w:rPr>
                <w:sz w:val="22"/>
                <w:szCs w:val="22"/>
                <w:color w:val="auto"/>
              </w:rPr>
            </w:pPr>
          </w:p>
        </w:tc>
        <w:tc>
          <w:tcPr>
            <w:tcW w:w="3580" w:type="dxa"/>
            <w:vAlign w:val="bottom"/>
            <w:gridSpan w:val="2"/>
          </w:tcPr>
          <w:p>
            <w:pPr>
              <w:ind w:left="152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2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on which registered</w:t>
            </w:r>
          </w:p>
        </w:tc>
      </w:tr>
      <w:tr>
        <w:trPr>
          <w:trHeight w:val="36"/>
        </w:trPr>
        <w:tc>
          <w:tcPr>
            <w:tcW w:w="35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r>
      <w:tr>
        <w:trPr>
          <w:trHeight w:val="217"/>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00" w:type="dxa"/>
            <w:vAlign w:val="bottom"/>
          </w:tcPr>
          <w:p>
            <w:pPr>
              <w:spacing w:after="0"/>
              <w:rPr>
                <w:sz w:val="18"/>
                <w:szCs w:val="18"/>
                <w:color w:val="auto"/>
              </w:rPr>
            </w:pPr>
          </w:p>
        </w:tc>
        <w:tc>
          <w:tcPr>
            <w:tcW w:w="358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TPST</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29"/>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Series A Junior Participating Preferred Purchase Rights</w:t>
            </w:r>
          </w:p>
        </w:tc>
        <w:tc>
          <w:tcPr>
            <w:tcW w:w="200" w:type="dxa"/>
            <w:vAlign w:val="bottom"/>
          </w:tcPr>
          <w:p>
            <w:pPr>
              <w:spacing w:after="0"/>
              <w:rPr>
                <w:sz w:val="19"/>
                <w:szCs w:val="19"/>
                <w:color w:val="auto"/>
              </w:rPr>
            </w:pPr>
          </w:p>
        </w:tc>
        <w:tc>
          <w:tcPr>
            <w:tcW w:w="358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N/A</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84" w:lineRule="exact"/>
        <w:rPr>
          <w:sz w:val="24"/>
          <w:szCs w:val="24"/>
          <w:color w:val="auto"/>
        </w:rPr>
      </w:pPr>
    </w:p>
    <w:p>
      <w:pPr>
        <w:ind w:right="22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100"/>
        <w:spacing w:after="0" w:line="16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480"/>
        <w:spacing w:after="0" w:line="23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80" w:type="dxa"/>
        <w:tblCellMar>
          <w:top w:w="0" w:type="dxa"/>
          <w:left w:w="0" w:type="dxa"/>
          <w:bottom w:w="0" w:type="dxa"/>
          <w:right w:w="0" w:type="dxa"/>
        </w:tblCellMar>
      </w:tblPr>
      <w:tr>
        <w:trPr>
          <w:trHeight w:val="241"/>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4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Accelerated filer</w:t>
            </w:r>
          </w:p>
        </w:tc>
        <w:tc>
          <w:tcPr>
            <w:tcW w:w="206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2"/>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4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06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14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87" w:lineRule="exact"/>
        <w:rPr>
          <w:sz w:val="24"/>
          <w:szCs w:val="24"/>
          <w:color w:val="auto"/>
        </w:rPr>
      </w:pPr>
    </w:p>
    <w:p>
      <w:pPr>
        <w:spacing w:after="0" w:line="17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1" w:lineRule="exact"/>
        <w:tabs>
          <w:tab w:leader="none" w:pos="66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$0.001 par value per share, outstanding as of August 5, 2024 was 25,207,792.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0" w:type="dxa"/>
            <w:vAlign w:val="bottom"/>
            <w:gridSpan w:val="13"/>
          </w:tcPr>
          <w:p>
            <w:pPr>
              <w:ind w:left="300"/>
              <w:spacing w:after="0"/>
              <w:rPr>
                <w:sz w:val="20"/>
                <w:szCs w:val="20"/>
                <w:color w:val="auto"/>
              </w:rPr>
            </w:pPr>
            <w:r>
              <w:rPr>
                <w:rFonts w:ascii="Times New Roman" w:cs="Times New Roman" w:eastAsia="Times New Roman" w:hAnsi="Times New Roman"/>
                <w:sz w:val="16"/>
                <w:szCs w:val="16"/>
                <w:b w:val="1"/>
                <w:bCs w:val="1"/>
                <w:color w:val="auto"/>
              </w:rPr>
              <w:t>INDEX TO FORM 10-Q</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24"/>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77"/>
        </w:trPr>
        <w:tc>
          <w:tcPr>
            <w:tcW w:w="10660" w:type="dxa"/>
            <w:vAlign w:val="bottom"/>
            <w:gridSpan w:val="26"/>
          </w:tcPr>
          <w:p>
            <w:pPr>
              <w:ind w:left="80"/>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0000FF"/>
                <w:w w:val="99"/>
              </w:rPr>
              <w:t>3</w:t>
            </w:r>
          </w:p>
        </w:tc>
        <w:tc>
          <w:tcPr>
            <w:tcW w:w="240" w:type="dxa"/>
            <w:vAlign w:val="bottom"/>
          </w:tcPr>
          <w:p>
            <w:pPr>
              <w:spacing w:after="0"/>
              <w:rPr>
                <w:sz w:val="24"/>
                <w:szCs w:val="24"/>
                <w:color w:val="auto"/>
              </w:rPr>
            </w:pPr>
          </w:p>
        </w:tc>
      </w:tr>
      <w:tr>
        <w:trPr>
          <w:trHeight w:val="277"/>
        </w:trPr>
        <w:tc>
          <w:tcPr>
            <w:tcW w:w="8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6340" w:type="dxa"/>
            <w:vAlign w:val="bottom"/>
            <w:gridSpan w:val="14"/>
          </w:tcPr>
          <w:p>
            <w:pPr>
              <w:jc w:val="center"/>
              <w:ind w:right="3300"/>
              <w:spacing w:after="0"/>
              <w:rPr>
                <w:sz w:val="20"/>
                <w:szCs w:val="20"/>
                <w:color w:val="auto"/>
              </w:rPr>
            </w:pPr>
            <w:r>
              <w:rPr>
                <w:rFonts w:ascii="Times New Roman" w:cs="Times New Roman" w:eastAsia="Times New Roman" w:hAnsi="Times New Roman"/>
                <w:sz w:val="18"/>
                <w:szCs w:val="18"/>
                <w:color w:val="0000FF"/>
                <w:w w:val="97"/>
              </w:rPr>
              <w:t>PART I — FINANCIAL INFORMATION</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240" w:type="dxa"/>
            <w:vAlign w:val="bottom"/>
          </w:tcPr>
          <w:p>
            <w:pPr>
              <w:spacing w:after="0"/>
              <w:rPr>
                <w:sz w:val="24"/>
                <w:szCs w:val="24"/>
                <w:color w:val="auto"/>
              </w:rPr>
            </w:pPr>
          </w:p>
        </w:tc>
      </w:tr>
      <w:tr>
        <w:trPr>
          <w:trHeight w:val="277"/>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560" w:type="dxa"/>
            <w:vAlign w:val="bottom"/>
            <w:gridSpan w:val="2"/>
          </w:tcPr>
          <w:p>
            <w:pPr>
              <w:spacing w:after="0"/>
              <w:rPr>
                <w:sz w:val="24"/>
                <w:szCs w:val="24"/>
                <w:color w:val="auto"/>
              </w:rPr>
            </w:pPr>
          </w:p>
        </w:tc>
        <w:tc>
          <w:tcPr>
            <w:tcW w:w="3040" w:type="dxa"/>
            <w:vAlign w:val="bottom"/>
            <w:tcBorders>
              <w:top w:val="single" w:sz="8" w:color="0000FF"/>
            </w:tcBorders>
            <w:gridSpan w:val="7"/>
          </w:tcPr>
          <w:p>
            <w:pPr>
              <w:spacing w:after="0"/>
              <w:rPr>
                <w:sz w:val="24"/>
                <w:szCs w:val="24"/>
                <w:color w:val="auto"/>
              </w:rPr>
            </w:pPr>
          </w:p>
        </w:tc>
        <w:tc>
          <w:tcPr>
            <w:tcW w:w="3300" w:type="dxa"/>
            <w:vAlign w:val="bottom"/>
            <w:gridSpan w:val="7"/>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240" w:type="dxa"/>
            <w:vAlign w:val="bottom"/>
          </w:tcPr>
          <w:p>
            <w:pPr>
              <w:spacing w:after="0"/>
              <w:rPr>
                <w:sz w:val="24"/>
                <w:szCs w:val="24"/>
                <w:color w:val="auto"/>
              </w:rPr>
            </w:pPr>
          </w:p>
        </w:tc>
      </w:tr>
      <w:tr>
        <w:trPr>
          <w:trHeight w:val="277"/>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June 30, 2024 and December 31, 2023</w:t>
            </w:r>
          </w:p>
        </w:tc>
        <w:tc>
          <w:tcPr>
            <w:tcW w:w="20" w:type="dxa"/>
            <w:vAlign w:val="bottom"/>
            <w:tcBorders>
              <w:bottom w:val="single" w:sz="8" w:color="0000EE"/>
            </w:tcBorders>
          </w:tcPr>
          <w:p>
            <w:pPr>
              <w:spacing w:after="0"/>
              <w:rPr>
                <w:sz w:val="24"/>
                <w:szCs w:val="24"/>
                <w:color w:val="auto"/>
              </w:rPr>
            </w:pPr>
          </w:p>
        </w:tc>
        <w:tc>
          <w:tcPr>
            <w:tcW w:w="3180" w:type="dxa"/>
            <w:vAlign w:val="bottom"/>
            <w:gridSpan w:val="5"/>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240" w:type="dxa"/>
            <w:vAlign w:val="bottom"/>
          </w:tcPr>
          <w:p>
            <w:pPr>
              <w:spacing w:after="0"/>
              <w:rPr>
                <w:sz w:val="24"/>
                <w:szCs w:val="24"/>
                <w:color w:val="auto"/>
              </w:rPr>
            </w:pPr>
          </w:p>
        </w:tc>
      </w:tr>
      <w:tr>
        <w:trPr>
          <w:trHeight w:val="277"/>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2024 and 2023</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6</w:t>
            </w:r>
          </w:p>
        </w:tc>
        <w:tc>
          <w:tcPr>
            <w:tcW w:w="24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2024 and 2023</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w:t>
            </w:r>
          </w:p>
        </w:tc>
        <w:tc>
          <w:tcPr>
            <w:tcW w:w="240" w:type="dxa"/>
            <w:vAlign w:val="bottom"/>
          </w:tcPr>
          <w:p>
            <w:pPr>
              <w:spacing w:after="0"/>
              <w:rPr>
                <w:sz w:val="24"/>
                <w:szCs w:val="24"/>
                <w:color w:val="auto"/>
              </w:rPr>
            </w:pPr>
          </w:p>
        </w:tc>
      </w:tr>
      <w:tr>
        <w:trPr>
          <w:trHeight w:val="277"/>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38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30, 2024 and 2023</w:t>
            </w:r>
          </w:p>
        </w:tc>
        <w:tc>
          <w:tcPr>
            <w:tcW w:w="1440" w:type="dxa"/>
            <w:vAlign w:val="bottom"/>
            <w:tcBorders>
              <w:top w:val="single" w:sz="8" w:color="0000FF"/>
            </w:tcBorders>
            <w:gridSpan w:val="2"/>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w:t>
            </w:r>
          </w:p>
        </w:tc>
        <w:tc>
          <w:tcPr>
            <w:tcW w:w="240" w:type="dxa"/>
            <w:vAlign w:val="bottom"/>
          </w:tcPr>
          <w:p>
            <w:pPr>
              <w:spacing w:after="0"/>
              <w:rPr>
                <w:sz w:val="24"/>
                <w:szCs w:val="24"/>
                <w:color w:val="auto"/>
              </w:rPr>
            </w:pPr>
          </w:p>
        </w:tc>
      </w:tr>
      <w:tr>
        <w:trPr>
          <w:trHeight w:val="277"/>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20" w:type="dxa"/>
            <w:vAlign w:val="bottom"/>
            <w:tcBorders>
              <w:bottom w:val="single" w:sz="8" w:color="0000EE"/>
            </w:tcBorders>
          </w:tcPr>
          <w:p>
            <w:pPr>
              <w:spacing w:after="0"/>
              <w:rPr>
                <w:sz w:val="24"/>
                <w:szCs w:val="24"/>
                <w:color w:val="auto"/>
              </w:rPr>
            </w:pPr>
          </w:p>
        </w:tc>
        <w:tc>
          <w:tcPr>
            <w:tcW w:w="5320" w:type="dxa"/>
            <w:vAlign w:val="bottom"/>
            <w:gridSpan w:val="11"/>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9</w:t>
            </w:r>
          </w:p>
        </w:tc>
        <w:tc>
          <w:tcPr>
            <w:tcW w:w="240" w:type="dxa"/>
            <w:vAlign w:val="bottom"/>
          </w:tcPr>
          <w:p>
            <w:pPr>
              <w:spacing w:after="0"/>
              <w:rPr>
                <w:sz w:val="24"/>
                <w:szCs w:val="24"/>
                <w:color w:val="auto"/>
              </w:rPr>
            </w:pPr>
          </w:p>
        </w:tc>
      </w:tr>
      <w:tr>
        <w:trPr>
          <w:trHeight w:val="277"/>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80" w:type="dxa"/>
            <w:vAlign w:val="bottom"/>
            <w:gridSpan w:val="4"/>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17</w:t>
            </w:r>
          </w:p>
        </w:tc>
        <w:tc>
          <w:tcPr>
            <w:tcW w:w="240" w:type="dxa"/>
            <w:vAlign w:val="bottom"/>
          </w:tcPr>
          <w:p>
            <w:pPr>
              <w:spacing w:after="0"/>
              <w:rPr>
                <w:sz w:val="24"/>
                <w:szCs w:val="24"/>
                <w:color w:val="auto"/>
              </w:rPr>
            </w:pPr>
          </w:p>
        </w:tc>
      </w:tr>
      <w:tr>
        <w:trPr>
          <w:trHeight w:val="277"/>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80" w:type="dxa"/>
            <w:vAlign w:val="bottom"/>
            <w:gridSpan w:val="9"/>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26</w:t>
            </w:r>
          </w:p>
        </w:tc>
        <w:tc>
          <w:tcPr>
            <w:tcW w:w="240" w:type="dxa"/>
            <w:vAlign w:val="bottom"/>
          </w:tcPr>
          <w:p>
            <w:pPr>
              <w:spacing w:after="0"/>
              <w:rPr>
                <w:sz w:val="24"/>
                <w:szCs w:val="24"/>
                <w:color w:val="auto"/>
              </w:rPr>
            </w:pPr>
          </w:p>
        </w:tc>
      </w:tr>
      <w:tr>
        <w:trPr>
          <w:trHeight w:val="277"/>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26</w:t>
            </w:r>
          </w:p>
        </w:tc>
        <w:tc>
          <w:tcPr>
            <w:tcW w:w="240" w:type="dxa"/>
            <w:vAlign w:val="bottom"/>
          </w:tcPr>
          <w:p>
            <w:pPr>
              <w:spacing w:after="0"/>
              <w:rPr>
                <w:sz w:val="24"/>
                <w:szCs w:val="24"/>
                <w:color w:val="auto"/>
              </w:rPr>
            </w:pPr>
          </w:p>
        </w:tc>
      </w:tr>
      <w:tr>
        <w:trPr>
          <w:trHeight w:val="573"/>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8"/>
              </w:rPr>
              <w:t>PART II — OTHER INFORMATION</w:t>
            </w:r>
          </w:p>
        </w:tc>
        <w:tc>
          <w:tcPr>
            <w:tcW w:w="3440" w:type="dxa"/>
            <w:vAlign w:val="bottom"/>
            <w:gridSpan w:val="8"/>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28</w:t>
            </w:r>
          </w:p>
        </w:tc>
        <w:tc>
          <w:tcPr>
            <w:tcW w:w="240" w:type="dxa"/>
            <w:vAlign w:val="bottom"/>
          </w:tcPr>
          <w:p>
            <w:pPr>
              <w:spacing w:after="0"/>
              <w:rPr>
                <w:sz w:val="24"/>
                <w:szCs w:val="24"/>
                <w:color w:val="auto"/>
              </w:rPr>
            </w:pPr>
          </w:p>
        </w:tc>
      </w:tr>
      <w:tr>
        <w:trPr>
          <w:trHeight w:val="277"/>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000" w:type="dxa"/>
            <w:vAlign w:val="bottom"/>
            <w:gridSpan w:val="19"/>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28</w:t>
            </w:r>
          </w:p>
        </w:tc>
        <w:tc>
          <w:tcPr>
            <w:tcW w:w="240" w:type="dxa"/>
            <w:vAlign w:val="bottom"/>
          </w:tcPr>
          <w:p>
            <w:pPr>
              <w:spacing w:after="0"/>
              <w:rPr>
                <w:sz w:val="24"/>
                <w:szCs w:val="24"/>
                <w:color w:val="auto"/>
              </w:rPr>
            </w:pPr>
          </w:p>
        </w:tc>
      </w:tr>
      <w:tr>
        <w:trPr>
          <w:trHeight w:val="277"/>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1A.</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28</w:t>
            </w:r>
          </w:p>
        </w:tc>
        <w:tc>
          <w:tcPr>
            <w:tcW w:w="240" w:type="dxa"/>
            <w:vAlign w:val="bottom"/>
          </w:tcPr>
          <w:p>
            <w:pPr>
              <w:spacing w:after="0"/>
              <w:rPr>
                <w:sz w:val="24"/>
                <w:szCs w:val="24"/>
                <w:color w:val="auto"/>
              </w:rPr>
            </w:pPr>
          </w:p>
        </w:tc>
      </w:tr>
      <w:tr>
        <w:trPr>
          <w:trHeight w:val="20"/>
        </w:trPr>
        <w:tc>
          <w:tcPr>
            <w:tcW w:w="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500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79</w:t>
            </w:r>
          </w:p>
        </w:tc>
        <w:tc>
          <w:tcPr>
            <w:tcW w:w="240" w:type="dxa"/>
            <w:vAlign w:val="bottom"/>
          </w:tcPr>
          <w:p>
            <w:pPr>
              <w:spacing w:after="0"/>
              <w:rPr>
                <w:sz w:val="24"/>
                <w:szCs w:val="24"/>
                <w:color w:val="auto"/>
              </w:rPr>
            </w:pPr>
          </w:p>
        </w:tc>
      </w:tr>
      <w:tr>
        <w:trPr>
          <w:trHeight w:val="277"/>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000" w:type="dxa"/>
            <w:vAlign w:val="bottom"/>
            <w:gridSpan w:val="10"/>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79</w:t>
            </w:r>
          </w:p>
        </w:tc>
        <w:tc>
          <w:tcPr>
            <w:tcW w:w="240" w:type="dxa"/>
            <w:vAlign w:val="bottom"/>
          </w:tcPr>
          <w:p>
            <w:pPr>
              <w:spacing w:after="0"/>
              <w:rPr>
                <w:sz w:val="24"/>
                <w:szCs w:val="24"/>
                <w:color w:val="auto"/>
              </w:rPr>
            </w:pPr>
          </w:p>
        </w:tc>
      </w:tr>
      <w:tr>
        <w:trPr>
          <w:trHeight w:val="277"/>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24"/>
                <w:szCs w:val="24"/>
                <w:color w:val="auto"/>
              </w:rPr>
            </w:pPr>
          </w:p>
        </w:tc>
        <w:tc>
          <w:tcPr>
            <w:tcW w:w="7020" w:type="dxa"/>
            <w:vAlign w:val="bottom"/>
            <w:gridSpan w:val="17"/>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79</w:t>
            </w:r>
          </w:p>
        </w:tc>
        <w:tc>
          <w:tcPr>
            <w:tcW w:w="240" w:type="dxa"/>
            <w:vAlign w:val="bottom"/>
          </w:tcPr>
          <w:p>
            <w:pPr>
              <w:spacing w:after="0"/>
              <w:rPr>
                <w:sz w:val="24"/>
                <w:szCs w:val="24"/>
                <w:color w:val="auto"/>
              </w:rPr>
            </w:pPr>
          </w:p>
        </w:tc>
      </w:tr>
      <w:tr>
        <w:trPr>
          <w:trHeight w:val="277"/>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020" w:type="dxa"/>
            <w:vAlign w:val="bottom"/>
            <w:gridSpan w:val="20"/>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79</w:t>
            </w:r>
          </w:p>
        </w:tc>
        <w:tc>
          <w:tcPr>
            <w:tcW w:w="240" w:type="dxa"/>
            <w:vAlign w:val="bottom"/>
          </w:tcPr>
          <w:p>
            <w:pPr>
              <w:spacing w:after="0"/>
              <w:rPr>
                <w:sz w:val="24"/>
                <w:szCs w:val="24"/>
                <w:color w:val="auto"/>
              </w:rPr>
            </w:pPr>
          </w:p>
        </w:tc>
      </w:tr>
      <w:tr>
        <w:trPr>
          <w:trHeight w:val="277"/>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6.</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80</w:t>
            </w:r>
          </w:p>
        </w:tc>
        <w:tc>
          <w:tcPr>
            <w:tcW w:w="240" w:type="dxa"/>
            <w:vAlign w:val="bottom"/>
          </w:tcPr>
          <w:p>
            <w:pPr>
              <w:spacing w:after="0"/>
              <w:rPr>
                <w:sz w:val="24"/>
                <w:szCs w:val="24"/>
                <w:color w:val="auto"/>
              </w:rPr>
            </w:pPr>
          </w:p>
        </w:tc>
      </w:tr>
      <w:tr>
        <w:trPr>
          <w:trHeight w:val="277"/>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24"/>
        </w:trPr>
        <w:tc>
          <w:tcPr>
            <w:tcW w:w="8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4360" w:type="dxa"/>
            <w:vAlign w:val="bottom"/>
            <w:gridSpan w:val="14"/>
          </w:tcPr>
          <w:p>
            <w:pPr>
              <w:ind w:left="4260"/>
              <w:spacing w:after="0"/>
              <w:rPr>
                <w:sz w:val="20"/>
                <w:szCs w:val="20"/>
                <w:color w:val="auto"/>
              </w:rPr>
            </w:pPr>
            <w:r>
              <w:rPr>
                <w:rFonts w:ascii="Times New Roman" w:cs="Times New Roman" w:eastAsia="Times New Roman" w:hAnsi="Times New Roman"/>
                <w:sz w:val="18"/>
                <w:szCs w:val="18"/>
                <w:color w:val="auto"/>
                <w:w w:val="88"/>
              </w:rPr>
              <w:t>2</w:t>
            </w: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(including within the meaning of Section 21E of the Securities Exchange Act of 1934, as amended, and Section 27A of the Securities Act of 1933, as amended (the “Securities Act”)) about us and our industry that involve substantial risks and uncertainties. These statements may discuss goals, intentions and expectations as to future plans, trends, events, results of operations or financial condition, or otherwise, based on current beliefs of our management, as well as assumptions made by, and information currently available to, our management. Forward-looking statements generally include statements that are predictive in nature and depend upon or refer to future events or conditions, and include words such as “may,” “will,” “should,” “would,” “could,” “expect,” “anticipate,” “plan,” “likely,” “believe,” “estimate,”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our strategies, prospects, plans, expectations or objectives for future operations; the progress, scope or timing of the development of our product candidates; the benefits that may be derived from any future products or the commercial or market opportunity with respect to any of our future products; our ability to protect our intellectual property rights; our anticipated operations, financial position, ability to raise capital to fund operations, revenues, costs or expenses; statements regarding future economic conditions or performance; statements of belief and any statement of assumptions underlying any of the foregoing. These risks and uncertainties include, but are not limited to, the risks included in this Quarterly Report on Form 10-Q under Part II, Item 1A, “Risk Factors.” Other sections of this Quarterly Report on Form 10-Q, as well as our other disclosures and filings,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update or revise any forward-looking statements contained in this report, whether as a result of new information, future events or otherwise.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contained in this Quarterly Report on Form 10-Q include, but are not limited to, statements about:</w:t>
      </w:r>
    </w:p>
    <w:p>
      <w:pPr>
        <w:spacing w:after="0" w:line="198" w:lineRule="exact"/>
        <w:rPr>
          <w:sz w:val="20"/>
          <w:szCs w:val="20"/>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future growth and our ability to manage such growth;</w:t>
      </w:r>
    </w:p>
    <w:p>
      <w:pPr>
        <w:spacing w:after="0" w:line="27" w:lineRule="exact"/>
        <w:rPr>
          <w:rFonts w:ascii="Times New Roman" w:cs="Times New Roman" w:eastAsia="Times New Roman" w:hAnsi="Times New Roman"/>
          <w:sz w:val="18"/>
          <w:szCs w:val="18"/>
          <w:color w:val="auto"/>
        </w:rPr>
      </w:pPr>
    </w:p>
    <w:p>
      <w:pPr>
        <w:ind w:left="280" w:hanging="272"/>
        <w:spacing w:after="0" w:line="250" w:lineRule="auto"/>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amezalpat (previously known as TPST-1120), TPST-1495 and any future product candidates;</w:t>
      </w: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regulatory approval, efficacy and commercialization of competing products;</w:t>
      </w:r>
    </w:p>
    <w:p>
      <w:pPr>
        <w:spacing w:after="0" w:line="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and marketing capabilities or enter into agreements with third parties to market and sell our product candidates;</w:t>
      </w:r>
    </w:p>
    <w:p>
      <w:pPr>
        <w:spacing w:after="0" w:line="8" w:lineRule="exact"/>
        <w:rPr>
          <w:rFonts w:ascii="Times New Roman" w:cs="Times New Roman" w:eastAsia="Times New Roman" w:hAnsi="Times New Roman"/>
          <w:sz w:val="18"/>
          <w:szCs w:val="18"/>
          <w:color w:val="auto"/>
        </w:rPr>
      </w:pPr>
    </w:p>
    <w:p>
      <w:pPr>
        <w:ind w:left="280" w:hanging="272"/>
        <w:spacing w:after="0" w:line="250" w:lineRule="auto"/>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regulatory approval for our product candidates or future product candidates in the United States and in any foreign countries in which we make seek to do business;</w:t>
      </w: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our board of directors, senior management, or operational personnel;</w:t>
      </w:r>
    </w:p>
    <w:p>
      <w:pPr>
        <w:spacing w:after="0" w:line="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corporate infrastructure, including our ability to design and maintain an effective system of internal controls;</w:t>
      </w:r>
    </w:p>
    <w:p>
      <w:pPr>
        <w:spacing w:after="0" w:line="8" w:lineRule="exact"/>
        <w:rPr>
          <w:rFonts w:ascii="Times New Roman" w:cs="Times New Roman" w:eastAsia="Times New Roman" w:hAnsi="Times New Roman"/>
          <w:sz w:val="18"/>
          <w:szCs w:val="18"/>
          <w:color w:val="auto"/>
        </w:rPr>
      </w:pPr>
    </w:p>
    <w:p>
      <w:pPr>
        <w:ind w:left="280" w:hanging="272"/>
        <w:spacing w:after="0" w:line="250" w:lineRule="auto"/>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our obligations under our term loan with Oxford Finance LLC, or to obtain a waiver from Oxford for any failure to comply with the covenants contained in such term loan agreement;</w:t>
      </w:r>
    </w:p>
    <w:p>
      <w:pPr>
        <w:ind w:left="280" w:hanging="272"/>
        <w:spacing w:after="0" w:line="260" w:lineRule="auto"/>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period during which we will qualify as a smaller reporting company under the federal securities laws; and</w:t>
      </w:r>
    </w:p>
    <w:p>
      <w:pPr>
        <w:spacing w:after="0" w:line="27" w:lineRule="exact"/>
        <w:rPr>
          <w:rFonts w:ascii="Times New Roman" w:cs="Times New Roman" w:eastAsia="Times New Roman" w:hAnsi="Times New Roman"/>
          <w:sz w:val="18"/>
          <w:szCs w:val="18"/>
          <w:color w:val="auto"/>
        </w:rPr>
      </w:pPr>
    </w:p>
    <w:p>
      <w:pPr>
        <w:ind w:left="280" w:hanging="272"/>
        <w:spacing w:after="0" w:line="260" w:lineRule="auto"/>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1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You should read this Quarterly Report on Form 10-Q as well as the documents that we reference in,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Unless the context suggests otherwise, references in this Quarterly Report on Form 10-Q to “Tempest,” “the Company,” “we,” “us,” and “our” refer to Tempest Therapeutics, Inc. and, where appropriate, its subsidiaries.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TEMPEST THERAPEUTICS, INC.</w:t>
      </w:r>
    </w:p>
    <w:p>
      <w:pPr>
        <w:spacing w:after="0" w:line="1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7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21"/>
                <w:szCs w:val="21"/>
                <w:color w:val="auto"/>
              </w:rPr>
            </w:pPr>
          </w:p>
        </w:tc>
        <w:tc>
          <w:tcPr>
            <w:tcW w:w="136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4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31,124</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39,230</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21"/>
                <w:szCs w:val="21"/>
                <w:color w:val="auto"/>
              </w:rPr>
            </w:pPr>
          </w:p>
        </w:tc>
      </w:tr>
      <w:tr>
        <w:trPr>
          <w:trHeight w:val="23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31,548</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40,363</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1"/>
                <w:szCs w:val="21"/>
                <w:color w:val="auto"/>
              </w:rPr>
            </w:pPr>
          </w:p>
        </w:tc>
      </w:tr>
      <w:tr>
        <w:trPr>
          <w:trHeight w:val="27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42,169</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51,603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loan payable (net of discount and issuance costs of $150 and $112, respectively)</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20"/>
                <w:szCs w:val="20"/>
                <w:color w:val="auto"/>
              </w:rPr>
            </w:pPr>
          </w:p>
        </w:tc>
      </w:tr>
      <w:tr>
        <w:trPr>
          <w:trHeight w:val="247"/>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payable</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payable (net of discount and issuance costs of $22 and $164, respectively)</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9,160</w:t>
            </w:r>
          </w:p>
        </w:tc>
        <w:tc>
          <w:tcPr>
            <w:tcW w:w="100" w:type="dxa"/>
            <w:vAlign w:val="bottom"/>
          </w:tcPr>
          <w:p>
            <w:pPr>
              <w:spacing w:after="0"/>
              <w:rPr>
                <w:sz w:val="21"/>
                <w:szCs w:val="21"/>
                <w:color w:val="auto"/>
              </w:rPr>
            </w:pP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25,230</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100,000,000 shares authorized; 24,475,799 and 22,045,255 shares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and outstanding at June 30, 2024 and December 31, 2023, respectively</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199,652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192,009</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(182,737 )</w:t>
            </w:r>
          </w:p>
        </w:tc>
        <w:tc>
          <w:tcPr>
            <w:tcW w:w="12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(165,263 )</w:t>
            </w: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16,939</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42,169</w:t>
            </w:r>
          </w:p>
        </w:tc>
        <w:tc>
          <w:tcPr>
            <w:tcW w:w="2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51,603</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-3159125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-3141980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-3159125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-3141980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-1899920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-1899920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-1266825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-1266825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0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TEMPEST THERAPEUTICS, INC.</w:t>
      </w:r>
    </w:p>
    <w:p>
      <w:pPr>
        <w:spacing w:after="0" w:line="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1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40" w:type="dxa"/>
            <w:vAlign w:val="bottom"/>
          </w:tcPr>
          <w:p>
            <w:pPr>
              <w:spacing w:after="0"/>
              <w:rPr>
                <w:sz w:val="19"/>
                <w:szCs w:val="19"/>
                <w:color w:val="auto"/>
              </w:rPr>
            </w:pPr>
          </w:p>
        </w:tc>
        <w:tc>
          <w:tcPr>
            <w:tcW w:w="218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(9,582 )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(7,470 )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(17,556 )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(15,051 )</w:t>
            </w:r>
          </w:p>
        </w:tc>
        <w:tc>
          <w:tcPr>
            <w:tcW w:w="0" w:type="dxa"/>
            <w:vAlign w:val="bottom"/>
          </w:tcPr>
          <w:p>
            <w:pPr>
              <w:spacing w:after="0"/>
              <w:rPr>
                <w:sz w:val="1"/>
                <w:szCs w:val="1"/>
                <w:color w:val="auto"/>
              </w:rPr>
            </w:pPr>
          </w:p>
        </w:tc>
      </w:tr>
      <w:tr>
        <w:trPr>
          <w:trHeight w:val="247"/>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(699 )</w:t>
            </w:r>
          </w:p>
        </w:tc>
        <w:tc>
          <w:tcPr>
            <w:tcW w:w="0" w:type="dxa"/>
            <w:vAlign w:val="bottom"/>
          </w:tcPr>
          <w:p>
            <w:pPr>
              <w:spacing w:after="0"/>
              <w:rPr>
                <w:sz w:val="1"/>
                <w:szCs w:val="1"/>
                <w:color w:val="auto"/>
              </w:rPr>
            </w:pPr>
          </w:p>
        </w:tc>
      </w:tr>
      <w:tr>
        <w:trPr>
          <w:trHeight w:val="247"/>
        </w:trPr>
        <w:tc>
          <w:tcPr>
            <w:tcW w:w="59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36"/>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(9,570 )</w:t>
            </w:r>
          </w:p>
        </w:tc>
        <w:tc>
          <w:tcPr>
            <w:tcW w:w="1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(7,581 )</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(17,474 )</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(15,217 )</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9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Net loss per share of common stock, RSUs and pre-funded warrants, basic and</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(0.42 )</w:t>
            </w:r>
          </w:p>
        </w:tc>
        <w:tc>
          <w:tcPr>
            <w:tcW w:w="160" w:type="dxa"/>
            <w:vAlign w:val="bottom"/>
            <w:shd w:val="clear" w:color="auto" w:fill="CFF0FC"/>
          </w:tcPr>
          <w:p>
            <w:pPr>
              <w:spacing w:after="0"/>
              <w:rPr>
                <w:sz w:val="16"/>
                <w:szCs w:val="16"/>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(0.54 )</w:t>
            </w:r>
          </w:p>
        </w:tc>
        <w:tc>
          <w:tcPr>
            <w:tcW w:w="14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(0.78 )</w:t>
            </w:r>
          </w:p>
        </w:tc>
        <w:tc>
          <w:tcPr>
            <w:tcW w:w="120" w:type="dxa"/>
            <w:vAlign w:val="bottom"/>
            <w:shd w:val="clear" w:color="auto" w:fill="CFF0FC"/>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47"/>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vMerge w:val="continue"/>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960" w:type="dxa"/>
            <w:vAlign w:val="bottom"/>
            <w:tcBorders>
              <w:top w:val="single" w:sz="8" w:color="CFF0FC"/>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Weighted-average shares of common stock, RSUs and pre-funded warrants</w:t>
            </w: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22,546,370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14,102,211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22,390,298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13,933,629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-1711960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-1711960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-1711960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-1087120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-1087120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-1087120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-1087120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-761365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-761365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-761365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-761365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-307340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-290830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-307340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-290830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-307340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-290830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0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TEMPEST THERAPEUTICS, INC.</w:t>
      </w:r>
    </w:p>
    <w:p>
      <w:pPr>
        <w:spacing w:after="0" w:line="2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1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3980" w:type="dxa"/>
            <w:vAlign w:val="bottom"/>
          </w:tcPr>
          <w:p>
            <w:pPr>
              <w:spacing w:after="0"/>
              <w:rPr>
                <w:sz w:val="24"/>
                <w:szCs w:val="24"/>
                <w:color w:val="auto"/>
              </w:rPr>
            </w:pPr>
          </w:p>
        </w:tc>
        <w:tc>
          <w:tcPr>
            <w:tcW w:w="2640" w:type="dxa"/>
            <w:vAlign w:val="bottom"/>
            <w:gridSpan w:val="4"/>
            <w:vMerge w:val="restart"/>
          </w:tcPr>
          <w:p>
            <w:pPr>
              <w:jc w:val="right"/>
              <w:ind w:right="707"/>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166"/>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17"/>
        </w:trPr>
        <w:tc>
          <w:tcPr>
            <w:tcW w:w="3980" w:type="dxa"/>
            <w:vAlign w:val="bottom"/>
          </w:tcPr>
          <w:p>
            <w:pPr>
              <w:spacing w:after="0"/>
              <w:rPr>
                <w:sz w:val="18"/>
                <w:szCs w:val="18"/>
                <w:color w:val="auto"/>
              </w:rPr>
            </w:pPr>
          </w:p>
        </w:tc>
        <w:tc>
          <w:tcPr>
            <w:tcW w:w="2640" w:type="dxa"/>
            <w:vAlign w:val="bottom"/>
            <w:tcBorders>
              <w:bottom w:val="single" w:sz="8" w:color="auto"/>
            </w:tcBorders>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48"/>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2"/>
        </w:trPr>
        <w:tc>
          <w:tcPr>
            <w:tcW w:w="3980" w:type="dxa"/>
            <w:vAlign w:val="bottom"/>
          </w:tcPr>
          <w:p>
            <w:pPr>
              <w:spacing w:after="0"/>
              <w:rPr>
                <w:sz w:val="19"/>
                <w:szCs w:val="19"/>
                <w:color w:val="auto"/>
              </w:rPr>
            </w:pPr>
          </w:p>
        </w:tc>
        <w:tc>
          <w:tcPr>
            <w:tcW w:w="122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December 31,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22,045,255</w:t>
            </w: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192,009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(165,263 )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9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 at-the-market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56,288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(net of issuance costs of $8)</w:t>
            </w:r>
          </w:p>
        </w:tc>
        <w:tc>
          <w:tcPr>
            <w:tcW w:w="12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equity plan awards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115,722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(7,904 )</w:t>
            </w:r>
          </w:p>
        </w:tc>
        <w:tc>
          <w:tcPr>
            <w:tcW w:w="1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(7,904 )</w:t>
            </w:r>
          </w:p>
        </w:tc>
        <w:tc>
          <w:tcPr>
            <w:tcW w:w="0" w:type="dxa"/>
            <w:vAlign w:val="bottom"/>
          </w:tcPr>
          <w:p>
            <w:pPr>
              <w:spacing w:after="0"/>
              <w:rPr>
                <w:sz w:val="1"/>
                <w:szCs w:val="1"/>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 March 31, 2024</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22,217,265</w:t>
            </w: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193,777</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(173,167 )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 at-the-market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2,133,534</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4,555</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offering (net of issuance costs of $261)</w:t>
            </w:r>
          </w:p>
        </w:tc>
        <w:tc>
          <w:tcPr>
            <w:tcW w:w="12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equity plan awards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(9,570 )</w:t>
            </w:r>
          </w:p>
        </w:tc>
        <w:tc>
          <w:tcPr>
            <w:tcW w:w="14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(9,570 )</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8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BALANCE — June 30, 2024</w:t>
            </w:r>
          </w:p>
        </w:tc>
        <w:tc>
          <w:tcPr>
            <w:tcW w:w="12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24,475,799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199,652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(182,737 )</w:t>
            </w:r>
          </w:p>
        </w:tc>
        <w:tc>
          <w:tcPr>
            <w:tcW w:w="1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16,939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95"/>
        </w:trPr>
        <w:tc>
          <w:tcPr>
            <w:tcW w:w="3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 2023</w:t>
            </w:r>
          </w:p>
        </w:tc>
        <w:tc>
          <w:tcPr>
            <w:tcW w:w="12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980" w:type="dxa"/>
            <w:vAlign w:val="bottom"/>
          </w:tcPr>
          <w:p>
            <w:pPr>
              <w:spacing w:after="0"/>
              <w:rPr>
                <w:sz w:val="24"/>
                <w:szCs w:val="24"/>
                <w:color w:val="auto"/>
              </w:rPr>
            </w:pPr>
          </w:p>
        </w:tc>
        <w:tc>
          <w:tcPr>
            <w:tcW w:w="2640" w:type="dxa"/>
            <w:vAlign w:val="bottom"/>
            <w:gridSpan w:val="4"/>
            <w:vMerge w:val="restart"/>
          </w:tcPr>
          <w:p>
            <w:pPr>
              <w:jc w:val="right"/>
              <w:ind w:right="707"/>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166"/>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17"/>
        </w:trPr>
        <w:tc>
          <w:tcPr>
            <w:tcW w:w="3980" w:type="dxa"/>
            <w:vAlign w:val="bottom"/>
          </w:tcPr>
          <w:p>
            <w:pPr>
              <w:spacing w:after="0"/>
              <w:rPr>
                <w:sz w:val="18"/>
                <w:szCs w:val="18"/>
                <w:color w:val="auto"/>
              </w:rPr>
            </w:pPr>
          </w:p>
        </w:tc>
        <w:tc>
          <w:tcPr>
            <w:tcW w:w="2640" w:type="dxa"/>
            <w:vAlign w:val="bottom"/>
            <w:tcBorders>
              <w:bottom w:val="single" w:sz="8" w:color="auto"/>
            </w:tcBorders>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48"/>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2"/>
        </w:trPr>
        <w:tc>
          <w:tcPr>
            <w:tcW w:w="3980" w:type="dxa"/>
            <w:vAlign w:val="bottom"/>
          </w:tcPr>
          <w:p>
            <w:pPr>
              <w:spacing w:after="0"/>
              <w:rPr>
                <w:sz w:val="19"/>
                <w:szCs w:val="19"/>
                <w:color w:val="auto"/>
              </w:rPr>
            </w:pPr>
          </w:p>
        </w:tc>
        <w:tc>
          <w:tcPr>
            <w:tcW w:w="1220" w:type="dxa"/>
            <w:vAlign w:val="bottom"/>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126"/>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228"/>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7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 December 31, 2022</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10,518,539</w:t>
            </w:r>
          </w:p>
        </w:tc>
        <w:tc>
          <w:tcPr>
            <w:tcW w:w="24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153,872</w:t>
            </w:r>
          </w:p>
        </w:tc>
        <w:tc>
          <w:tcPr>
            <w:tcW w:w="2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(135,772</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cash</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43,161</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(7,636 )</w:t>
            </w:r>
          </w:p>
        </w:tc>
        <w:tc>
          <w:tcPr>
            <w:tcW w:w="1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(7,636 )</w:t>
            </w:r>
          </w:p>
        </w:tc>
        <w:tc>
          <w:tcPr>
            <w:tcW w:w="0" w:type="dxa"/>
            <w:vAlign w:val="bottom"/>
          </w:tcPr>
          <w:p>
            <w:pPr>
              <w:spacing w:after="0"/>
              <w:rPr>
                <w:sz w:val="1"/>
                <w:szCs w:val="1"/>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 March 31,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10,561,700</w:t>
            </w: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154,362</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(143,408 )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cash (net of issuance cost of $30)</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537,546</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pre-funded warrants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1,484,174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(7,581 )</w:t>
            </w:r>
          </w:p>
        </w:tc>
        <w:tc>
          <w:tcPr>
            <w:tcW w:w="1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(7,581 )</w:t>
            </w:r>
          </w:p>
        </w:tc>
        <w:tc>
          <w:tcPr>
            <w:tcW w:w="0" w:type="dxa"/>
            <w:vAlign w:val="bottom"/>
          </w:tcPr>
          <w:p>
            <w:pPr>
              <w:spacing w:after="0"/>
              <w:rPr>
                <w:sz w:val="1"/>
                <w:szCs w:val="1"/>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BALANCE — June 30, 2023</w:t>
            </w:r>
          </w:p>
        </w:tc>
        <w:tc>
          <w:tcPr>
            <w:tcW w:w="1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12,583,833</w:t>
            </w:r>
          </w:p>
        </w:tc>
        <w:tc>
          <w:tcPr>
            <w:tcW w:w="240" w:type="dxa"/>
            <w:vAlign w:val="bottom"/>
          </w:tcPr>
          <w:p>
            <w:pPr>
              <w:spacing w:after="0"/>
              <w:rPr>
                <w:sz w:val="14"/>
                <w:szCs w:val="14"/>
                <w:color w:val="auto"/>
              </w:rPr>
            </w:pPr>
          </w:p>
        </w:tc>
        <w:tc>
          <w:tcPr>
            <w:tcW w:w="20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4"/>
                <w:szCs w:val="14"/>
                <w:color w:val="auto"/>
              </w:rPr>
            </w:pP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155,988</w:t>
            </w:r>
          </w:p>
        </w:tc>
        <w:tc>
          <w:tcPr>
            <w:tcW w:w="20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(150,989 )</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3301365</wp:posOffset>
            </wp:positionH>
            <wp:positionV relativeFrom="paragraph">
              <wp:posOffset>-3030220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-3030220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-3030220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-3030220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-3030220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-2251075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-2233930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-2251075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-2233930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-2251075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-2233930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-2251075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-2233930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-2251075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-2233930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-821055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-821055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-821055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-821055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-144780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-144780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-144780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-144780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20" w:type="dxa"/>
            <w:vAlign w:val="bottom"/>
          </w:tcPr>
          <w:p>
            <w:pPr>
              <w:jc w:val="center"/>
              <w:ind w:left="3531"/>
              <w:spacing w:after="0"/>
              <w:rPr>
                <w:sz w:val="20"/>
                <w:szCs w:val="20"/>
                <w:color w:val="auto"/>
              </w:rPr>
            </w:pPr>
            <w:r>
              <w:rPr>
                <w:rFonts w:ascii="Times New Roman" w:cs="Times New Roman" w:eastAsia="Times New Roman" w:hAnsi="Times New Roman"/>
                <w:sz w:val="16"/>
                <w:szCs w:val="16"/>
                <w:b w:val="1"/>
                <w:bCs w:val="1"/>
                <w:color w:val="auto"/>
              </w:rPr>
              <w:t>TEMPEST THERAPEUTICS, INC.</w:t>
            </w: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620" w:type="dxa"/>
            <w:vAlign w:val="bottom"/>
          </w:tcPr>
          <w:p>
            <w:pPr>
              <w:jc w:val="center"/>
              <w:ind w:left="3531"/>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620" w:type="dxa"/>
            <w:vAlign w:val="bottom"/>
          </w:tcPr>
          <w:p>
            <w:pPr>
              <w:jc w:val="center"/>
              <w:ind w:left="349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7620" w:type="dxa"/>
            <w:vAlign w:val="bottom"/>
          </w:tcPr>
          <w:p>
            <w:pPr>
              <w:jc w:val="center"/>
              <w:ind w:left="355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7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76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Ended June 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6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43"/>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(17,474 )</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(15,217 )</w:t>
            </w:r>
          </w:p>
        </w:tc>
      </w:tr>
      <w:tr>
        <w:trPr>
          <w:trHeight w:val="247"/>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0"/>
                <w:szCs w:val="20"/>
                <w:color w:val="auto"/>
              </w:rPr>
            </w:pPr>
          </w:p>
        </w:tc>
      </w:tr>
      <w:tr>
        <w:trPr>
          <w:trHeight w:val="247"/>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FF0FC"/>
          </w:tcPr>
          <w:p>
            <w:pPr>
              <w:spacing w:after="0"/>
              <w:rPr>
                <w:sz w:val="21"/>
                <w:szCs w:val="21"/>
                <w:color w:val="auto"/>
              </w:rPr>
            </w:pPr>
          </w:p>
        </w:tc>
      </w:tr>
      <w:tr>
        <w:trPr>
          <w:trHeight w:val="238"/>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0"/>
                <w:szCs w:val="20"/>
                <w:color w:val="auto"/>
              </w:rPr>
            </w:pPr>
          </w:p>
        </w:tc>
      </w:tr>
      <w:tr>
        <w:trPr>
          <w:trHeight w:val="247"/>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interest and other expense, net</w:t>
            </w: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1"/>
                <w:szCs w:val="21"/>
                <w:color w:val="auto"/>
              </w:rPr>
            </w:pPr>
          </w:p>
        </w:tc>
      </w:tr>
      <w:tr>
        <w:trPr>
          <w:trHeight w:val="238"/>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FF0FC"/>
          </w:tcPr>
          <w:p>
            <w:pPr>
              <w:spacing w:after="0"/>
              <w:rPr>
                <w:sz w:val="21"/>
                <w:szCs w:val="21"/>
                <w:color w:val="auto"/>
              </w:rPr>
            </w:pPr>
          </w:p>
        </w:tc>
      </w:tr>
      <w:tr>
        <w:trPr>
          <w:trHeight w:val="238"/>
        </w:trPr>
        <w:tc>
          <w:tcPr>
            <w:tcW w:w="7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(240 )</w:t>
            </w:r>
          </w:p>
        </w:tc>
      </w:tr>
      <w:tr>
        <w:trPr>
          <w:trHeight w:val="247"/>
        </w:trPr>
        <w:tc>
          <w:tcPr>
            <w:tcW w:w="7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(931 )</w:t>
            </w:r>
          </w:p>
        </w:tc>
      </w:tr>
      <w:tr>
        <w:trPr>
          <w:trHeight w:val="238"/>
        </w:trPr>
        <w:tc>
          <w:tcPr>
            <w:tcW w:w="7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payable</w:t>
            </w:r>
          </w:p>
        </w:tc>
        <w:tc>
          <w:tcPr>
            <w:tcW w:w="10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(7 )</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47"/>
        </w:trPr>
        <w:tc>
          <w:tcPr>
            <w:tcW w:w="7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(510 )</w:t>
            </w:r>
          </w:p>
        </w:tc>
        <w:tc>
          <w:tcPr>
            <w:tcW w:w="5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(721 )</w:t>
            </w:r>
          </w:p>
        </w:tc>
      </w:tr>
      <w:tr>
        <w:trPr>
          <w:trHeight w:val="20"/>
        </w:trPr>
        <w:tc>
          <w:tcPr>
            <w:tcW w:w="76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0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(12,696 )</w:t>
            </w:r>
          </w:p>
        </w:tc>
        <w:tc>
          <w:tcPr>
            <w:tcW w:w="58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(14,695 )</w:t>
            </w:r>
          </w:p>
        </w:tc>
      </w:tr>
      <w:tr>
        <w:trPr>
          <w:trHeight w:val="23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2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(417 )</w:t>
            </w:r>
          </w:p>
        </w:tc>
        <w:tc>
          <w:tcPr>
            <w:tcW w:w="5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(163 )</w:t>
            </w:r>
          </w:p>
        </w:tc>
      </w:tr>
      <w:tr>
        <w:trPr>
          <w:trHeight w:val="20"/>
        </w:trPr>
        <w:tc>
          <w:tcPr>
            <w:tcW w:w="7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6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0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(417 )</w:t>
            </w:r>
          </w:p>
        </w:tc>
        <w:tc>
          <w:tcPr>
            <w:tcW w:w="5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(163 )</w:t>
            </w:r>
          </w:p>
        </w:tc>
      </w:tr>
      <w:tr>
        <w:trPr>
          <w:trHeight w:val="234"/>
        </w:trPr>
        <w:tc>
          <w:tcPr>
            <w:tcW w:w="7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13"/>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the issuance of common stock in connection with at-the-market offering, net of</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costs</w:t>
            </w: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FF0FC"/>
          </w:tcPr>
          <w:p>
            <w:pPr>
              <w:spacing w:after="0"/>
              <w:rPr>
                <w:sz w:val="21"/>
                <w:szCs w:val="2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issuance of common stock under equity plan awards</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6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02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30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FF0FC"/>
          </w:tcPr>
          <w:p>
            <w:pPr>
              <w:spacing w:after="0"/>
              <w:rPr>
                <w:sz w:val="20"/>
                <w:szCs w:val="20"/>
                <w:color w:val="auto"/>
              </w:rPr>
            </w:pPr>
          </w:p>
        </w:tc>
      </w:tr>
      <w:tr>
        <w:trPr>
          <w:trHeight w:val="238"/>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0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(8,106 )</w:t>
            </w:r>
          </w:p>
        </w:tc>
        <w:tc>
          <w:tcPr>
            <w:tcW w:w="58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(13,626 )</w:t>
            </w:r>
          </w:p>
        </w:tc>
      </w:tr>
      <w:tr>
        <w:trPr>
          <w:trHeight w:val="247"/>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39,673</w:t>
            </w:r>
          </w:p>
        </w:tc>
        <w:tc>
          <w:tcPr>
            <w:tcW w:w="3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31,567</w:t>
            </w:r>
          </w:p>
        </w:tc>
        <w:tc>
          <w:tcPr>
            <w:tcW w:w="300" w:type="dxa"/>
            <w:vAlign w:val="bottom"/>
          </w:tcPr>
          <w:p>
            <w:pPr>
              <w:spacing w:after="0"/>
              <w:rPr>
                <w:sz w:val="20"/>
                <w:szCs w:val="20"/>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100" w:type="dxa"/>
            <w:vAlign w:val="bottom"/>
          </w:tcPr>
          <w:p>
            <w:pPr>
              <w:spacing w:after="0"/>
              <w:rPr>
                <w:sz w:val="20"/>
                <w:szCs w:val="20"/>
                <w:color w:val="auto"/>
              </w:rPr>
            </w:pPr>
          </w:p>
        </w:tc>
      </w:tr>
      <w:tr>
        <w:trPr>
          <w:trHeight w:val="20"/>
        </w:trPr>
        <w:tc>
          <w:tcPr>
            <w:tcW w:w="7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6"/>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10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300" w:type="dxa"/>
            <w:vAlign w:val="bottom"/>
          </w:tcPr>
          <w:p>
            <w:pPr>
              <w:spacing w:after="0"/>
              <w:rPr>
                <w:sz w:val="20"/>
                <w:szCs w:val="20"/>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20"/>
                <w:szCs w:val="20"/>
                <w:color w:val="auto"/>
              </w:rPr>
            </w:pPr>
          </w:p>
        </w:tc>
      </w:tr>
      <w:tr>
        <w:trPr>
          <w:trHeight w:val="276"/>
        </w:trPr>
        <w:tc>
          <w:tcPr>
            <w:tcW w:w="7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business taxes</w:t>
            </w:r>
          </w:p>
        </w:tc>
        <w:tc>
          <w:tcPr>
            <w:tcW w:w="1020" w:type="dxa"/>
            <w:vAlign w:val="bottom"/>
            <w:tcBorders>
              <w:bottom w:val="single" w:sz="8" w:color="auto"/>
            </w:tcBorders>
            <w:shd w:val="clear" w:color="auto" w:fill="CFF0FC"/>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-2414270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-2414270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-1771650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-1771650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-692785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-692785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-350520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-24765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-7620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are in thousands, except share and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THE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Tempest Therapeutics, Inc. (“Tempest” or the “Company”) is a clinical-stage biotechnology company moving into late-stage development with a diverse portfolio of targeted and immune-mediated product candidates with the potential to be first-in-class treatments for a wide range of cancers. Tempest’s novel programs range from early research to the lead program, amezalpat (previously known as TPST-1120), that is poised to begin a pivotal study in first-line liver cancer. Tempest is also developing other potential product candidates in its Discovery Research group. The Company is headquartered in Brisbane, California.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 Plans</w:t>
      </w:r>
    </w:p>
    <w:p>
      <w:pPr>
        <w:spacing w:after="0" w:line="255" w:lineRule="exact"/>
        <w:rPr>
          <w:sz w:val="20"/>
          <w:szCs w:val="20"/>
          <w:color w:val="auto"/>
        </w:rPr>
      </w:pPr>
    </w:p>
    <w:p>
      <w:pPr>
        <w:jc w:val="both"/>
        <w:ind w:right="380"/>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The Company has incurred operating losses since inception. As of June 30, 2024, the Company had cash and cash equivalents of $31.1 million. The Company has not yet generated product sales and as a result has experienced operating losses since inception. The Company expects to incur additional losses in the future to conduct research and development and will need to raise additional capital to continue operations. The Company intends to raise such capital through the issuance of additional debt or equity including in connection with potential merger opportunities, or through business development activities. The Company’s ability to continue as a going concern is dependent upon its ability to control its variable spend over the next 12 months, while management plans to secure sources of financing and ultimately attain profitable operations. If the Company are unable to obtain adequate capital, it could be forced to cease operations. Management believes that its existing cash and cash equivalents will be sufficient to fund the Company’s cash requirements for at least 12 months following the issuance of these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ATM Program</w:t>
      </w:r>
    </w:p>
    <w:p>
      <w:pPr>
        <w:spacing w:after="0" w:line="2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July 23, 2021, the Company entered into a sales agreement with Jefferies LLC (“Jefferies”), pursuant to which the Company may sell, from time to time at its sole discretion through Jefferies, as its sales agent, shares of its common stock having, up to an aggregate sales price of $100.0 million of its common stock through Jefferies (the “Prior ATM Program”). As of June 20, 2024, the Company had sold an aggregate 9,017,110 shares of its common stock for gross proceeds of approximately $42.7 million ($41.5 million net of commissions and estimated expenses) under the Prior ATM Program. On June 20, 2024, the Company and Jefferies terminated the Prior ATM Program and entered a new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“Sales Agreement”) to sell shares of common stock from time to time through Jefferies acting as sales agent (the “ATM Program”). Pursuant to the prospectus supplement dated June 20, 2024 (the “Prospectus Supplement”) filed by the Company with the U.S. Securities and Exchange Commission (“SEC”), the Company will be able to offer and sell up to $205,000,000 of its shares of common stock pursuant to the Sales Agreement. The Company will pay Jefferies a commission up to 3.0% of the gross sales proceeds of any shares of its common stock sold through Jefferies under the ATM Program and also has provided Jefferies with indemnification and contribution rights. As of June 30, 2024, the Company has sold an aggregate of 2,133,534 shares of its common stock for gross proceeds of approximately $4.8 million ($4.7 million net of commissions and estimated expenses), after deducting commissions and offering expenses pursuant to the ATM Program. As of June 30, 2024, approximately $200.2 million remained available for sale under the ATM Program. Between July 1, 2024 and July 18, 2024, the Company sold 672,539 shares of our common stock for gross proceeds of $1.5 million ($1.4 million net of commissions and estimated expenses) pursuant to the ATM program.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Financing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29, 2022, the Company completed a private investment in public equity (“PIPE”) financing from the sale of 3,149,912 shares of its common stock at a price per share of $2.36 and, and in lieu of shares of common stock, pre-funded warrants to purchase up to 3,206,020 shares of its common stock at a price per pre-funded warrant of $2.359 to EcoR1 Capital, LLC and Versant Venture Capital (the “PIPE Investors”). Net proceeds from the PIPE financings totaled approximately $14.5 million, after deducting offering expenses. The Company entered into a registration rights agreement with the PIPE Investors pursuant to which the Company filed a registration statement with the SEC registering the resale of the 3,149,912 shares common stock and the 3,206,020 shares of common stock underlying the pre-funded warrants issued in the PIPE financing. As of June 30, 2024, all pre-funded warrants had been exercised.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Significant Accounting Policies</w:t>
      </w:r>
      <w:r>
        <w:rPr>
          <w:rFonts w:ascii="Times New Roman" w:cs="Times New Roman" w:eastAsia="Times New Roman" w:hAnsi="Times New Roman"/>
          <w:sz w:val="18"/>
          <w:szCs w:val="18"/>
          <w:color w:val="auto"/>
        </w:rPr>
        <w:t>—The Company’s significant accounting policies are described in Note 2,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Company’s Annual Report on Form 10-K filed with the SEC on March 19, 2024. There have been no material changes to the significant accounting policies during the period ended June 30, 2024.</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unaudited interim Condensed Consolidated Financial Statements have been prepared pursuant to the rules and regulations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 Securities and Exchange Commission. Accordingly, certain information and footnote disclosures normally included in annual financial statements prepared in accordance with generally accepted accounting principles in the United States (“GAAP”) have been omitted. These unaudited interim Condensed Consolidated Financial Statements should be read in conjunction with the Company’s audited Consolidated Financial Statements and notes included in the company’s Annual Report on Form 10-K for the year ended December 31, 2023.</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has prepared the accompanying Condensed Consolidated Financial Statements on the same basis as the audited financial statements, and the unaudited interim financial statements include, in the Company’s opinion, all adjustments, consisting only of normal recurring adjustments that the Company considers necessary for a fair presentation of its financial position and results of operations for these periods.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fair value hierarchy for assets measured at fair value on a recurring basis: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31,124</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31,124</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8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3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7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39,230</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39,230</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372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-1609090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-1609090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-1609090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-821055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-821055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-821055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1080" w:type="dxa"/>
            <w:vAlign w:val="bottom"/>
          </w:tcPr>
          <w:p>
            <w:pPr>
              <w:jc w:val="center"/>
              <w:ind w:left="37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80" w:type="dxa"/>
            <w:vAlign w:val="bottom"/>
            <w:tcBorders>
              <w:bottom w:val="single" w:sz="8" w:color="auto"/>
            </w:tcBorders>
          </w:tcPr>
          <w:p>
            <w:pPr>
              <w:jc w:val="center"/>
              <w:ind w:left="39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 costs</w:t>
            </w: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78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080" w:type="dxa"/>
            <w:vAlign w:val="bottom"/>
          </w:tcPr>
          <w:p>
            <w:pPr>
              <w:jc w:val="center"/>
              <w:ind w:left="37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80" w:type="dxa"/>
            <w:vAlign w:val="bottom"/>
            <w:tcBorders>
              <w:bottom w:val="single" w:sz="8" w:color="auto"/>
            </w:tcBorders>
          </w:tcPr>
          <w:p>
            <w:pPr>
              <w:jc w:val="center"/>
              <w:ind w:left="39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0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shd w:val="clear" w:color="auto" w:fill="CCEEFF"/>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8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4"/>
              </w:rPr>
              <w:t>(1,268 )</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(1,025 )</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080" w:type="dxa"/>
            <w:vAlign w:val="bottom"/>
            <w:tcBorders>
              <w:top w:val="single" w:sz="8" w:color="auto"/>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-2002790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-2002790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Depreciation expense for the three and six months ended June 30, 2024 was $155 and $243, respectively. Depreciation expense for the three and six months ended June 30, 2023 was $83 and $208,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r>
      <w:tr>
        <w:trPr>
          <w:trHeight w:val="225"/>
        </w:trPr>
        <w:tc>
          <w:tcPr>
            <w:tcW w:w="7780" w:type="dxa"/>
            <w:vAlign w:val="bottom"/>
          </w:tcPr>
          <w:p>
            <w:pPr>
              <w:spacing w:after="0"/>
              <w:rPr>
                <w:sz w:val="19"/>
                <w:szCs w:val="19"/>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4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 liabilities</w:t>
            </w:r>
          </w:p>
        </w:tc>
        <w:tc>
          <w:tcPr>
            <w:tcW w:w="110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21"/>
                <w:szCs w:val="2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 trial liability</w:t>
            </w:r>
          </w:p>
        </w:tc>
        <w:tc>
          <w:tcPr>
            <w:tcW w:w="1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21"/>
                <w:szCs w:val="21"/>
                <w:color w:val="auto"/>
              </w:rPr>
            </w:pPr>
          </w:p>
        </w:tc>
      </w:tr>
      <w:tr>
        <w:trPr>
          <w:trHeight w:val="27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right="7600" w:firstLine="8"/>
        <w:spacing w:after="0" w:line="479"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Facilities Lease Agreements</w:t>
      </w:r>
    </w:p>
    <w:p>
      <w:pPr>
        <w:ind w:right="380"/>
        <w:spacing w:after="0" w:line="281" w:lineRule="auto"/>
        <w:rPr>
          <w:sz w:val="20"/>
          <w:szCs w:val="20"/>
          <w:color w:val="auto"/>
        </w:rPr>
      </w:pPr>
      <w:r>
        <w:rPr>
          <w:rFonts w:ascii="Times New Roman" w:cs="Times New Roman" w:eastAsia="Times New Roman" w:hAnsi="Times New Roman"/>
          <w:sz w:val="18"/>
          <w:szCs w:val="18"/>
          <w:color w:val="auto"/>
        </w:rPr>
        <w:t>In January 2022, the Company entered into a new 8-year office lease agreement for a 20,116 square feet facility in Brisbane, California (“Brisbane Lease”). The lease commenced in December 2022.</w:t>
      </w:r>
    </w:p>
    <w:p>
      <w:pPr>
        <w:spacing w:after="0" w:line="163"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As of June 30, 2024 and December 31, 2023, the balance of the operating lease right of use assets were $9,159 and $9,952, respectively, and the related operating lease liability were $9,602 and $10,112, respectively, as shown in the accompanying consolidated balance sheets.</w:t>
      </w:r>
    </w:p>
    <w:p>
      <w:pPr>
        <w:spacing w:after="0" w:line="16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Rent expense was $587 and $1,272 for the three and six months ended June 30, 2024, respectively. Rent expense was $659 and $1,369 for the three and six months ended June 30, 2023,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future minimum lease payments under the Company's operating lease liabilities were as follows: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w:t>
            </w:r>
          </w:p>
        </w:tc>
        <w:tc>
          <w:tcPr>
            <w:tcW w:w="200" w:type="dxa"/>
            <w:vAlign w:val="bottom"/>
          </w:tcPr>
          <w:p>
            <w:pPr>
              <w:spacing w:after="0"/>
              <w:rPr>
                <w:sz w:val="19"/>
                <w:szCs w:val="19"/>
                <w:color w:val="auto"/>
              </w:rPr>
            </w:pPr>
          </w:p>
        </w:tc>
        <w:tc>
          <w:tcPr>
            <w:tcW w:w="17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 Commitment</w:t>
            </w:r>
          </w:p>
        </w:tc>
      </w:tr>
      <w:tr>
        <w:trPr>
          <w:trHeight w:val="239"/>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(excluding six months ended June 30, 2024)</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FF0FC"/>
          </w:tcPr>
          <w:p>
            <w:pPr>
              <w:spacing w:after="0"/>
              <w:rPr>
                <w:sz w:val="20"/>
                <w:szCs w:val="20"/>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Pr>
          <w:p>
            <w:pPr>
              <w:spacing w:after="0"/>
              <w:rPr>
                <w:sz w:val="20"/>
                <w:szCs w:val="20"/>
                <w:color w:val="auto"/>
              </w:rPr>
            </w:pPr>
          </w:p>
        </w:tc>
      </w:tr>
      <w:tr>
        <w:trPr>
          <w:trHeight w:val="24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 and beyond</w:t>
            </w:r>
          </w:p>
        </w:tc>
        <w:tc>
          <w:tcPr>
            <w:tcW w:w="20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(3,487 )</w:t>
            </w:r>
          </w:p>
        </w:tc>
      </w:tr>
      <w:tr>
        <w:trPr>
          <w:trHeight w:val="232"/>
        </w:trPr>
        <w:tc>
          <w:tcPr>
            <w:tcW w:w="92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Present value of operating lease obligations</w:t>
            </w:r>
          </w:p>
        </w:tc>
        <w:tc>
          <w:tcPr>
            <w:tcW w:w="2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100" w:type="dxa"/>
            <w:vAlign w:val="bottom"/>
            <w:tcBorders>
              <w:top w:val="single" w:sz="8" w:color="CFF0FC"/>
            </w:tcBorders>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(939 )</w:t>
            </w:r>
          </w:p>
        </w:tc>
      </w:tr>
      <w:tr>
        <w:trPr>
          <w:trHeight w:val="236"/>
        </w:trPr>
        <w:tc>
          <w:tcPr>
            <w:tcW w:w="9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Related to this Brisbane Lease agreement, the Company entered into a letter of credit with a bank to deposit $388 in a separate account that is classified as restricted cash to serve as security rent deposit. This amount is included in other noncurrent assets in the accompanying consolidated balance sheets as of June 30,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 PAYABLE</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January 15, 2021, the Company entered into a loan agreement with Oxford Finance LLC (the “Lender”) to borrow a term loan amount of up to $35,000 to be funded in three tranches. The company has only drawn Tranche A in the amount of $15,000 which was wired to the Company on January 15, 2021. Tranche B of $10,000 expired on March 31, 2022. Tranche C of $10,000 is available at the Lender’s option.</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23, 2022, in connection with and following the Company’s merger with Millendo Therapeutics, Inc. (“Millendo”), the Company entered into a First Amendment to the loan agreement. The amendment modified the agreement as follows: (i) each of the Company and Millendo Therapeutics US, Inc., a Delaware corporation and wholly owned non-operating subsidiary of the Company created in connection with the merger (“Millendo US”), were joined as co-borrowers under the Loan Agreement; (ii) the interest-only repayment period was extended through December 31, 2023 (which interest-only period may be further extended through June 30, 2024 under certain circumstances); and (iii) a security interest in all of the assets of the Company and Millendo, in addition to the existing interest the Lender had in TempestTx, including any intellectual property, was granted to the Lender. In addition, the Lender permitted a one-time prepayment in the amount of $5.0 million, which the Company paid on December 23, 2022.</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amendment to the loan agreement, the term loan matures on August 1, 2025 and has an annual floating interest rate of 7.15% which is an Index Rate plus 7.10%. Index Rate is the greater of (i) 1-Month CME Term SOFR or (ii) 0.05%. In the fourth quarter of 2023, the Company achieved the circumstances necessary to extend the interest-only repayment period through June 30, 2024. Monthly principal payments of $733 began on July 1, 2024 and the Company paid the first principal payment to Oxford in July 2024. Related to this borrowing, the Company recorded loan discounts totaling $898 and paid $95 of debt issuance costs. These amounts would be amortized as additional interest expense over the life of the loan. As of June 30, 2024, the balance of the loan payable (net of debt issuance costs) was $10.7 million. The carrying value of the loan approximates fair value (Level 2).</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the three and six months ended June 30, 2024, total interest expense was $372 and $740, respectively. For the three and six months ended June 30, 2023, total interest expense was $356 and $700,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740" w:firstLine="8"/>
        <w:spacing w:after="0" w:line="479"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and December 31, 2023, the Company was authorized to issue 100,000,000 shares of common stock and 5,000,000 shares of preferred stock, each with a par value of $0.001 per share. Of the common stock shares authorized, 24,475,799 and 22,045,255 were issued and outstanding at June 30, 2024 and December 31, 2023, respectively. There were no shares subject to repurchase due to remaining vesting requirements. Common stockholders are entitled to dividends as declared by the Company’s board of directors (the “Board of Directors”), subject to rights of holders of all classes of stock outstanding having priority rights as to dividends. There was no preferred stock issued nor outstanding as of June 30, 2024 and December 31, 2023.</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Common stockholders are entitled to dividends as declared by the Board of Directors, subject to rights of holders of all classes of stock outstanding having priority rights as to dividends. There have been no dividends declared to date. The holders of each share of common stock are entitled to one vote. Except for effecting or validating certain specific actions intended to protect the preferred stockholders, the holders of common stock vote together with preferred stockholders and have the right to elect one member of the Board of Directors.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10, 2023, the Board of Directors adopted a limited duration stockholder rights plan (the “Rights Plan”), effective immediately, and declared a dividend of one preferred share purchase right (a “Right”) for each outstanding share of the common stock, par value $0.001 per share (the “Common Shares”), of the Company. The dividend was effective as of October 23, 2023 (the “Record Date”) with respect to stockholders of record on that date. The Rights will also attach to new Common Shares issued after the Record Date. Each Right entitles the registered holder to purchase from the Company one one-thousandth of a share of Series A Junior Participating Preferred Stock, par value $0.001 per share, (the “Preferred Shares”), of the Company at a price of $25.00 per one one-thousandth of a Preferred Share, subject to adjustment. The descriptions and terms of the Rights are set forth in a Rights Agreement, dated as of October 10, 2023 (the “Rights Agreement”), between the Company and Computershare Trust Company, NA. The Rights will expire on October 10, 2024, or, if the Company’s stockholders approve the Rights Plan, on October 10, 2026, unless the Rights are earlier redeemed or exchanged by the Company.</w:t>
      </w:r>
    </w:p>
    <w:p>
      <w:pPr>
        <w:spacing w:after="0" w:line="155" w:lineRule="exact"/>
        <w:rPr>
          <w:sz w:val="20"/>
          <w:szCs w:val="20"/>
          <w:color w:val="auto"/>
        </w:rPr>
      </w:pPr>
    </w:p>
    <w:p>
      <w:pPr>
        <w:ind w:right="8240" w:firstLine="8"/>
        <w:spacing w:after="0" w:line="479"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Equity Plans</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adopted the Amended and Restated 2023 Equity Incentive Plan (the “2023 Plan”) on April 30, 2023, subject to approval by the Company’s stockholders. On June 15, 2023, the Company’s stockholders approved the 2023 Plan, which amended and restated the A&amp;R 2019 Plan and will be a successor to, and replacement of, the A&amp;R 2019 Plan. The number of shares of the Company's common stock reserved for issuance under the 2023 Plan will automatically increase on January 1st of each year, for a period of 10 years, from January 1, 2024 continuing through January 1, 2033, by 4% of the total number of shares of the Company's common stock outstanding on December 31st of the preceding calendar year, or a lesser number of shares as may be determined by the Board of Directors. Accordingly, on January 1, 2024, the common stock reserved for issuance was increased by 881,810 shares. As of June 30, 2024, there were 508,017 shares available for future grant under the 2023 Plan.</w:t>
      </w:r>
    </w:p>
    <w:p>
      <w:pPr>
        <w:spacing w:after="0" w:line="1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2023 Plan allows the Company to grant stock awards to employees, directors and consultants of the Company, including incentive stock options (“ISOs”), non-qualified stock options (“NSOs”), stock appreciation rights, restricted stock awards, restricted stock unit awards and other stock awards.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adopted the 2023 Inducement Plan (“2023 Inducement Plan”) on June 21, 2023, pursuant to which the Company reserved 1,150,000 shares of its common stock to be used exclusively for grants of awards to individuals who were not previously employees or directors of the Company, as an inducement material to the individual’s entry into employment with the Company within the meaning of Rule 5635(c)(4) of the Nasdaq Listing Rules. The 2023 Inducement Plan was approved by the Board of Directors without stockholder approval in accordance with such rule. As of June 30, 2024, there were 1,072,950 shares available for future grant under the 2023 Inducement Plan.</w:t>
      </w:r>
    </w:p>
    <w:p>
      <w:pPr>
        <w:spacing w:after="0" w:line="18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 measures employee and non-employee stock-based awards at grant date fair value and records compensation expense on a straight-line basis over the vesting period of the award.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Ownership Plan</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Millendo board of directors adopted the 2019 Employee Stock Purchase Plan on April 29, 2019, which became effective upon stockholder approval on June 11, 2019. On June 17, 2022, the Company’s stockholders approved the Amended and Restated 2019 Employee Stock Purchase Plan (the “2019 ESPP”). The 2019 ESPP enables employees to purchase shares of the Company's common stock through offerings of rights to purchase the Company's common stock to all eligible employees.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2019 ESPP provides that the number of shares of common stock reserved for issuance under the 2019 ESPP will automatically increase on January 1, 2023 and continuing through (and including) January 1, 2029, by the lesser of 1.5% of the total number of shares of Common Stock outstanding on December 31st of the preceding calendar year, (ii) 500,000 shares of Common Stock, or (iii) such lesser number of shares of Common Stock as determined by the Board of Directors (which may be zero). On January 1, 2024, the common stock reserved for issuance was increased by 330,678 shares.</w:t>
      </w:r>
    </w:p>
    <w:p>
      <w:pPr>
        <w:spacing w:after="0" w:line="18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As of June 30, 2024, 528,791 shares of common stock remained available for future issuance under the 2019 ESPP. During the three and six months ended June 30, 2024, 34,023 shares of common stock were issued under the 2019 ESPP.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Options to purchase the Company’s common stock may be granted at a price not less than the fair market value in the case of both NSOs and ISOs, except for an options holder who owns more than 10% of the voting power of all classes of stock of the Company, in which case the exercise price shall be no less than 110% of the fair market value per share on the grant date. Stock options granted under the Plans generally vest over four years and expire no later than ten (10) years from the date of grant. Vested options can be exercised at any time.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the stock option activities for the six months ended June 30, 2024 and 2023:</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202"/>
        </w:trPr>
        <w:tc>
          <w:tcPr>
            <w:tcW w:w="38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0" w:type="dxa"/>
            <w:vAlign w:val="bottom"/>
          </w:tcPr>
          <w:p>
            <w:pPr>
              <w:spacing w:after="0"/>
              <w:rPr>
                <w:sz w:val="1"/>
                <w:szCs w:val="1"/>
                <w:color w:val="auto"/>
              </w:rPr>
            </w:pPr>
          </w:p>
        </w:tc>
      </w:tr>
      <w:tr>
        <w:trPr>
          <w:trHeight w:val="225"/>
        </w:trPr>
        <w:tc>
          <w:tcPr>
            <w:tcW w:w="38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5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3,554,112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748,175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57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(81,699 )</w:t>
            </w: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 and forfeited</w:t>
            </w:r>
          </w:p>
        </w:tc>
        <w:tc>
          <w:tcPr>
            <w:tcW w:w="3800" w:type="dxa"/>
            <w:vAlign w:val="bottom"/>
          </w:tcPr>
          <w:p>
            <w:pPr>
              <w:spacing w:after="0"/>
              <w:rPr>
                <w:sz w:val="21"/>
                <w:szCs w:val="21"/>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(208,376 )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Balance—June 30, 2024</w:t>
            </w:r>
          </w:p>
        </w:tc>
        <w:tc>
          <w:tcPr>
            <w:tcW w:w="380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4,012,212</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Balance—December 31, 2022</w:t>
            </w: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1,553,041</w:t>
            </w: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5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679,150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5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(413 )</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Cancelled and forfeited</w:t>
            </w:r>
          </w:p>
        </w:tc>
        <w:tc>
          <w:tcPr>
            <w:tcW w:w="380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(44,075 )</w:t>
            </w: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Balance—June 30, 2023</w:t>
            </w:r>
          </w:p>
        </w:tc>
        <w:tc>
          <w:tcPr>
            <w:tcW w:w="3800" w:type="dxa"/>
            <w:vAlign w:val="bottom"/>
            <w:tcBorders>
              <w:top w:val="single" w:sz="8" w:color="CFF0FC"/>
            </w:tcBorders>
          </w:tcPr>
          <w:p>
            <w:pPr>
              <w:spacing w:after="0"/>
              <w:rPr>
                <w:sz w:val="20"/>
                <w:szCs w:val="20"/>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2,187,703</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4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800" w:type="dxa"/>
            <w:vAlign w:val="bottom"/>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14</w:t>
            </w: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38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9"/>
                <w:szCs w:val="9"/>
                <w:color w:val="auto"/>
              </w:rPr>
            </w:pPr>
          </w:p>
        </w:tc>
        <w:tc>
          <w:tcPr>
            <w:tcW w:w="38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-1617345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-1600835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-821055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June 30, 2024:</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25"/>
        </w:trPr>
        <w:tc>
          <w:tcPr>
            <w:tcW w:w="5760" w:type="dxa"/>
            <w:vAlign w:val="bottom"/>
          </w:tcPr>
          <w:p>
            <w:pPr>
              <w:spacing w:after="0"/>
              <w:rPr>
                <w:sz w:val="19"/>
                <w:szCs w:val="19"/>
                <w:color w:val="auto"/>
              </w:rPr>
            </w:pPr>
          </w:p>
        </w:tc>
        <w:tc>
          <w:tcPr>
            <w:tcW w:w="11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 (In Years)</w:t>
            </w:r>
          </w:p>
        </w:tc>
        <w:tc>
          <w:tcPr>
            <w:tcW w:w="220" w:type="dxa"/>
            <w:vAlign w:val="bottom"/>
          </w:tcPr>
          <w:p>
            <w:pPr>
              <w:spacing w:after="0"/>
              <w:rPr>
                <w:sz w:val="19"/>
                <w:szCs w:val="19"/>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20" w:type="dxa"/>
            <w:vAlign w:val="bottom"/>
          </w:tcPr>
          <w:p>
            <w:pPr>
              <w:spacing w:after="0"/>
              <w:rPr>
                <w:sz w:val="19"/>
                <w:szCs w:val="19"/>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100" w:type="dxa"/>
            <w:vAlign w:val="bottom"/>
          </w:tcPr>
          <w:p>
            <w:pPr>
              <w:spacing w:after="0"/>
              <w:rPr>
                <w:sz w:val="19"/>
                <w:szCs w:val="19"/>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4,012,212</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475,246</w:t>
            </w:r>
          </w:p>
        </w:tc>
        <w:tc>
          <w:tcPr>
            <w:tcW w:w="100" w:type="dxa"/>
            <w:vAlign w:val="bottom"/>
            <w:shd w:val="clear" w:color="auto" w:fill="CFF0FC"/>
          </w:tcPr>
          <w:p>
            <w:pPr>
              <w:spacing w:after="0"/>
              <w:rPr>
                <w:sz w:val="21"/>
                <w:szCs w:val="2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4,012,212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475,246</w:t>
            </w: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1,056,469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185,744</w:t>
            </w:r>
          </w:p>
        </w:tc>
        <w:tc>
          <w:tcPr>
            <w:tcW w:w="100" w:type="dxa"/>
            <w:vAlign w:val="bottom"/>
            <w:shd w:val="clear" w:color="auto" w:fill="CFF0FC"/>
          </w:tcPr>
          <w:p>
            <w:pPr>
              <w:spacing w:after="0"/>
              <w:rPr>
                <w:sz w:val="21"/>
                <w:szCs w:val="21"/>
                <w:color w:val="auto"/>
              </w:rPr>
            </w:pPr>
          </w:p>
        </w:tc>
      </w:tr>
    </w:tbl>
    <w:p>
      <w:pPr>
        <w:spacing w:after="0" w:line="197"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During the six months ended June 30, 2024 and 2023, the Company granted employees and non-employees stock options to purchase 748,175 and 679,150 shares of common stock, respectively, with a weighted-average grant date fair value of $3.74 and $1.08 per share, respectively. As of June 30, 2024 and 2023, total unrecognized compensation costs related to unvested employee stock options were $14,772 and $3,775, respectively. These costs are expected to be recognized over a weighted-average period of approximately 3.1 years and 2.4 years, respectively.</w:t>
      </w:r>
    </w:p>
    <w:p>
      <w:pPr>
        <w:spacing w:after="0" w:line="182"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option pricing valuation model. The fair value of employee and non-employee stock options is being amortized on the straight-line basis over the requisite service period of the awards. The fair value of employee and non-employee stock options was estimated using the following assumptions for the six months ended June 30, 2024 and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60" w:type="dxa"/>
            <w:vAlign w:val="bottom"/>
          </w:tcPr>
          <w:p>
            <w:pPr>
              <w:spacing w:after="0"/>
              <w:rPr>
                <w:sz w:val="19"/>
                <w:szCs w:val="19"/>
                <w:color w:val="auto"/>
              </w:rPr>
            </w:pPr>
          </w:p>
        </w:tc>
        <w:tc>
          <w:tcPr>
            <w:tcW w:w="16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9"/>
                <w:szCs w:val="19"/>
                <w:color w:val="auto"/>
              </w:rPr>
            </w:pPr>
          </w:p>
        </w:tc>
        <w:tc>
          <w:tcPr>
            <w:tcW w:w="16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5.5 - 6.1</w:t>
            </w: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5.5 - 6.1</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- 113%</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- 111%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- 4.7%</w:t>
            </w: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- 3.9%</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18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2"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Expected Term</w:t>
      </w:r>
      <w:r>
        <w:rPr>
          <w:rFonts w:ascii="Times New Roman" w:cs="Times New Roman" w:eastAsia="Times New Roman" w:hAnsi="Times New Roman"/>
          <w:sz w:val="18"/>
          <w:szCs w:val="18"/>
          <w:color w:val="auto"/>
        </w:rPr>
        <w:t>—The expected term of options granted represents the period of time that the options are expected to be outstanding. Due to the lack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 exercise history, the expected term of the Company’s employee stock options has been determined utilizing the simplified method for awards that qualify as plain-vanilla options.</w:t>
      </w:r>
    </w:p>
    <w:p>
      <w:pPr>
        <w:spacing w:after="0" w:line="14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Expected Volatility</w:t>
      </w:r>
      <w:r>
        <w:rPr>
          <w:rFonts w:ascii="Times New Roman" w:cs="Times New Roman" w:eastAsia="Times New Roman" w:hAnsi="Times New Roman"/>
          <w:sz w:val="18"/>
          <w:szCs w:val="18"/>
          <w:color w:val="auto"/>
        </w:rPr>
        <w:t>—The expected stock price volatility assumption was determined by examining the historical volatilities for industry peers,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129"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Risk-Free Interest Rate</w:t>
      </w:r>
      <w:r>
        <w:rPr>
          <w:rFonts w:ascii="Times New Roman" w:cs="Times New Roman" w:eastAsia="Times New Roman" w:hAnsi="Times New Roman"/>
          <w:sz w:val="18"/>
          <w:szCs w:val="18"/>
          <w:color w:val="auto"/>
        </w:rPr>
        <w:t>—The risk-free interest rate assumption is based on the U.S. Treasury instruments whose term was consistent with the expected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 of the Company’s stock options.</w:t>
      </w:r>
    </w:p>
    <w:p>
      <w:pPr>
        <w:spacing w:after="0" w:line="113"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—The Company has not paid any cash dividends on common stock since inception and does not anticipate paying any dividends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foreseeable future. Consequently, an expected dividend yield of zero was used.</w:t>
      </w:r>
    </w:p>
    <w:p>
      <w:pPr>
        <w:spacing w:after="0" w:line="3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14"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8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recognized in the Company’s condensed consolidated statement of operations for the three and six months ended June 30,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20" w:type="dxa"/>
            <w:vAlign w:val="bottom"/>
          </w:tcPr>
          <w:p>
            <w:pPr>
              <w:spacing w:after="0"/>
              <w:rPr>
                <w:sz w:val="21"/>
                <w:szCs w:val="21"/>
                <w:color w:val="auto"/>
              </w:rPr>
            </w:pPr>
          </w:p>
        </w:tc>
        <w:tc>
          <w:tcPr>
            <w:tcW w:w="2560" w:type="dxa"/>
            <w:vAlign w:val="bottom"/>
            <w:tcBorders>
              <w:bottom w:val="single" w:sz="8" w:color="auto"/>
            </w:tcBorders>
            <w:gridSpan w:val="6"/>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5"/>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 w:type="dxa"/>
            <w:vAlign w:val="bottom"/>
          </w:tcPr>
          <w:p>
            <w:pPr>
              <w:spacing w:after="0"/>
              <w:rPr>
                <w:sz w:val="21"/>
                <w:szCs w:val="21"/>
                <w:color w:val="auto"/>
              </w:rPr>
            </w:pPr>
          </w:p>
        </w:tc>
      </w:tr>
      <w:tr>
        <w:trPr>
          <w:trHeight w:val="223"/>
        </w:trPr>
        <w:tc>
          <w:tcPr>
            <w:tcW w:w="58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shd w:val="clear" w:color="auto" w:fill="CFF0FC"/>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0"/>
                <w:szCs w:val="20"/>
                <w:color w:val="auto"/>
              </w:rPr>
            </w:pP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1,320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40" w:type="dxa"/>
            <w:vAlign w:val="bottom"/>
            <w:tcBorders>
              <w:bottom w:val="single" w:sz="8" w:color="CCEEFF"/>
            </w:tcBorders>
            <w:gridSpan w:val="2"/>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RETIREMENT PLAN</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During the three and six months ended June 30, 2024, the Company contributed $43 and $94 to the 401(k) Plan, respectively. During the three and six months ended June 30, 2023, the Company contributed $35 and $92 to the 401(k) Plan,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20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basis in diluted net loss per share for the three and six months ended June 30, 2024 and 2023 (in thousands, except share and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Pr>
          <w:p>
            <w:pPr>
              <w:spacing w:after="0"/>
              <w:rPr>
                <w:sz w:val="19"/>
                <w:szCs w:val="19"/>
                <w:color w:val="auto"/>
              </w:rPr>
            </w:pPr>
          </w:p>
        </w:tc>
        <w:tc>
          <w:tcPr>
            <w:tcW w:w="242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43"/>
        </w:trPr>
        <w:tc>
          <w:tcPr>
            <w:tcW w:w="5700" w:type="dxa"/>
            <w:vAlign w:val="bottom"/>
            <w:tcBorders>
              <w:top w:val="single" w:sz="8" w:color="CCEEFF"/>
              <w:bottom w:val="single" w:sz="8" w:color="CCEEFF"/>
            </w:tcBorders>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(9,570 )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(7,581 )</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(17,474 )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(15,217 )</w:t>
            </w:r>
          </w:p>
        </w:tc>
        <w:tc>
          <w:tcPr>
            <w:tcW w:w="0" w:type="dxa"/>
            <w:vAlign w:val="bottom"/>
          </w:tcPr>
          <w:p>
            <w:pPr>
              <w:spacing w:after="0"/>
              <w:rPr>
                <w:sz w:val="1"/>
                <w:szCs w:val="1"/>
                <w:color w:val="auto"/>
              </w:rPr>
            </w:pPr>
          </w:p>
        </w:tc>
      </w:tr>
      <w:tr>
        <w:trPr>
          <w:trHeight w:val="247"/>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22,546,370</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14,102,211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22,390,298</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13,933,629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70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Weighted-average shares used in computing basic and diluted net loss per</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22,546,370</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14,102,211</w:t>
            </w:r>
          </w:p>
        </w:tc>
        <w:tc>
          <w:tcPr>
            <w:tcW w:w="100" w:type="dxa"/>
            <w:vAlign w:val="bottom"/>
            <w:shd w:val="clear" w:color="auto" w:fill="CFF0FC"/>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22,390,298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13,933,629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570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stockholders—basic and</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(0.42 )</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(0.54 )</w:t>
            </w:r>
          </w:p>
        </w:tc>
        <w:tc>
          <w:tcPr>
            <w:tcW w:w="140" w:type="dxa"/>
            <w:vAlign w:val="bottom"/>
          </w:tcPr>
          <w:p>
            <w:pPr>
              <w:spacing w:after="0"/>
              <w:rPr>
                <w:sz w:val="16"/>
                <w:szCs w:val="16"/>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(0.78 )</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(1.09 )</w:t>
            </w:r>
          </w:p>
        </w:tc>
        <w:tc>
          <w:tcPr>
            <w:tcW w:w="0" w:type="dxa"/>
            <w:vAlign w:val="bottom"/>
          </w:tcPr>
          <w:p>
            <w:pPr>
              <w:spacing w:after="0"/>
              <w:rPr>
                <w:sz w:val="1"/>
                <w:szCs w:val="1"/>
                <w:color w:val="auto"/>
              </w:rPr>
            </w:pP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-316230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-299085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-316230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-299085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-316230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-299085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and 2023, the Company’s potentially dilutive securities included unvested stock warrants and stock options, which have been excluded from the computation of diluted net loss per share attributable to common stockholders as the effect would be anti-dilutive. The issuance of pre-funded warrants and vested RSUs have been included in the computation of basic and diluted net loss per share attributable to common stockholders. Based on the amounts outstanding as of June 30, 2024 and 2023, the Company excluded the following potential common shares from the computation of diluted net loss per share attributable to common stockholders because including them would have had an anti-dilutive effect:</w:t>
      </w:r>
    </w:p>
    <w:p>
      <w:pPr>
        <w:spacing w:after="0" w:line="191"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As of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Borders>
              <w:bottom w:val="single" w:sz="8" w:color="CCEEFF"/>
            </w:tcBorders>
          </w:tcPr>
          <w:p>
            <w:pPr>
              <w:spacing w:after="0"/>
              <w:rPr>
                <w:sz w:val="19"/>
                <w:szCs w:val="19"/>
                <w:color w:val="auto"/>
              </w:rPr>
            </w:pPr>
          </w:p>
        </w:tc>
        <w:tc>
          <w:tcPr>
            <w:tcW w:w="3520" w:type="dxa"/>
            <w:vAlign w:val="bottom"/>
            <w:tcBorders>
              <w:bottom w:val="single" w:sz="8" w:color="CCEEFF"/>
            </w:tcBorders>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5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4,012,212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2,187,703</w:t>
            </w:r>
          </w:p>
        </w:tc>
        <w:tc>
          <w:tcPr>
            <w:tcW w:w="100" w:type="dxa"/>
            <w:vAlign w:val="bottom"/>
            <w:shd w:val="clear" w:color="auto" w:fill="CFF0FC"/>
          </w:tcPr>
          <w:p>
            <w:pPr>
              <w:spacing w:after="0"/>
              <w:rPr>
                <w:sz w:val="21"/>
                <w:szCs w:val="2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3660" w:type="dxa"/>
            <w:vAlign w:val="bottom"/>
            <w:gridSpan w:val="2"/>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22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tcPr>
          <w:p>
            <w:pPr>
              <w:spacing w:after="0"/>
              <w:rPr>
                <w:sz w:val="21"/>
                <w:szCs w:val="21"/>
                <w:color w:val="auto"/>
              </w:rPr>
            </w:pPr>
          </w:p>
        </w:tc>
      </w:tr>
      <w:tr>
        <w:trPr>
          <w:trHeight w:val="27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4,018,248</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2,193,739</w:t>
            </w:r>
          </w:p>
        </w:tc>
        <w:tc>
          <w:tcPr>
            <w:tcW w:w="100" w:type="dxa"/>
            <w:vAlign w:val="bottom"/>
            <w:shd w:val="clear" w:color="auto" w:fill="CFF0FC"/>
          </w:tcPr>
          <w:p>
            <w:pPr>
              <w:spacing w:after="0"/>
              <w:rPr>
                <w:sz w:val="24"/>
                <w:szCs w:val="24"/>
                <w:color w:val="auto"/>
              </w:rPr>
            </w:pPr>
          </w:p>
        </w:tc>
      </w:tr>
      <w:tr>
        <w:trPr>
          <w:trHeight w:val="843"/>
        </w:trPr>
        <w:tc>
          <w:tcPr>
            <w:tcW w:w="4040" w:type="dxa"/>
            <w:vAlign w:val="bottom"/>
            <w:tcBorders>
              <w:top w:val="single" w:sz="8" w:color="CFF0FC"/>
            </w:tcBorders>
          </w:tcPr>
          <w:p>
            <w:pPr>
              <w:spacing w:after="0"/>
              <w:rPr>
                <w:sz w:val="24"/>
                <w:szCs w:val="24"/>
                <w:color w:val="auto"/>
              </w:rPr>
            </w:pPr>
          </w:p>
        </w:tc>
        <w:tc>
          <w:tcPr>
            <w:tcW w:w="3520" w:type="dxa"/>
            <w:vAlign w:val="bottom"/>
            <w:tcBorders>
              <w:top w:val="single" w:sz="8" w:color="CFF0FC"/>
            </w:tcBorders>
          </w:tcPr>
          <w:p>
            <w:pPr>
              <w:jc w:val="right"/>
              <w:ind w:right="175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-658495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-641350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of our financial condition and results of operations in conjunction with our unaudited condensed financial statements and the notes thereto included elsewhere in this Quarterly Report on Form 10-Q, and our audited consolidated financial statements and related notes for the year ended December 31, 2023, filed with the U.S. Securities and Exchange Commission ("SEC") on March 19, 2024. This discussion and other parts of this report contains forward-looking statements that involve risks and uncertainties, such as our plans, objectives, expectations, intentions, and beliefs,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the section of this report entitled “Risk Factors,” under Part II, Item 1A of this report and those discussed in our other disclosures and filings with the SEC.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moving into late-stage development with a diverse portfolio of targeted and immune-mediated product candidates with the potential to be first-in-class to treat a wide range of cancers. Our novel programs range from early research to the lead program, amezalpat (previously known as TPST-1120), that is poised to begin a pivotal study in first-line hepatocellular carcinoma (“HCC”). Our philosophy is to build a company based upon not only good ideas and creative science, but also upon the efficient translation of those ideas into therapies that will improve patients’ lives. Each of our programs are designed to provide different and independent approaches to fighting cancer, providing a portfolio of truly diversified assets.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two clinical-stage therapeutics product candidates are amezalpat and TPST-1495, which we believe are the first clinical-stage molecules designed to inhibit their respective targets.</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Amezalpat is a selective antagonist of peroxisome proliferator-activated receptor alpha (“PPARα”). On June 20, 2024, we announced new and updated positive data from the ongoing global randomized Phase 1b/2 trial of amezalpat combined with the standard-of-care first-line regimen of atezolizumab and bevacizumab in patients with advanced or metastatic HCC. This study compares the amezalpat arm to the standard of care control and enrolled 40 patients randomized to the amezalpat arm and 30 patients randomized to the control arm. The data cutoff was February 14, 2024.</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10 additional months of follow-up relative to the earlier primary analysis from April 20, 2023, a median overall survival (“OS”) was reached, showing a meaningful 6-month improvement over the standard of care with a median of 21 months in the amezalpat arm versus 15 months in the control arm. Importantly, the hazard ratio (“HR”), which expresses the relative hazard reduction achieved by the experimental arm compared to the control arm, remained stable with a positive value of 0.65, a slight shift from 0.59 observed ten months earlier in the primary analysis. Also notably, 50% (20/40) of patients in the amezalpat arm remained in survival follow-up versus 30% (9/30) in the control arm as of the cutoff date. OS is the primary endpoint used by regulatory agencies globally for first-line HCC.</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response rate, an earlier measure of patient status, showed a 30% confirmed objective response rate (“ORR”) in the amezalpat arm compared to 13.3% for atezolizumab and bevacizumab in the control arm in the earlier primary analysis. In June 2024, the ORR remained consistent with one important update: one patient in the amezalpat arm who had previously achieved at least a 30% reduction in measured tumor burden (a partial response, “PR”) as of April 2023, converted to a complete response (“CR”) and achieved at least an 80% reduction in their measured tumor burden as of February 2024. Notably, this patient’s tumor profile, a PD-L1 score &lt;1%, an immune desert phenotype, and a wildtype b-catenin gene, does not typically respond to anti-PD(L)1 or anti-angiogenic therapies (the same drug classes as atezolizumab and bevacizumab, respectively) even in combination, yet achieved a CR when amezalpat was added to the regimen.</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to the overall data, the biomarker subpopulation findings are consistent with the mechanism of action of amezalpat: patients with b-catenin activating mutations (21% in this study (n=7)) showed a confirmed ORR of 43% and a disease control rate (“DCR”) of 100% in the amezalpat arm; and distinct from the control arm, the amezalpat arm was consistently active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across PD-L1 negative tumors with a confirmed ORR of 27% in the amezalpat arm, compared to a reduced ORR of 7% for the control arm.</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These randomized data build upon clinical data from Phase 1 trials, both as a monotherapy and in combination with an anti-PD1 therapy, nivolumab, that were reported at a podium presentation at the American Society of Clinical Oncology (“ASCO”) annual meeting in June 2022. RECIST responses were also observed in this study at the two highest amezalpat doses in combination with nivolumab for an ORR of those cohorts of 30% (three of 10 patients), including in patients who previously progressed on anti-PD-1 (-L1) therapy.</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believe the next step in amezalpat’s development is a pivotal Phase 3 trial in first-line HCC and anticipate receiving feedback from the FDA during the third quarter of 2024 towards that goal, and given the totality of the data, also have interest in development in kidney cancer (“RCC”) and potentially other indications.</w:t>
      </w:r>
    </w:p>
    <w:p>
      <w:pPr>
        <w:spacing w:after="0" w:line="17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second clinical program, TPST-1495, is a dual antagonist of the EP2 and EP4 receptors of prostaglandin E2. Data from the TPST-1495 Phase 1 trial was presented at the ASCO annual meeting in June 2023, and we are planning to advance TPST-1495 in a new indication, Familial Adenomatous Polyposis (“FAP”), for which there are no approved systemic therapies. Given that prostaglandin signaling is implicated in FAP and based on positive preclinical data in a relevant mouse model, we believe there is strong mechanistic support for this approach. We are working with the Cancer Prevention Clinical Trials Network on a National Cancer Institute (“NCI”)-funded Phase 2 study and subject to final approval, plan to start the study in the second half of 2024.</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Beyond these clinical programs, we plan to continue to leverage our drug development and company-building experience along with academic relationships to identify promising new targets that may feed new programs into our pipeline. Our Discovery Research team employs a multidisciplinary approach to identify and validate therapeutic targets in oncology, and preclinical validation studies are then conducted to further understand the mechanism of action and potential therapeutic benefit to patients.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Future Milestones</w:t>
      </w:r>
    </w:p>
    <w:p>
      <w:pPr>
        <w:spacing w:after="0" w:line="229" w:lineRule="exact"/>
        <w:rPr>
          <w:sz w:val="20"/>
          <w:szCs w:val="20"/>
          <w:color w:val="auto"/>
        </w:rPr>
      </w:pPr>
    </w:p>
    <w:p>
      <w:pPr>
        <w:jc w:val="both"/>
        <w:ind w:left="1500" w:right="380" w:hanging="369"/>
        <w:spacing w:after="0" w:line="258"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amezalpat into a pivotal study in first-line HCC patients where amezalpat will be studied in a combination treatment and compared to a standard-of-care therapy, subject to obtaining feedback from the FDA. We believe positive results from the ongoing randomized Phase 1b/2 study provide strategic opportunities for us, and we anticipate receiving feedback from the FDA during the third quarter of 2024. We are also evaluating further development in RCC and cholangiocarcinoma (“CCA”) based on the Phase 1 data presented at ASCO 2022.</w:t>
      </w:r>
    </w:p>
    <w:p>
      <w:pPr>
        <w:spacing w:after="0" w:line="181" w:lineRule="exact"/>
        <w:rPr>
          <w:rFonts w:ascii="Times New Roman" w:cs="Times New Roman" w:eastAsia="Times New Roman" w:hAnsi="Times New Roman"/>
          <w:sz w:val="18"/>
          <w:szCs w:val="18"/>
          <w:color w:val="auto"/>
        </w:rPr>
      </w:pPr>
    </w:p>
    <w:p>
      <w:pPr>
        <w:jc w:val="both"/>
        <w:ind w:left="1500" w:right="380" w:hanging="369"/>
        <w:spacing w:after="0" w:line="260"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TPST-1495 beyond original tumor types of interest. We plan to complete the ongoing combination arm in patients with advanced endometrial cancer, where prostaglandin signaling is implicated, and report the data in 2024. Additionally, subject to final approval from the NCI, we are planning to advance TPST-1495 with the Cancer Prevention Clinical Trials Network into a Phase 2 study in patients with FAP in the second half of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 From inception to June 30, 2024, we have raised $207.5 million, through sales of our capital securities.</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never been profitable and have incurred operating losses in each period since inception. Our net losses were $17.5 million and $15.2 million for the six months ended June 30, 2024 and 2023, respectively. As of June 30, 2024, we had an accumulated deficit of $182.7 million. Substantially all of the operating losses resulted from expenses incurred in connection with our research and development programs and from general and administrative costs associated with our operations.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incur significant expenses and increasing operating losses for at least the next several years as we initiate and continue the clinical development of, and seek regulatory approval for, our product candidates and add personnel necessary to advance our pipeline of clinical-stage product candidates. In addition, operating as a publicly traded company involves the hiring of additional financial and other personnel, upgrading our financial information and other systems, and incurring substantial costs associated with operating as a public company. We expect our operating losses will fluctuate significantly from quarter to quarter and year to year due to timing of clinical development programs and efforts to achieve regulatory approval.</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our business strategy, our existing cash and cash equivalents of $31.1 million as of June 30, 2024 and the $1.4 million of net proceeds raised between July 1, 2024 and July 18, 2024 through sales of common stock under our ATM Program, will be sufficient to fund the projected operating expenses and capital expenditure requirements, and to meet our obligations as they become due. Our ability to fund continued development will require additional capital, and we intend to raise such capital through the issuance of additional debt or equity including in connection with potential merger opportunities, or through business development activities. Our ability to continue as a going concern is dependent upon our ability to successfully accomplish these plans and secure sources of financing and ultimately attain profitable operations. If we are unable to obtain adequate capital, we could be forced to cease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represent costs incurred to conduct research and development, such as the development of our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all research and development costs as they are incurred. Research and development expenses consist primarily of the following:</w:t>
      </w:r>
    </w:p>
    <w:p>
      <w:pPr>
        <w:spacing w:after="0" w:line="225" w:lineRule="exact"/>
        <w:rPr>
          <w:sz w:val="20"/>
          <w:szCs w:val="20"/>
          <w:color w:val="auto"/>
        </w:rPr>
      </w:pPr>
    </w:p>
    <w:p>
      <w:pPr>
        <w:ind w:left="1000" w:hanging="484"/>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stock-based compensation;</w:t>
      </w:r>
    </w:p>
    <w:p>
      <w:pPr>
        <w:spacing w:after="0" w:line="224" w:lineRule="exact"/>
        <w:rPr>
          <w:rFonts w:ascii="Times New Roman" w:cs="Times New Roman" w:eastAsia="Times New Roman" w:hAnsi="Times New Roman"/>
          <w:sz w:val="18"/>
          <w:szCs w:val="18"/>
          <w:color w:val="auto"/>
        </w:rPr>
      </w:pPr>
    </w:p>
    <w:p>
      <w:pPr>
        <w:ind w:left="1000" w:hanging="484"/>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costs;</w:t>
      </w:r>
    </w:p>
    <w:p>
      <w:pPr>
        <w:spacing w:after="0" w:line="224" w:lineRule="exact"/>
        <w:rPr>
          <w:rFonts w:ascii="Times New Roman" w:cs="Times New Roman" w:eastAsia="Times New Roman" w:hAnsi="Times New Roman"/>
          <w:sz w:val="18"/>
          <w:szCs w:val="18"/>
          <w:color w:val="auto"/>
        </w:rPr>
      </w:pPr>
    </w:p>
    <w:p>
      <w:pPr>
        <w:ind w:left="1000" w:hanging="484"/>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occupancy;</w:t>
      </w:r>
    </w:p>
    <w:p>
      <w:pPr>
        <w:spacing w:after="0" w:line="224" w:lineRule="exact"/>
        <w:rPr>
          <w:rFonts w:ascii="Times New Roman" w:cs="Times New Roman" w:eastAsia="Times New Roman" w:hAnsi="Times New Roman"/>
          <w:sz w:val="18"/>
          <w:szCs w:val="18"/>
          <w:color w:val="auto"/>
        </w:rPr>
      </w:pPr>
    </w:p>
    <w:p>
      <w:pPr>
        <w:ind w:left="1000" w:hanging="484"/>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and supplies;</w:t>
      </w:r>
    </w:p>
    <w:p>
      <w:pPr>
        <w:spacing w:after="0" w:line="224" w:lineRule="exact"/>
        <w:rPr>
          <w:rFonts w:ascii="Times New Roman" w:cs="Times New Roman" w:eastAsia="Times New Roman" w:hAnsi="Times New Roman"/>
          <w:sz w:val="18"/>
          <w:szCs w:val="18"/>
          <w:color w:val="auto"/>
        </w:rPr>
      </w:pPr>
    </w:p>
    <w:p>
      <w:pPr>
        <w:ind w:left="1000" w:hanging="484"/>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contracted research and manufacturing;</w:t>
      </w:r>
    </w:p>
    <w:p>
      <w:pPr>
        <w:spacing w:after="0" w:line="224" w:lineRule="exact"/>
        <w:rPr>
          <w:rFonts w:ascii="Times New Roman" w:cs="Times New Roman" w:eastAsia="Times New Roman" w:hAnsi="Times New Roman"/>
          <w:sz w:val="18"/>
          <w:szCs w:val="18"/>
          <w:color w:val="auto"/>
        </w:rPr>
      </w:pPr>
    </w:p>
    <w:p>
      <w:pPr>
        <w:ind w:left="1000" w:hanging="484"/>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arrangements; and</w:t>
      </w:r>
    </w:p>
    <w:p>
      <w:pPr>
        <w:spacing w:after="0" w:line="224" w:lineRule="exact"/>
        <w:rPr>
          <w:rFonts w:ascii="Times New Roman" w:cs="Times New Roman" w:eastAsia="Times New Roman" w:hAnsi="Times New Roman"/>
          <w:sz w:val="18"/>
          <w:szCs w:val="18"/>
          <w:color w:val="auto"/>
        </w:rPr>
      </w:pPr>
    </w:p>
    <w:p>
      <w:pPr>
        <w:ind w:left="1000" w:hanging="484"/>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incurred to advance our research and development activities.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largest component of our operating expenses has historically been the investment in research and development activities. We expect research and development expenses will increase in the future as we advance our product candidates into and through clinical trials and pursues regulatory approvals, which will require a significant investment in costs of clinical trials, regulatory support and contract manufacturing and inventory build-up. In addition, we continue to evaluate opportunities to acquire or in-license other product candidates and technologies, which may result in higher research and development expenses due to license fee and/or milestone payments, as well as added clinical development costs.</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process of conducting clinical trials necessary to obtain regulatory approval is costly and time consuming. We may never succeed in timely developing and achieving regulatory approval for our product candidates. The probability of success of our product candidates may be affected by numerous factors, including clinical data, competition, manufacturing capability and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commercial viability. As a result, we are unable to determine the duration and completion costs of our development projects or when and to what extent we will generate revenue from the commercialization and sale of any of our product candidates.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 We expect to continue to incur expenses as a result of being a public company, including expenses related to compliance with the rules and regulations of the SEC and Nasdaq, additional insurance, investor relations and other administrative expenses and professional services.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right="280"/>
        <w:spacing w:after="0" w:line="458" w:lineRule="auto"/>
        <w:rPr>
          <w:sz w:val="20"/>
          <w:szCs w:val="20"/>
          <w:color w:val="auto"/>
        </w:rPr>
      </w:pPr>
      <w:r>
        <w:rPr>
          <w:rFonts w:ascii="Times New Roman" w:cs="Times New Roman" w:eastAsia="Times New Roman" w:hAnsi="Times New Roman"/>
          <w:sz w:val="18"/>
          <w:szCs w:val="18"/>
          <w:color w:val="auto"/>
        </w:rPr>
        <w:t xml:space="preserve">Other income (expense), net consists primarily of interest expense, interest income, and various other income or expense items of a non-recurring nature. </w:t>
      </w:r>
      <w:r>
        <w:rPr>
          <w:rFonts w:ascii="Times New Roman" w:cs="Times New Roman" w:eastAsia="Times New Roman" w:hAnsi="Times New Roman"/>
          <w:sz w:val="18"/>
          <w:szCs w:val="18"/>
          <w:b w:val="1"/>
          <w:bCs w:val="1"/>
          <w:color w:val="auto"/>
        </w:rPr>
        <w:t>Results of Operations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operating results for the three months ended June 30, 2024 and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7"/>
              </w:rPr>
              <w:t>Increase/</w:t>
            </w:r>
          </w:p>
        </w:tc>
        <w:tc>
          <w:tcPr>
            <w:tcW w:w="220" w:type="dxa"/>
            <w:vAlign w:val="bottom"/>
          </w:tcPr>
          <w:p>
            <w:pPr>
              <w:spacing w:after="0"/>
              <w:rPr>
                <w:sz w:val="18"/>
                <w:szCs w:val="18"/>
                <w:color w:val="auto"/>
              </w:rPr>
            </w:pPr>
          </w:p>
        </w:tc>
        <w:tc>
          <w:tcPr>
            <w:tcW w:w="14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53"/>
        </w:trPr>
        <w:tc>
          <w:tcPr>
            <w:tcW w:w="5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gridSpan w:val="5"/>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2"/>
                <w:szCs w:val="22"/>
                <w:color w:val="auto"/>
              </w:rPr>
            </w:pP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20" w:type="dxa"/>
            <w:vAlign w:val="bottom"/>
          </w:tcPr>
          <w:p>
            <w:pPr>
              <w:spacing w:after="0"/>
              <w:rPr>
                <w:sz w:val="22"/>
                <w:szCs w:val="22"/>
                <w:color w:val="auto"/>
              </w:rPr>
            </w:pP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28"/>
        </w:trPr>
        <w:tc>
          <w:tcPr>
            <w:tcW w:w="55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20" w:type="dxa"/>
            <w:vAlign w:val="bottom"/>
          </w:tcPr>
          <w:p>
            <w:pPr>
              <w:spacing w:after="0"/>
              <w:rPr>
                <w:sz w:val="18"/>
                <w:szCs w:val="18"/>
                <w:color w:val="auto"/>
              </w:rPr>
            </w:pP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221"/>
        </w:trPr>
        <w:tc>
          <w:tcPr>
            <w:tcW w:w="55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w w:val="99"/>
              </w:rPr>
              <w:t>(in thousands,</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73"/>
              </w:rPr>
              <w:t>except</w:t>
            </w: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percentages)</w:t>
            </w:r>
          </w:p>
        </w:tc>
        <w:tc>
          <w:tcPr>
            <w:tcW w:w="2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51"/>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5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(9,582 )</w:t>
            </w:r>
          </w:p>
        </w:tc>
        <w:tc>
          <w:tcPr>
            <w:tcW w:w="120" w:type="dxa"/>
            <w:vAlign w:val="bottom"/>
          </w:tcPr>
          <w:p>
            <w:pPr>
              <w:spacing w:after="0"/>
              <w:rPr>
                <w:sz w:val="20"/>
                <w:szCs w:val="20"/>
                <w:color w:val="auto"/>
              </w:rPr>
            </w:pPr>
          </w:p>
        </w:tc>
        <w:tc>
          <w:tcPr>
            <w:tcW w:w="136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(7,470 )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4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(372 )</w:t>
            </w:r>
          </w:p>
        </w:tc>
        <w:tc>
          <w:tcPr>
            <w:tcW w:w="120" w:type="dxa"/>
            <w:vAlign w:val="bottom"/>
          </w:tcPr>
          <w:p>
            <w:pPr>
              <w:spacing w:after="0"/>
              <w:rPr>
                <w:sz w:val="20"/>
                <w:szCs w:val="20"/>
                <w:color w:val="auto"/>
              </w:rPr>
            </w:pPr>
          </w:p>
        </w:tc>
        <w:tc>
          <w:tcPr>
            <w:tcW w:w="136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(355 )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51"/>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5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(111 )</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51"/>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(9,570 )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(7,581 )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-1283970</wp:posOffset>
            </wp:positionV>
            <wp:extent cx="7132320" cy="162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62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6"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Our research and development expenses for the three months ended June 30, 2024 and 2023 were primarily incurred in connection with our most advanced product candidates, amezalpat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w:t>
      </w:r>
    </w:p>
    <w:p>
      <w:pPr>
        <w:spacing w:after="0" w:line="3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14" w:right="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research and development expenses by program for the three months ended June 30, 2024 and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Increase/</w:t>
            </w:r>
          </w:p>
        </w:tc>
        <w:tc>
          <w:tcPr>
            <w:tcW w:w="14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53"/>
        </w:trPr>
        <w:tc>
          <w:tcPr>
            <w:tcW w:w="5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60" w:type="dxa"/>
            <w:vAlign w:val="bottom"/>
            <w:gridSpan w:val="5"/>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4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28"/>
        </w:trPr>
        <w:tc>
          <w:tcPr>
            <w:tcW w:w="5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440" w:type="dxa"/>
            <w:vAlign w:val="bottom"/>
            <w:gridSpan w:val="2"/>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212"/>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73"/>
              </w:rPr>
              <w:t>except</w:t>
            </w: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percentages)</w:t>
            </w: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Amezalpat</w:t>
            </w:r>
          </w:p>
        </w:tc>
        <w:tc>
          <w:tcPr>
            <w:tcW w:w="780" w:type="dxa"/>
            <w:vAlign w:val="bottom"/>
          </w:tcPr>
          <w:p>
            <w:pPr>
              <w:jc w:val="right"/>
              <w:ind w:right="57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2,196</w:t>
            </w:r>
          </w:p>
        </w:tc>
        <w:tc>
          <w:tcPr>
            <w:tcW w:w="1060" w:type="dxa"/>
            <w:vAlign w:val="bottom"/>
            <w:gridSpan w:val="3"/>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22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0" w:type="dxa"/>
            <w:vAlign w:val="bottom"/>
          </w:tcPr>
          <w:p>
            <w:pPr>
              <w:spacing w:after="0"/>
              <w:rPr>
                <w:sz w:val="1"/>
                <w:szCs w:val="1"/>
                <w:color w:val="auto"/>
              </w:rPr>
            </w:pPr>
          </w:p>
        </w:tc>
      </w:tr>
      <w:tr>
        <w:trPr>
          <w:trHeight w:val="243"/>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TPST-1495</w:t>
            </w: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56"/>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Preclinical and other</w:t>
            </w:r>
          </w:p>
        </w:tc>
        <w:tc>
          <w:tcPr>
            <w:tcW w:w="7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(397 )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Total candidate specific research costs</w:t>
            </w: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540" w:type="dxa"/>
            <w:vAlign w:val="bottom"/>
            <w:gridSpan w:val="2"/>
            <w:vMerge w:val="continue"/>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3,516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51"/>
        </w:trPr>
        <w:tc>
          <w:tcPr>
            <w:tcW w:w="5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and other costs</w:t>
            </w: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1,627</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1,758</w:t>
            </w:r>
          </w:p>
        </w:tc>
        <w:tc>
          <w:tcPr>
            <w:tcW w:w="1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3"/>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and depreciation</w:t>
            </w: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0" w:type="dxa"/>
            <w:vAlign w:val="bottom"/>
          </w:tcPr>
          <w:p>
            <w:pPr>
              <w:spacing w:after="0"/>
              <w:rPr>
                <w:sz w:val="1"/>
                <w:szCs w:val="1"/>
                <w:color w:val="auto"/>
              </w:rPr>
            </w:pPr>
          </w:p>
        </w:tc>
      </w:tr>
      <w:tr>
        <w:trPr>
          <w:trHeight w:val="27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5,837</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4,416</w:t>
            </w:r>
          </w:p>
        </w:tc>
        <w:tc>
          <w:tcPr>
            <w:tcW w:w="280" w:type="dxa"/>
            <w:vAlign w:val="bottom"/>
            <w:tcBorders>
              <w:bottom w:val="single" w:sz="8" w:color="CCEEFF"/>
            </w:tcBorders>
            <w:gridSpan w:val="2"/>
            <w:shd w:val="clear" w:color="auto" w:fill="CCEEFF"/>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20" w:type="dxa"/>
            <w:vAlign w:val="bottom"/>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-812800</wp:posOffset>
            </wp:positionV>
            <wp:extent cx="7132320" cy="162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-495935</wp:posOffset>
            </wp:positionV>
            <wp:extent cx="183261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32610" cy="15430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-24765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-7620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-179070</wp:posOffset>
            </wp:positionV>
            <wp:extent cx="1909445"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09445" cy="179705"/>
                    </a:xfrm>
                    <a:prstGeom prst="rect">
                      <a:avLst/>
                    </a:prstGeom>
                    <a:noFill/>
                  </pic:spPr>
                </pic:pic>
              </a:graphicData>
            </a:graphic>
          </wp:anchor>
        </w:drawing>
      </w:r>
    </w:p>
    <w:p>
      <w:pPr>
        <w:spacing w:after="0" w:line="137"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Research and development expenses increased by $1.4 million to $5.8 million for the three months ended June 30, 2024, compared to three months ended June 30, 2023, which was primarily attributable to an increase in costs incurred from engaging contract research and manufacturing organizations in preparation for our pivotal Phase 3 trial of amezalpat for the treatment of first-line HCC, as well as an increase in stock-based compensation due to increased headcount. The following table summarizes our research and development expenses for the three months ended June 30, 2024 and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6"/>
        </w:trPr>
        <w:tc>
          <w:tcPr>
            <w:tcW w:w="5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Increase/</w:t>
            </w: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53"/>
        </w:trPr>
        <w:tc>
          <w:tcPr>
            <w:tcW w:w="5540" w:type="dxa"/>
            <w:vAlign w:val="bottom"/>
          </w:tcPr>
          <w:p>
            <w:pPr>
              <w:spacing w:after="0"/>
              <w:rPr>
                <w:sz w:val="22"/>
                <w:szCs w:val="22"/>
                <w:color w:val="auto"/>
              </w:rPr>
            </w:pPr>
          </w:p>
        </w:tc>
        <w:tc>
          <w:tcPr>
            <w:tcW w:w="2700" w:type="dxa"/>
            <w:vAlign w:val="bottom"/>
            <w:gridSpan w:val="6"/>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28"/>
        </w:trPr>
        <w:tc>
          <w:tcPr>
            <w:tcW w:w="55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5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12"/>
        </w:trPr>
        <w:tc>
          <w:tcPr>
            <w:tcW w:w="55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w w:val="99"/>
              </w:rPr>
              <w:t>(in thousands,</w:t>
            </w: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73"/>
              </w:rPr>
              <w:t>except</w:t>
            </w: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percentages)</w:t>
            </w: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4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outside services</w:t>
            </w:r>
          </w:p>
        </w:tc>
        <w:tc>
          <w:tcPr>
            <w:tcW w:w="780" w:type="dxa"/>
            <w:vAlign w:val="bottom"/>
          </w:tcPr>
          <w:p>
            <w:pPr>
              <w:jc w:val="right"/>
              <w:ind w:right="57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2,974</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2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1,105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5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shd w:val="clear" w:color="auto" w:fill="CCEEFF"/>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20" w:type="dxa"/>
            <w:vAlign w:val="bottom"/>
          </w:tcPr>
          <w:p>
            <w:pPr>
              <w:spacing w:after="0"/>
              <w:rPr>
                <w:sz w:val="22"/>
                <w:szCs w:val="22"/>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280 %</w:t>
            </w: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7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66 %</w:t>
            </w:r>
          </w:p>
        </w:tc>
      </w:tr>
      <w:tr>
        <w:trPr>
          <w:trHeight w:val="24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40" w:type="dxa"/>
            <w:vAlign w:val="bottom"/>
            <w:shd w:val="clear" w:color="auto" w:fill="CCEEFF"/>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0"/>
        </w:trPr>
        <w:tc>
          <w:tcPr>
            <w:tcW w:w="55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780" w:type="dxa"/>
            <w:vAlign w:val="bottom"/>
          </w:tcPr>
          <w:p>
            <w:pPr>
              <w:jc w:val="right"/>
              <w:ind w:right="57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5,837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r>
      <w:tr>
        <w:trPr>
          <w:trHeight w:val="20"/>
        </w:trPr>
        <w:tc>
          <w:tcPr>
            <w:tcW w:w="5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-650240</wp:posOffset>
            </wp:positionV>
            <wp:extent cx="183261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32610" cy="15430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-187960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-341630</wp:posOffset>
            </wp:positionV>
            <wp:extent cx="1909445" cy="162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09445" cy="16256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6"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increased by $0.6 million to $3.7 million for the three months ended June 30, 2024, compared to the three months ended June 30, 2023. The increase was primarily due to an increase in stock-based compensation expense due to increased headcount as well as an increase in expenses related to legal and consulting services.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6"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For the three months ended June 30, 2024 and 2023, other income (expense), net consisted of total interest expense of $372 thousand and $355 thousand, respectively, related to the Oxford Loan, and interest income of $384 thousand and $244 thousand, respectively.</w:t>
      </w:r>
    </w:p>
    <w:p>
      <w:pPr>
        <w:spacing w:after="0" w:line="3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14"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operating results for the six months ended June 30, 2024 and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7"/>
              </w:rPr>
              <w:t>Increase/</w:t>
            </w:r>
          </w:p>
        </w:tc>
        <w:tc>
          <w:tcPr>
            <w:tcW w:w="220" w:type="dxa"/>
            <w:vAlign w:val="bottom"/>
          </w:tcPr>
          <w:p>
            <w:pPr>
              <w:spacing w:after="0"/>
              <w:rPr>
                <w:sz w:val="18"/>
                <w:szCs w:val="18"/>
                <w:color w:val="auto"/>
              </w:rPr>
            </w:pPr>
          </w:p>
        </w:tc>
        <w:tc>
          <w:tcPr>
            <w:tcW w:w="14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53"/>
        </w:trPr>
        <w:tc>
          <w:tcPr>
            <w:tcW w:w="5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gridSpan w:val="5"/>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22"/>
                <w:szCs w:val="22"/>
                <w:color w:val="auto"/>
              </w:rPr>
            </w:pP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20" w:type="dxa"/>
            <w:vAlign w:val="bottom"/>
          </w:tcPr>
          <w:p>
            <w:pPr>
              <w:spacing w:after="0"/>
              <w:rPr>
                <w:sz w:val="22"/>
                <w:szCs w:val="22"/>
                <w:color w:val="auto"/>
              </w:rPr>
            </w:pP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28"/>
        </w:trPr>
        <w:tc>
          <w:tcPr>
            <w:tcW w:w="55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20" w:type="dxa"/>
            <w:vAlign w:val="bottom"/>
          </w:tcPr>
          <w:p>
            <w:pPr>
              <w:spacing w:after="0"/>
              <w:rPr>
                <w:sz w:val="18"/>
                <w:szCs w:val="18"/>
                <w:color w:val="auto"/>
              </w:rPr>
            </w:pP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221"/>
        </w:trPr>
        <w:tc>
          <w:tcPr>
            <w:tcW w:w="55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w w:val="99"/>
              </w:rPr>
              <w:t>(in thousands,</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73"/>
              </w:rPr>
              <w:t>except</w:t>
            </w: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percentages)</w:t>
            </w:r>
          </w:p>
        </w:tc>
        <w:tc>
          <w:tcPr>
            <w:tcW w:w="2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51"/>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22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5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(17,556 )</w:t>
            </w:r>
          </w:p>
        </w:tc>
        <w:tc>
          <w:tcPr>
            <w:tcW w:w="120" w:type="dxa"/>
            <w:vAlign w:val="bottom"/>
          </w:tcPr>
          <w:p>
            <w:pPr>
              <w:spacing w:after="0"/>
              <w:rPr>
                <w:sz w:val="20"/>
                <w:szCs w:val="20"/>
                <w:color w:val="auto"/>
              </w:rPr>
            </w:pPr>
          </w:p>
        </w:tc>
        <w:tc>
          <w:tcPr>
            <w:tcW w:w="136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(15,051 )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4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(740 )</w:t>
            </w:r>
          </w:p>
        </w:tc>
        <w:tc>
          <w:tcPr>
            <w:tcW w:w="120" w:type="dxa"/>
            <w:vAlign w:val="bottom"/>
          </w:tcPr>
          <w:p>
            <w:pPr>
              <w:spacing w:after="0"/>
              <w:rPr>
                <w:sz w:val="20"/>
                <w:szCs w:val="20"/>
                <w:color w:val="auto"/>
              </w:rPr>
            </w:pPr>
          </w:p>
        </w:tc>
        <w:tc>
          <w:tcPr>
            <w:tcW w:w="136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(699 )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51"/>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5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(166 )</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51"/>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(17,474 )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(15,217 )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-1283970</wp:posOffset>
            </wp:positionV>
            <wp:extent cx="7132320" cy="162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62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6"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Our research and development expenses for the six months ended June 30, 2024 and 2023 were primarily incurred in connection with our most advanced product candidates, amezalpat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Increase/</w:t>
            </w:r>
          </w:p>
        </w:tc>
        <w:tc>
          <w:tcPr>
            <w:tcW w:w="14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53"/>
        </w:trPr>
        <w:tc>
          <w:tcPr>
            <w:tcW w:w="5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4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28"/>
        </w:trPr>
        <w:tc>
          <w:tcPr>
            <w:tcW w:w="5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440" w:type="dxa"/>
            <w:vAlign w:val="bottom"/>
            <w:gridSpan w:val="2"/>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212"/>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73"/>
              </w:rPr>
              <w:t>except</w:t>
            </w: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percentages)</w:t>
            </w: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Amezalpat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720" w:type="dxa"/>
            <w:vAlign w:val="bottom"/>
            <w:gridSpan w:val="3"/>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2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43"/>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TPST-1495</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(504 )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56"/>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Preclinical and other</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(978 )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Total candidate specific research costs</w:t>
            </w: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5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51"/>
        </w:trPr>
        <w:tc>
          <w:tcPr>
            <w:tcW w:w="5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and other costs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and depreciation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2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0" w:type="dxa"/>
            <w:vAlign w:val="bottom"/>
          </w:tcPr>
          <w:p>
            <w:pPr>
              <w:spacing w:after="0"/>
              <w:rPr>
                <w:sz w:val="1"/>
                <w:szCs w:val="1"/>
                <w:color w:val="auto"/>
              </w:rPr>
            </w:pPr>
          </w:p>
        </w:tc>
      </w:tr>
      <w:tr>
        <w:trPr>
          <w:trHeight w:val="27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280" w:type="dxa"/>
            <w:vAlign w:val="bottom"/>
            <w:tcBorders>
              <w:bottom w:val="single" w:sz="8" w:color="CCEEFF"/>
            </w:tcBorders>
            <w:gridSpan w:val="2"/>
            <w:shd w:val="clear" w:color="auto" w:fill="CCEEFF"/>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20" w:type="dxa"/>
            <w:vAlign w:val="bottom"/>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-812800</wp:posOffset>
            </wp:positionV>
            <wp:extent cx="7132320" cy="1625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-495935</wp:posOffset>
            </wp:positionV>
            <wp:extent cx="183261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32610" cy="15430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-24765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-7620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-179070</wp:posOffset>
            </wp:positionV>
            <wp:extent cx="1909445" cy="1797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909445" cy="179705"/>
                    </a:xfrm>
                    <a:prstGeom prst="rect">
                      <a:avLst/>
                    </a:prstGeom>
                    <a:noFill/>
                  </pic:spPr>
                </pic:pic>
              </a:graphicData>
            </a:graphic>
          </wp:anchor>
        </w:drawing>
      </w:r>
    </w:p>
    <w:p>
      <w:pPr>
        <w:spacing w:after="0" w:line="150"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Research and development expenses increased by $1.1 million to $10.2 million for the six months ended June 30, 2024, compared to the six months ended June 30, 2023, which was primarily attributable to an increase in costs incurred from engaging contract research and manufacturing organizations in preparation for our pivotal Phase 3 trial of amezalpat for the</w:t>
      </w:r>
    </w:p>
    <w:p>
      <w:pPr>
        <w:spacing w:after="0" w:line="3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14"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8"/>
          <w:szCs w:val="18"/>
          <w:color w:val="auto"/>
        </w:rPr>
        <w:t>treatment of first-line HCC, as well as an increase in stock-based compensation due to increased headcount. The following table summarizes our research and development expenses for the six months ended June 30,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6"/>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Increase/</w:t>
            </w: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53"/>
        </w:trPr>
        <w:tc>
          <w:tcPr>
            <w:tcW w:w="5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20" w:type="dxa"/>
            <w:vAlign w:val="bottom"/>
            <w:gridSpan w:val="5"/>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28"/>
        </w:trPr>
        <w:tc>
          <w:tcPr>
            <w:tcW w:w="55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12"/>
        </w:trPr>
        <w:tc>
          <w:tcPr>
            <w:tcW w:w="55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w w:val="99"/>
              </w:rPr>
              <w:t>(in thousands,</w:t>
            </w: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73"/>
              </w:rPr>
              <w:t>except</w:t>
            </w: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percentages)</w:t>
            </w: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4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outside services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5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40" w:type="dxa"/>
            <w:vAlign w:val="bottom"/>
            <w:shd w:val="clear" w:color="auto" w:fill="CCEEFF"/>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20" w:type="dxa"/>
            <w:vAlign w:val="bottom"/>
          </w:tcPr>
          <w:p>
            <w:pPr>
              <w:spacing w:after="0"/>
              <w:rPr>
                <w:sz w:val="22"/>
                <w:szCs w:val="22"/>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278 %</w:t>
            </w: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r>
      <w:tr>
        <w:trPr>
          <w:trHeight w:val="24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40" w:type="dxa"/>
            <w:vAlign w:val="bottom"/>
            <w:shd w:val="clear" w:color="auto" w:fill="CCEEFF"/>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55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0"/>
        </w:trPr>
        <w:tc>
          <w:tcPr>
            <w:tcW w:w="5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-650240</wp:posOffset>
            </wp:positionV>
            <wp:extent cx="183261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32610" cy="15430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-187960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-341630</wp:posOffset>
            </wp:positionV>
            <wp:extent cx="1909445" cy="162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909445" cy="16256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6"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increased by $1.4 million to $7.4 million for the six months ended June 30, 2024, compared to the six months ended June 30, 2023. The increase was primarily due to an increase in stock-based compensation expense due to increased headcount as well as an increase in expenses related to legal and consulting services.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00"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8"/>
          <w:szCs w:val="18"/>
          <w:color w:val="auto"/>
        </w:rPr>
        <w:t>For the six months ended June 30, 2024 and 2023, other income (expense), net consisted of total interest expense of $740 thousand and $699 thousand, respectively, related to the Oxford Loan, and interest income of $822 thousand and $533 thousand,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Since inception through June 30, 2024, our operations have been financed primarily by net cash proceeds from the sale of our common stock, convertible preferred stock and issuance of debt. As of June 30, 2024, we had $31.1 million in cash and cash equivalents and an accumulated deficit of $182.7 million. We expect that our research and development and general and administrative expenses will increase, and, as a result, we anticipate that we will continue to incur increasing losses in the foreseeable future.</w:t>
      </w:r>
    </w:p>
    <w:p>
      <w:pPr>
        <w:spacing w:after="0" w:line="182"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We expect to have sufficient resources to fund operations into the second quarter of 2025. We believe our cash and cash equivalents as of June 30, 2024 and the $1.4 million of net proceeds raised between July 1, 2024 and July 18, 2024 through sales of common stock under our ATM Program will fund our ongoing working capital, investing, and financing requirements for at least the next 12 months from the date our consolidated financial statements were available to be issued.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 with Oxford Finance</w:t>
      </w:r>
    </w:p>
    <w:p>
      <w:pPr>
        <w:spacing w:after="0" w:line="229"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In January 2021, we entered into a Loan Agreement with Oxford that provided us with up to $35.0 million of borrowing capacity across three potential tranches, which was subsequently amended in December 2022. The initial tranche of $15.0 million was funded at the closing of the Loan Agreement, of which $5.0 million was repaid in December 2022. As of June 30, 2024, the balance of the loan payable (net of debt issuance costs) was $10.7 million and a total of $10.0 million in borrowing capacity remained available at the option of Oxford. Monthly principal payments of $733 thousand began on July 1, 2024 and the Company paid the first principal payment to Oxford in July 2024. The term loan matures on August 1, 2025 and has an annual floating interest rate of 7.15% which is an Index Rate plus 7.10%. Index Rate is the greater of (i) 1-Month CME Term</w:t>
      </w: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14"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 or (ii) 0.05%. Refer to Note 6 to our consolidated financial statements for additional information on our Loan Agreement with Oxford.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July 23, 2021, we entered into a sales agreement with Jefferies LLC (“Jefferies”), pursuant to which we may sell, from time to time at its sole discretion through Jefferies, as its sales agent, shares of its common stock having, up to an aggregate sales price of $100.0 million of its common stock through Jefferies (the “Prior ATM Program”). As of June 20, 2024, we had sold an aggregate 9,017,110 shares of its common stock for gross proceeds of approximately $42.7 million ($41.5 million net of commissions and estimated expenses) under the Prior ATM Program. On June 20, 2024, we and Jefferies terminated the Prior ATM Program and entered a new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“Sales Agreement”) to sell shares of common stock from time to time through Jefferies acting as sales agent (the “ATM Program”). Pursuant to the prospectus supplement dated June 20, 2024 (the “Prospectus Supplement”) filed by us with the U.S. Securities and Exchange Commission (“SEC”), we will be able to offer and sell up to $205,000,000 of its shares of common stock pursuant to the Sales Agreement. We will pay Jefferies a commission up to 3.0% of the gross sales proceeds of any shares of its common stock sold through Jefferies under the ATM Program and also has provided Jefferies with indemnification and contribution rights. As of June 30, 2024, we have sold an aggregate of 2,133,534 shares of its common stock for gross proceeds of approximately $4.8 million ($4.7 million net of commissions and estimated expenses). As of June 30, 2024, approximately $200.2 million remained available for sale under the ATM Program. Between July 1, 2024 and July 18, 2024 the Company sold 672,539 shares of our common stock for gross proceeds of $1.5 million ($1.4 million net of commissions and estimated expenses) pursuant to the ATM Program.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2024 and 2023:</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2"/>
        </w:trPr>
        <w:tc>
          <w:tcPr>
            <w:tcW w:w="7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6"/>
        </w:trPr>
        <w:tc>
          <w:tcPr>
            <w:tcW w:w="7540" w:type="dxa"/>
            <w:vAlign w:val="bottom"/>
            <w:tcBorders>
              <w:bottom w:val="single" w:sz="8" w:color="CCEEFF"/>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(12,696 )</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(14,695 )</w:t>
            </w: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(417 )</w:t>
            </w:r>
          </w:p>
        </w:tc>
        <w:tc>
          <w:tcPr>
            <w:tcW w:w="5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(163 )</w:t>
            </w:r>
          </w:p>
        </w:tc>
      </w:tr>
      <w:tr>
        <w:trPr>
          <w:trHeight w:val="247"/>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(8,106 )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(13,626 )</w:t>
            </w: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Cash used in operating activities for the six months ended June 30, 2024 was $12.7 million, consisting of a net loss of $17.5 million, add back of non-cash adjustments for depreciation, stock-based compensation, non-cash operating lease expense and other non-cash items totaling $3.8 million, plus changes in operating assets and liabilities of $1.0 million.</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Cash used in operating activities for the six months ended June 30, 2023 was $14.7 million, consisting of a net loss of $15.2 million, add back of non-cash adjustments for depreciation, stock-based compensation, non-cash operating lease expense and other non-cash items totaling $2.0 million, plus changes in operating assets and liabilities of $1.5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8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2024 and 2023 was related to purchases of property and equipment, primarily related to laboratory and computer equipment.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financing activities for the six months ended June 30, 2024 was related to proceeds from the issuance of common stock of $5.0 million.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financing activities for the six months ended June 30, 2023 was related to proceeds from the issuance of common stock of $1.2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believe that our available cash and cash equivalents are sufficient to fund existing and planned cash requirements for the next 12 months from the date our consolidated financial statements were available to be issued. 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the following:</w:t>
      </w:r>
    </w:p>
    <w:p>
      <w:pPr>
        <w:spacing w:after="0" w:line="225" w:lineRule="exact"/>
        <w:rPr>
          <w:sz w:val="20"/>
          <w:szCs w:val="20"/>
          <w:color w:val="auto"/>
        </w:rPr>
      </w:pPr>
    </w:p>
    <w:p>
      <w:pPr>
        <w:ind w:left="1020" w:right="28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 pivotal study for amezalpat in first-line HCC patients, as well as other costs associated with the scope, progress and results of discovery, preclinical development, laboratory testing and clinical trials for our product candidates;</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manufacturing of our product candidates;</w:t>
      </w:r>
    </w:p>
    <w:p>
      <w:pPr>
        <w:spacing w:after="0" w:line="224"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the extent to which we enter into partnerships or other arrangements with third parties to further develop our product candidates;</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the discovery, acquisition or in-license of product candidates or technologies;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collaborations on favorable terms, if at all;</w:t>
      </w:r>
    </w:p>
    <w:p>
      <w:pPr>
        <w:spacing w:after="0" w:line="224" w:lineRule="exact"/>
        <w:rPr>
          <w:rFonts w:ascii="Times New Roman" w:cs="Times New Roman" w:eastAsia="Times New Roman" w:hAnsi="Times New Roman"/>
          <w:sz w:val="18"/>
          <w:szCs w:val="18"/>
          <w:color w:val="auto"/>
        </w:rPr>
      </w:pPr>
    </w:p>
    <w:p>
      <w:pPr>
        <w:ind w:left="1020" w:right="38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if any, including product sales, marketing, manufacturing and distribution, for any of our product candidates for which we receive marketing approval;</w:t>
      </w:r>
    </w:p>
    <w:p>
      <w:pPr>
        <w:spacing w:after="0" w:line="162"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 and</w:t>
      </w:r>
    </w:p>
    <w:p>
      <w:pPr>
        <w:spacing w:after="0" w:line="162"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Further, our operating plan may change, and we may need additional funds to meet operational needs and capital requirements for clinical trials and other research and development expenditures.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material cash requirements primarily relate to the maturities of the principal obligations under our long-term debt, operating leases for office space, trade payables, and accrued expenses. As of June 30, 2024, we have $14.6 million payable within 12 months, including the current loan payable (net of discount and issuance costs) of $8.6 million due to Oxford Finance and $0.9 million related to the Brisbane Lease. In addition, the Oxford Finance loan facility matures on August 1, 2025, and as of June 30, 2024, the loan payable (net of discount and issuance costs) was $2.0 million, which with the current loan payable due within 12 months, results in a total balance due of $10.7 million. Refer to Notes 5 and 6 to our consolidated financial statements for additional information. We also expect our operating expenses to continue to increase in connection with our ongoing development activities, particularly as we continue the research, development and clinical trials of, and seek regulatory approval for, our product candidates. Accordingly, we will need substantial additional funding in connection with our continuing operations.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we can generate a sufficient amount of product revenue to finance our cash requirements, we expect to finance our future cash needs, including those set forth above, primarily through the issuance of additional equity, borrowings and strategic alliances with partner companies.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commercialization efforts or grant rights to develop and market product candidates to third parties that we would otherwise prefer to develop and market ourselves.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since December 31, 2023. For a description of critical accounting policies that affect our significant judgments and estimates used in the preparation of our unaudited condensed consolidated financial statements, refer to Item 7 “Management's Discussion and Analysis of Financial Condition and Results of Operations” contained in our Annual Report on Form 10-K.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See Note 2 to our Condensed Consolidated Financial Statements for a description of recent accounting pronouncements applicable to our Condensed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Vice-President, Strategy and Finance (principal financial officer), evaluated the effectiveness of our disclosure controls and procedures (as defined in Rules 13a-15(e) and 15d-15(e) under the Exchange Act), as of the end of the period covered by this Quarterly Report. Based on such evaluation, our Chief Executive Officer and Vice-President, Strategy and Finance have concluded that as of June 30, 2024, our disclosure controls and procedures were effective at the reasonable assurance level.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during the quarter ended June 30, 2024 that have materially affected, or are reasonably likely to materially affect, our internal control over financial reporting.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8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Information pertaining to legal proceedings is provided in Note 5 to the Condensed Consolidated Financial Statements contained in this report and is incorporated by reference herein.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carefully consider the risks described below, together with all of the other information contained in this Quarterly Report on Form 10-Q, including the section entitled “Management’s Discussion and Analysis of Financial Condition and Results of Operations” and the financial statements and the related notes. Any of these events could cause the trading price of our common stock to decline, which would cause you to lose all or part of your investment.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Selected Risks Associated with Our Business</w:t>
      </w:r>
    </w:p>
    <w:p>
      <w:pPr>
        <w:spacing w:after="0" w:line="22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any one of which could materially adversely affect our business, financial condition, operating results, and prospects. You should read this summary together with the more detailed description of each risk factor contained below.</w:t>
      </w:r>
    </w:p>
    <w:p>
      <w:pPr>
        <w:spacing w:after="0" w:line="163" w:lineRule="exact"/>
        <w:rPr>
          <w:sz w:val="20"/>
          <w:szCs w:val="20"/>
          <w:color w:val="auto"/>
        </w:rPr>
      </w:pPr>
    </w:p>
    <w:p>
      <w:pPr>
        <w:jc w:val="both"/>
        <w:ind w:left="1020" w:right="80" w:hanging="504"/>
        <w:spacing w:after="0" w:line="265"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77"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funding to finance our operations, which may not be available on acceptable terms or at all. Failure to obtain this necessary capital when needed may force us to delay, limit or terminate our product development efforts or other operations.</w:t>
      </w:r>
    </w:p>
    <w:p>
      <w:pPr>
        <w:spacing w:after="0" w:line="162" w:lineRule="exact"/>
        <w:rPr>
          <w:rFonts w:ascii="Times New Roman" w:cs="Times New Roman" w:eastAsia="Times New Roman" w:hAnsi="Times New Roman"/>
          <w:sz w:val="18"/>
          <w:szCs w:val="18"/>
          <w:color w:val="auto"/>
        </w:rPr>
      </w:pPr>
    </w:p>
    <w:p>
      <w:pPr>
        <w:jc w:val="both"/>
        <w:ind w:left="1020" w:hanging="504"/>
        <w:spacing w:after="0" w:line="26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we have faced substantial doubt regarding our ability to continue as a going concern and may face such challenges in the future. If we are unable to maintain the cash reserves required to fund our business, we will require substantial additional funding to finance our operations, and if we are unable to raise capital, we could be forced to delay, reduce or explore other strategic options for certain of our development programs, or even terminate our operations.</w:t>
      </w:r>
    </w:p>
    <w:p>
      <w:pPr>
        <w:spacing w:after="0" w:line="18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stockholders, restrict our operations or require us to relinquish proprietary rights.</w:t>
      </w:r>
    </w:p>
    <w:p>
      <w:pPr>
        <w:spacing w:after="0" w:line="22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Loan Agreement with Oxford Finance ("Oxford") provide Oxford with a lien against all of our assets, including our intellectual property, and contains financial covenants and other restrictions on our actions that may limit our operational flexibility or otherwise adversely affect our results of operations.</w:t>
      </w:r>
    </w:p>
    <w:p>
      <w:pPr>
        <w:spacing w:after="0" w:line="177"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and regulatory capabilities, and as a result, we may encounter difficulties in managing our growth, which could disrupt our operations.</w:t>
      </w:r>
    </w:p>
    <w:p>
      <w:pPr>
        <w:spacing w:after="0" w:line="162" w:lineRule="exact"/>
        <w:rPr>
          <w:rFonts w:ascii="Times New Roman" w:cs="Times New Roman" w:eastAsia="Times New Roman" w:hAnsi="Times New Roman"/>
          <w:sz w:val="18"/>
          <w:szCs w:val="18"/>
          <w:color w:val="auto"/>
        </w:rPr>
      </w:pPr>
    </w:p>
    <w:p>
      <w:pPr>
        <w:ind w:left="1020" w:right="8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obtain regulatory approval for and commercialize amezalpat, TPST-1495, or any of our future product candidates, or if we experience significant delays in doing so, our business will be materially harmed.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20" w:right="8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product candidates and develop marketable products.</w:t>
      </w:r>
    </w:p>
    <w:p>
      <w:pPr>
        <w:spacing w:after="0" w:line="224"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 candidates, including TPST-1495 and amezalpat, will depend upon their degree of market acceptance by providers, patients, patient advocacy groups, third-party payors and the general medical community.</w:t>
      </w:r>
    </w:p>
    <w:p>
      <w:pPr>
        <w:spacing w:after="0" w:line="162"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third parties to manufacture our clinical product supplies, and we may have to rely on third parties to produce and process our product candidates, if approved.</w:t>
      </w:r>
    </w:p>
    <w:p>
      <w:pPr>
        <w:spacing w:after="0" w:line="162"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ability to successfully market or commercialize TPST-1495, amezalpat, and any future product candidates.</w:t>
      </w:r>
    </w:p>
    <w:p>
      <w:pPr>
        <w:spacing w:after="0" w:line="177" w:lineRule="exact"/>
        <w:rPr>
          <w:rFonts w:ascii="Times New Roman" w:cs="Times New Roman" w:eastAsia="Times New Roman" w:hAnsi="Times New Roman"/>
          <w:sz w:val="18"/>
          <w:szCs w:val="18"/>
          <w:color w:val="auto"/>
        </w:rPr>
      </w:pPr>
    </w:p>
    <w:p>
      <w:pPr>
        <w:ind w:left="1020" w:right="60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and marketing capabilities or enter into agreements with third parties to market and sell our product candidates, we may be unable to generate any revenues.</w:t>
      </w:r>
    </w:p>
    <w:p>
      <w:pPr>
        <w:spacing w:after="0" w:line="162" w:lineRule="exact"/>
        <w:rPr>
          <w:rFonts w:ascii="Times New Roman" w:cs="Times New Roman" w:eastAsia="Times New Roman" w:hAnsi="Times New Roman"/>
          <w:sz w:val="18"/>
          <w:szCs w:val="18"/>
          <w:color w:val="auto"/>
        </w:rPr>
      </w:pPr>
    </w:p>
    <w:p>
      <w:pPr>
        <w:ind w:left="1020" w:right="66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finding strategic collaborators for continuing development of certain of our future product candidates or successfully commercializing or competing in the market for certain indications.</w:t>
      </w:r>
    </w:p>
    <w:p>
      <w:pPr>
        <w:spacing w:after="0" w:line="162" w:lineRule="exact"/>
        <w:rPr>
          <w:rFonts w:ascii="Times New Roman" w:cs="Times New Roman" w:eastAsia="Times New Roman" w:hAnsi="Times New Roman"/>
          <w:sz w:val="18"/>
          <w:szCs w:val="18"/>
          <w:color w:val="auto"/>
        </w:rPr>
      </w:pPr>
    </w:p>
    <w:p>
      <w:pPr>
        <w:ind w:left="1020" w:right="54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 (“FDA”) regulatory approval process is lengthy and time-consuming, and we may experience significant delays in the clinical development and regulatory approval of our product candidates.</w:t>
      </w:r>
    </w:p>
    <w:p>
      <w:pPr>
        <w:spacing w:after="0" w:line="162" w:lineRule="exact"/>
        <w:rPr>
          <w:rFonts w:ascii="Times New Roman" w:cs="Times New Roman" w:eastAsia="Times New Roman" w:hAnsi="Times New Roman"/>
          <w:sz w:val="18"/>
          <w:szCs w:val="18"/>
          <w:color w:val="auto"/>
        </w:rPr>
      </w:pPr>
    </w:p>
    <w:p>
      <w:pPr>
        <w:ind w:left="1020" w:right="40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62"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and in-licensed patents and patent applications may not provide sufficient protection of our product candidates or result in any competitive advantage.</w:t>
      </w:r>
    </w:p>
    <w:p>
      <w:pPr>
        <w:spacing w:after="0" w:line="162"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shares of our common stock has been and is likely to continue to be volatile, and purchasers of our common stock could incur substantial losses.</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may have serious adverse consequences on our business, financial condition and share price.</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thinly traded and our stockholders may be unable to sell their shares quickly or at market price.</w:t>
      </w:r>
    </w:p>
    <w:p>
      <w:pPr>
        <w:spacing w:after="0" w:line="224" w:lineRule="exact"/>
        <w:rPr>
          <w:rFonts w:ascii="Times New Roman" w:cs="Times New Roman" w:eastAsia="Times New Roman" w:hAnsi="Times New Roman"/>
          <w:sz w:val="18"/>
          <w:szCs w:val="18"/>
          <w:color w:val="auto"/>
        </w:rPr>
      </w:pPr>
    </w:p>
    <w:p>
      <w:pPr>
        <w:ind w:left="1020" w:right="32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our ability to produce accurate financial statements on a timely basis could be impaired.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we may not achieve or sustain profitability. We anticipate that we will continue to incur losses for the foreseeable future. If we fail to obtain additional funding to conduct our planned research and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efforts, we could be forced to delay, reduce or eliminate our product development programs or commercial development efforts.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 We incurred net losses of $17.5 million and $15.2 million for the six months ended June 30, 2024 and 2023, respectively. As of June 30, 2024, we had an accumulated deficit of $182.7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as we continue to conduct research and development, clinical testing, regulatory compliance activities, manufacturing activities, and, if any of our product candidates is approved, sales and marketing activities. Our prior losses, combined with our expected future losses, have had and will continue to have an adverse effect on our stockholders’ equity and working capital.</w:t>
      </w:r>
    </w:p>
    <w:p>
      <w:pPr>
        <w:spacing w:after="0" w:line="1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funding to finance our operations, which may not be available on acceptable terms or at all. Failure to obtain this necessary capital when needed may force us to delay, limit or terminate our product development efforts or other operations.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have consumed significant amounts of cash since inception. We expect our expenses to continue to increase in connection with our ongoing activities, particularly as we conduct clinical trials of, and seek marketing approval for, our product candidates, including later stage clinical trials such as our potential pivotal Phase 3 trial in first-line HCC, subject to our discussions with the FDA, and advance our other programs. Developing pharmaceutical products, including conducting preclinical studies and clinical trials, is a very time-consuming, expensive and uncertain process that takes years to complete. Other unanticipated costs may also arise. Because the design and outcome of our ongoing and anticipated clinical trials are highly uncertain, we cannot reasonably estimate the actual amount of resources and funding that will be necessary to successfully complete the development and commercialization of any product candidate we develop. Moreover, we will need to obtain substantial additional funding in connection with our continuing operations and planned research and clinical development activities. Our future capital requirements will depend on many factors, including:</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timing, progress, costs and results of our ongoing preclinical studies and clinical trials of our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of other product candidates that we may pursue;</w:t>
      </w:r>
    </w:p>
    <w:p>
      <w:pPr>
        <w:spacing w:after="0" w:line="117" w:lineRule="exact"/>
        <w:rPr>
          <w:sz w:val="20"/>
          <w:szCs w:val="20"/>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collaborations on favorable terms, if at all;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6" w:lineRule="exact"/>
        <w:rPr>
          <w:rFonts w:ascii="Times New Roman" w:cs="Times New Roman" w:eastAsia="Times New Roman" w:hAnsi="Times New Roman"/>
          <w:sz w:val="18"/>
          <w:szCs w:val="18"/>
          <w:color w:val="auto"/>
        </w:rPr>
      </w:pPr>
    </w:p>
    <w:p>
      <w:pPr>
        <w:ind w:left="1020" w:right="84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reimbursement and distribution, for any of our product candidates for which we may receive marketing approval;</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may receive marketing approval;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milestone and royalty payments with respect to any approved product candidates;</w:t>
      </w:r>
    </w:p>
    <w:p>
      <w:pPr>
        <w:spacing w:after="0" w:line="116"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may never generate the necessary data or results required to obtain regulatory approval in order to generate revenue from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our cash and cash equivalents and additional financing to achieve our business objectives.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30, 2024, we had cash and cash equivalents of $31.1 million. We believe that our cash and cash equivalents as of June 30, 2024, will fund our current operating plans through at least the next 12 months from the date the financial statements were issued. We have based this assessment on assumptions that may prove to be wrong, and it is possible that we will not achieve the progress that we expect with these funds because the actual costs and timing of clinical development and regulatory and commercial activities are difficult to predict and are subject to substantial risks and delays, and that we will use our capital resources sooner than we currently expect. This estimate does not reflect any additional expenditures that may result from any further strategic transactions to expand and diversify our product pipeline, including acquisitions of assets, businesses, rights to products, product candidates or technologies or strategic alliances or collaborations that we may pursue.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Accordingly, we will require substantial additional capital to develop our product candidates. Adequate additional financing may not be available to us on acceptable terms, or at all. If we require additional capital at a time when investment in our industry or in the marketplace in general is limited, we might not be able to raise funding on favorable terms, if at all. Our ability to raise additional capital may be adversely impacted by potential worsening global economic conditions, inflation expectations, and the recent disruptions to and volatility in the credit and financial markets in the United States and worldwide resulting from public health crises and geopolitical tensions, such as the Russia-Ukraine war and the war in Israel. If we are unable to raise capital when needed or on acceptable terms, we could be forced to delay, reduce, or explore other strategic options for our research and development programs or other opportunities, or even our operations. If we do not obtain additional financing and are required to terminate our operations, our stockholders will lose their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proprietary rights.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In June 2024, we terminated the prior sales agreement with Jefferies LLC (“Jefferies”) from July 2021 for our at-the-market program and entered into a new sales agreement with Jefferies for an at-the-market offering program (the “ATM Program”). Pursuant to the prospectus supplement we filed in June 2024, we may sell up to an aggregate of $205 million of our common stock under our ATM Program. To the extent that we raise additional capital through the sale of equity or convertible debt securities, your ownership interest may be further diluted, and the terms of these securities may include liquidation or other preferences that adversely affect your rights as a stockholder. In addition, we may issue equity or debt securities as consideration for obtaining rights to additional compounds.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 and other operating restrictions that could negatively impact our ability to conduct our business. For example, our obligations under the Loan Agreement with Oxford are secured by a security interest in all of our assets, including our intellectual property. In addition, the Loan Agreement contains customary covenants that, subject to specific exceptions, restrict our ability to, among other things, declare dividends or redeem or repurchase equity interests, incur additional liens, make loans and investments, incur additional indebtedness, engage in mergers, acquisitions and asset sales, transact with affiliates, undergo a change in control, add or change business locations, or engage in businesses that are not related to its existing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In addition, if we raise additional capital through future collaborations, strategic alliances or third-party licensing arrangements, we may have to relinquish future revenue streams, research programs or product candidates, or grant licenses on terms that may not be favorable to us.</w:t>
      </w:r>
    </w:p>
    <w:p>
      <w:pPr>
        <w:spacing w:after="0" w:line="163" w:lineRule="exact"/>
        <w:rPr>
          <w:sz w:val="20"/>
          <w:szCs w:val="20"/>
          <w:color w:val="auto"/>
        </w:rPr>
      </w:pPr>
    </w:p>
    <w:p>
      <w:pPr>
        <w:ind w:right="880"/>
        <w:spacing w:after="0" w:line="312" w:lineRule="auto"/>
        <w:rPr>
          <w:sz w:val="20"/>
          <w:szCs w:val="20"/>
          <w:color w:val="auto"/>
        </w:rPr>
      </w:pPr>
      <w:r>
        <w:rPr>
          <w:rFonts w:ascii="Times New Roman" w:cs="Times New Roman" w:eastAsia="Times New Roman" w:hAnsi="Times New Roman"/>
          <w:sz w:val="17"/>
          <w:szCs w:val="17"/>
          <w:color w:val="auto"/>
        </w:rPr>
        <w:t>If we are unable to raise additional capital when needed, we may be required to delay, limit, reduce or terminate our drug development or future commercialization efforts, or grant rights to develop and market product candidates that we would otherwise develop and market ourselves.</w:t>
      </w:r>
    </w:p>
    <w:p>
      <w:pPr>
        <w:spacing w:after="0" w:line="13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the Loan Agreement with Oxford provide Oxford with a lien against all of our assets, including our intellectual property, and contains financial covenants and other restrictions on our actions that may limit our operational flexibility or otherwise adversely affect our results of operations.</w:t>
      </w:r>
    </w:p>
    <w:p>
      <w:pPr>
        <w:spacing w:after="0" w:line="17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January 2021, we entered into a Loan Agreement with Oxford that provided us with up to $35.0 million of borrowing capacity across three potential tranches, which was subsequently amended in December 2022. The initial tranche of $15.0 million was funded at the closing of the Loan Agreement, of which $5.0 million was repaid in December 2022. As of June 30, 2024, the balance of the loan payable (net of debt issuance costs) was $10.7 million and a total of $10.0 million in borrowing capacity remained available at the option of Oxford. Our overall leverage and certain obligations and affirmative and negative covenants contained in the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we default under the Loan Agreement, Oxford may accelerate all of our repayment obligations and exercise all of their rights and remedies under the Loan Agreement and applicable law, potentially requiring us to renegotiate our agreement on terms less favorable to us. In addition, since the borrowings under the Loan Agreement are secured by a lien on our assets, including our intellectual property, Oxford would be able to foreclose on our assets if we do not cure any default or pay any amounts due and payable under the Loan Agreement. Further, if we are liquidated, the lenders’ right to repayment would be senior to the rights of the holders of our common stock to receive any proceeds from the liquidation. Oxford could declare a default upon the occurrence of an event of default, including events that they interpret as a material adverse change as defined in the Loan Agreement, payment defaults or breaches of certain affirmative and negative covenants, thereby requiring us to repay the loan immediately. Any declaration by Oxford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to date have been limited to organizing and staffing,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tax credit carryforwards may be subject to limitations.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our NOLs.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or taxes may be limited. A Section 382 “ownership change” is generally defined as a greater than 50 percentage point change (by value) in its equity ownership by certain stockholders over a three-year period. We may have experienced ownership changes in the past, including as a result of the merger with Millendo, and may experience ownership changes in the future due to subsequent shifts in our stock ownership (some of which are outside of our control). Furthermore, the merger constituted an ownership change (within the meaning of Section 382 of the Code) of Millendo which may have eliminated or otherwise substantially limited our ability to use Millendo’s federal and state NOLs to offset our future taxable income. Consequently, even if we achieve profitability, we may not be able to utilize a material portion of Tempest Tx, Inc. (our predecessor), Millendo’s or our combined NOL carryforwards and other tax attributes, which could have a material adverse effect on cash flow and results of operations. Similar provisions of state tax law may also apply to limit our ability to use of accumulated state tax attributes. There is also a risk that due to regulatory changes, such as suspensions on the use of NOLs, or other unforeseen reasons, our existing NOLs could expire or otherwise be unavailable to offset future income tax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product candidate development, growing our capability to conduct clinical trials, and, if approved, through commercialization of our product candidates. To manage our anticipated future growth, we must continue to implement and improve our managerial, operational and financial systems, expand our facilities and continue to recruit and train additional qualified personnel, or contract with third parties to provide these capabilities.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attract and retain highly skilled employees to succeed.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results of operations and increase our capabilities to successfully commercialize our product candidates. In particular, we believe that our future success is highly dependent upon the contributions of our senior management, particularly our Chief Executive Officer and President, Stephen Brady and our Chief Medical Officer, Sam Whiting. The loss of services of Messrs. Brady or Whiting, or any of our other senior management,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or strategic alliances could disrupt our business and harm our financial condition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186" w:lineRule="exact"/>
        <w:rPr>
          <w:sz w:val="20"/>
          <w:szCs w:val="20"/>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224"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162"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224"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 Development and Regulatory Approval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obtain regulatory approval for and commercialize TPST-1495, amezalpat, or any of our future product candidates, or if we experience significant delays in doing so, our business will be materially harmed.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plan to invest a substantial amount of our efforts and financial resources in our current lead product candidates, TPST-1495, a dual EP2/EP4 prostaglandin (“PGE2”) receptor antagonist, and amezalpat, a peroxisome proliferator-activated receptor alpha (“PPARα”) antagonist for the treatment of various cancers. We have initiated Phase 1 clinical trials of TPST-1495 and amezalpat for the treatment of advanced solid tumors. We anticipate receiving feedback from the FDA on our potential pivotal Phase 3 trial design for amezalpat for HCC during the third quarter of 2024. The FDA may require that we conduct additional dose optimization or Phase 2 development work prior to proceeding to a Phase 3 trial. Any delay in our ability to proceed to a pivotal trial for amezalpat will add time and expense to the development pathway and adversely impact the timing and potential for profitability. Our ability to generate product revenue will depend heavily on the successful development and eventual commercialization of TPST-1495 and amezalpat and any future product candidates, which may never occur. We currently generate no revenue from sales of any product and we may never be able to develop or commercialize a marketable product.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our programs and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TPST-1495 and amezalpat and any future product candidates must be authorized for marketing by the FDA, the Health Products and Food Branch of Health Canada (“HPFB”), the European Medicines Agency (“EMA”), and certain other foreign regulatory agencies before we may commercialize any of our product candidates in the United States, Canada, European Union, or other jurisdictions.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TPST-1495 and amezalpat and any future product candidates depends on multiple factors, including:</w:t>
      </w:r>
    </w:p>
    <w:p>
      <w:pPr>
        <w:spacing w:after="0" w:line="225" w:lineRule="exact"/>
        <w:rPr>
          <w:sz w:val="20"/>
          <w:szCs w:val="20"/>
          <w:color w:val="auto"/>
        </w:rPr>
      </w:pPr>
    </w:p>
    <w:p>
      <w:pPr>
        <w:jc w:val="both"/>
        <w:ind w:left="1020" w:right="140" w:hanging="504"/>
        <w:spacing w:after="0" w:line="265"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including those compliant with Good Laboratory Practice (“GLP”), or GLP toxicology studies, biodistribution studies and minimum effective dose studies in animals, and successful enrollment and completion of clinical trials compliant with current Good Clinical Practices (“GCPs”);</w:t>
      </w:r>
    </w:p>
    <w:p>
      <w:pPr>
        <w:spacing w:after="0" w:line="177"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Investigational New Drug applications or other regulatory applications, that allow commencement of our planned clinical trials or future clinical trials for our product candidates in relevant territories;</w:t>
      </w:r>
    </w:p>
    <w:p>
      <w:pPr>
        <w:spacing w:after="0" w:line="162"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(“CROs”) and clinical sites for the clinical development of our product candidates, both in the United States and internationally;</w:t>
      </w:r>
    </w:p>
    <w:p>
      <w:pPr>
        <w:spacing w:after="0" w:line="162"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arrangements with third-party contract manufacturing organizations (“CMOs”) for key materials used in our manufacturing processes and to establish backup sources for clinical and large-scale commercial supply;</w:t>
      </w:r>
    </w:p>
    <w:p>
      <w:pPr>
        <w:spacing w:after="0" w:line="162" w:lineRule="exact"/>
        <w:rPr>
          <w:rFonts w:ascii="Times New Roman" w:cs="Times New Roman" w:eastAsia="Times New Roman" w:hAnsi="Times New Roman"/>
          <w:sz w:val="18"/>
          <w:szCs w:val="18"/>
          <w:color w:val="auto"/>
        </w:rPr>
      </w:pPr>
    </w:p>
    <w:p>
      <w:pPr>
        <w:ind w:left="1020" w:right="32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clinical programs that are supportive of safety and efficacy and provide an acceptable risk-benefit profile for our product candidates in the intended patient populations;</w:t>
      </w:r>
    </w:p>
    <w:p>
      <w:pPr>
        <w:spacing w:after="0" w:line="162" w:lineRule="exact"/>
        <w:rPr>
          <w:rFonts w:ascii="Times New Roman" w:cs="Times New Roman" w:eastAsia="Times New Roman" w:hAnsi="Times New Roman"/>
          <w:sz w:val="18"/>
          <w:szCs w:val="18"/>
          <w:color w:val="auto"/>
        </w:rPr>
      </w:pPr>
    </w:p>
    <w:p>
      <w:pPr>
        <w:ind w:left="1020" w:right="58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including those necessary for pricing and reimbursement of our product candidates;</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patent and trade secret protection and regulatory exclusivity for our product candidates;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launch of our product candidates, if and when approved, whether alone or in collaboration with others;</w:t>
      </w:r>
    </w:p>
    <w:p>
      <w:pPr>
        <w:spacing w:after="0" w:line="224"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patient advocacy groups, third-party payors and the general medical community;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with developers of other therapies available in the market;</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adequate reimbursement from third-party payors for our product candidates;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or in-license additional product candidates;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prosecution, maintenance, enforcement and defense of intellectual property rights and claims;</w:t>
      </w:r>
    </w:p>
    <w:p>
      <w:pPr>
        <w:spacing w:after="0" w:line="224"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 candidates following approval, including meeting any post-marketing commitments or requirements imposed by or agreed to with applicable regulatory authorities;</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factors surrounding the approval process, such as government shutdowns; or</w:t>
      </w:r>
    </w:p>
    <w:p>
      <w:pPr>
        <w:spacing w:after="0" w:line="224" w:lineRule="exact"/>
        <w:rPr>
          <w:rFonts w:ascii="Times New Roman" w:cs="Times New Roman" w:eastAsia="Times New Roman" w:hAnsi="Times New Roman"/>
          <w:sz w:val="18"/>
          <w:szCs w:val="18"/>
          <w:color w:val="auto"/>
        </w:rPr>
      </w:pPr>
    </w:p>
    <w:p>
      <w:pPr>
        <w:ind w:left="1020" w:right="16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such as the Russia-Ukraine war and the war in Israel, natural disasters including earthquakes, typhoons, floods and fires, and public health crises.</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7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our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 as favorable an outcome in later-stage or larger clinical trials, even if successful. We will be required to demonstrate through adequate and well-controlled clinical trials that our product candidates are safe and effective for their intended uses before we can seek regulatory approvals for their commercial sale. The conduct of Phase 3 trials and the submission of a New Drug Application (“NDA”) is a complicated process. We have not previously completed any pivotal clinical trials, have limited experience in preparing, submitting and supporting regulatory filings, and have not previously submitted an NDA. Consequently, we may be unable to successfully and efficiently execute and complete necessary clinical trials and other requirements in a way that leads to NDA submission and approval of any product candidate we are developing.</w:t>
      </w:r>
    </w:p>
    <w:p>
      <w:pPr>
        <w:spacing w:after="0" w:line="18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Even if our clinical trials demonstrate acceptable safety and efficacy of TPST-1495 and amezalpat or any future product candidates and such product candidates receive regulatory approval, the labeling we obtain through negotiations with the FDA or foreign regulatory authorities may not include data on secondary endpoints and may not provide us with a competitive advantage over other products approved for the same or similar indications.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does not consistently or sufficiently demonstrate the safety or efficacy of any of our product candidates, including TPST-1495 and amezalpat, to the satisfaction of the FDA or foreign regulatory authorities, then the regulatory approvals for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such product candidates could be significantly delayed as we work to meet approval requirements, or, if we are not able to meet these requirements, such approvals could be withheld or withdrawn.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our conclusion. The enrollment of patients depends on many factors, including:</w:t>
      </w:r>
    </w:p>
    <w:p>
      <w:pPr>
        <w:spacing w:after="0" w:line="177" w:lineRule="exact"/>
        <w:rPr>
          <w:sz w:val="20"/>
          <w:szCs w:val="20"/>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our clinical trials will drop out of the trials before the infusion of our product candidates or trial completion.</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crises or geopolitical tensions, such as the Russia-Ukraine war and the war in Israel, may delay or prevent patients from enrolling or from receiving treatment in accordance with the protocol and the required timelines, which could delay our clinical trials, or prevent us from completing our clinical trials at all.</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Moreover, because our product candidates represent unproven methods for cancer treatment, potential patients and their doctors may be inclined to use existing therapies rather than enroll patients in our clinical trials.</w:t>
      </w:r>
    </w:p>
    <w:p>
      <w:pPr>
        <w:spacing w:after="0" w:line="15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and preliminary data from our clinical trials that we may announce or publish from time to time may change as more patient data becomes available and are subject to audit and verification procedures that could result in material changes in the final data.</w:t>
      </w:r>
    </w:p>
    <w:p>
      <w:pPr>
        <w:spacing w:after="0" w:line="15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w:t>
      </w:r>
    </w:p>
    <w:p>
      <w:pPr>
        <w:spacing w:after="0" w:line="16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Preliminary or interim data also remain subject to audit and verification procedures that may result in the final data being materially different from the preliminary data we previously published. As a result, interim and preliminary data should be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viewed with caution until the final data is available. Adverse differences between preliminary or interim data and final data could significantly harm our business prospects.</w:t>
      </w:r>
    </w:p>
    <w:p>
      <w:pPr>
        <w:spacing w:after="0" w:line="1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are investigating amezalpat and TPST-1495 in combination with other approved therapies, and we may in the future investigate product candidates in combination with other approved and unapproved therapies, which exposes us to additional risks.</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currently investigating and may continue to investigate one or more of our product candidates in combination with one or more other approved or unapproved therapies to treat cancers.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including shortages of those products for use in our intended clinical trials.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 We also may choose to evaluate our current product candidates or any other future product candidates in combination with one or more cancer therapies that have not yet been approved for marketing by the FDA or comparable foreign regulatory authorities. We will not be able to market and sell our current product candidates or any product candidate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products or revoke their approval of, or if safety, efficacy, quality, manufacturing or supply issues arise with, the products we choose to evaluate in combination with our product candidate we develop, we may be unable to obtain approval of or market such combination therapy.</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Prior to commercialization, TPST-1495, amezalpat and any future product candidates must be approved by the FDA pursuant to an NDA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TPST-1495, amezalpat or any future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TPST-1495 and amezalpat and any future product candidates may be delayed or refused for many reasons, including:</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22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162"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populations studied in clinical trials may not be sufficiently broad or representative to assure efficacy and safety in the populations for which we seek approval;</w:t>
      </w:r>
    </w:p>
    <w:p>
      <w:pPr>
        <w:spacing w:after="0" w:line="162"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22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comparable submission in foreign jurisdictions or to obtain regulatory approval in the United States or elsewhere;</w:t>
      </w:r>
    </w:p>
    <w:p>
      <w:pPr>
        <w:spacing w:after="0" w:line="162"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of third-party manufacturers with which we contract or procure certain service or raw materials, may not be adequate to support approval of our product candidates; and</w:t>
      </w:r>
    </w:p>
    <w:p>
      <w:pPr>
        <w:spacing w:after="0" w:line="162"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our product candidates meet their pre-specified safety and efficacy endpoints in clinical trials, the regulatory authorities may not complete their review processes in a timely manner and may not consider such clinical trial results sufficient to grant,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authorities also may approve a product candidate for more limited indications than requested or they may impose significant limitations in the form of narrow indications, warnings, contraindications or Risk Evaluation and Mitigation Strategies (“REMS”). These regulatory authorities may also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spacing w:after="0" w:line="17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TPST-1495, amezalpat and any future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As we continue developing our product candidates and initiate clinical trials of our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such adverse events occur, our clinical trials could be suspended or terminated and the FDA, the HPFB,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 significantly, including our ability to successfully sign collaboration or license agreements with external partners. Other treatments for cancers that utilize prostaglandin E2 antagonist or a PPARα antagonist or similar mechanism of action could also generate data that could adversely affect the clinical, regulatory or commercial perception of TPST-1495 and amezalpat and any future product candidates.</w:t>
      </w:r>
    </w:p>
    <w:p>
      <w:pPr>
        <w:spacing w:after="0" w:line="1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Additionally, if any of our product candidates receives marketing approval, the FDA could require us to adopt a REMS to ensure that the benefits of the product outweigh our risks, which may include, for example, a Medication Guide outlining the risks of the product for distribution to patients and a communication plan to health care practitioners, or other elements to assure safe use of the product.</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Furthermore, if we or others later identify undesirable side effects caused by our product candidates, several potentially significant negative consequences could result, including:</w:t>
      </w:r>
    </w:p>
    <w:p>
      <w:pPr>
        <w:spacing w:after="0" w:line="163" w:lineRule="exact"/>
        <w:rPr>
          <w:sz w:val="20"/>
          <w:szCs w:val="20"/>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product candidate;</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in the product labeling;</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conduct additional clinical trials;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occurrences may harm our business, financial condition, results of operations and prospects significantly.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of product candidates and develop marketable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develop further product candidates, we may not be able to obtain product revenue in future periods, which would adversely affect our business, prospects, financial condition and results of operations.</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Although our pipeline includes multiple programs, we are primarily focused on our lead product candidates, TPST-1495 and amezalpat, and we may forego or delay pursuit of opportunities with other product candidates or for other indications that later prove to have greater commercial potential. Our resource allocation decisions may cause us to fail to capitalize on viable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(“cGMP”), quality control, quality assurance and corresponding maintenance of records and documents, including periodic inspections by the FDA and other regulatory authorities and requirements regarding the distribution of samples to providers and recordkeeping. In addition, manufacturers of drug products and their facilities are subject to continual review and periodic, unannounced inspections by the FDA and other regulatory authorities for compliance with cGMP.</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FFDCA relating to the promotion of prescription drugs may lead to investigations alleging violations of federal and state healthcare fraud and abuse laws, as well as state consumer protection laws and similar laws in international jurisdictions.</w:t>
      </w:r>
    </w:p>
    <w:p>
      <w:pPr>
        <w:spacing w:after="0" w:line="18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163" w:lineRule="exact"/>
        <w:rPr>
          <w:sz w:val="20"/>
          <w:szCs w:val="20"/>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candidates, manufacturers or manufacturing processes;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any approved product from the market;</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 candidates;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 candidates;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 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it may lose any marketing approval that we have obtained, and we may not achieve or sustain profitability.</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Non-compliance with Canadian and European requirements regarding safety monitoring or pharmacovigilance, and with requirements related to the development of products for the pediatric population, can also result in significant financial penalties.</w:t>
      </w:r>
    </w:p>
    <w:p>
      <w:pPr>
        <w:spacing w:after="0" w:line="1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market and sell TPST-1495, amezalpat and any future product candidates in other jurisdictions, we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and Manufacturing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 candidates, including TPST-1495 and amezalpat, will depend upon their degree of market acceptance by providers, patients, patient advocacy groups, third-party payors and the general medical community.</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the requisite approvals from the FDA, the HPFB, the EMA and other regulatory authorities internationally are obtained, the commercial success of our product candidates will depend, in part, on the acceptance of providers, patients and third-party payors of drugs designed to act as a dual antagonist of EP2 and EP4 and PPARα antagonists in general, and our product candidates in particular, as medically necessary, cost-effective and safe. In addition, we may face challenges in seeking to establish and grow sales of TPST-1495 and amezalpat or any future product candidates. Any product that we commercialize may not gain acceptance by providers, patients, patient advocacy groups, third-party payors and the general medical</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community. If these products do not achieve an adequate level of acceptance, we may not generate significant product revenue and may not become profitable.</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coverage and reimbursement by third-party payors will be essential for most patients to be able to afford these treatments. Accordingly, sales of our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payors, private health coverage insurers and other third-party payors. Even if coverage is provided, the established reimbursement amount may not be high enough to allow us to establish or maintain pricing sufficient to realize a sufficient return on our investment.</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government and private payors, professional organizations such as the American Medical Association, can influence decisions about coverage and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compared to existing alternatives. Such organizations may set guidelines that limit reimbursement or utilization of our product candidates, if approved. Even if favorable coverage and reimbursement status is attained for one or more product candidates for which our collaborators receive regulatory approval, less favorable coverage policies and reimbursement rates may be implemented in the future.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increasing efforts by government and other third-party payors, in the United States and internationally, to cap or reduce healthcare costs may cause such payors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labeling. Even if we are successful in obtaining FDA approval to commercialize our product candidates, we cannot guarantee that we will be able to secure reimbursement for all patients for whom treatment with our product candidates is indicated.</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 parties on which we depend to conduct our planned preclinical studies or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third-party CROs, CMOs, consultants and others to design, conduct, supervise and monitor key activities relating to, testing, discovery, manufacturing, preclinical studies and clinical trials of our product candidates, and we intend to do the same for future activities relating to existing and future programs. Because we rely on third parties and does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as well as in accordance with GLP, GCP and other applicable laws, regulations and standards. Our reliance on third parties that we do not control does not relieve us of these responsibilities and requirements. The FDA and other regulatory authorities enforce GCP through periodic inspections of trial sponsors, principal investigators and trial sites. If we or any of these third parties fails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have complied with GCP. In addition, our clinical trials must be conducted with product produced in accordance with cGMP. Our failure to comply with these regulations may require us to repeat clinical trials, which could delay or prevent the receipt of regulatory approvals. Any such event could have an adverse effect on our business, financial condition, results of operations and prospects.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change, and it is possible that our competitors may achieve regulatory approval before us or develop therapies that are more advanced or effective than our therapies, which may harm our business, financial condition and our ability to successfully market or commercialize TPST-1495, amezalpat, and any future product candidates.</w:t>
      </w:r>
    </w:p>
    <w:p>
      <w:pPr>
        <w:spacing w:after="0" w:line="1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biopharmaceutical industry, and the immuno-oncology industry specifically, is characterized by intense competition and rapid innovation. We are aware of other companies focused on developing cancer therapies in various indications. We may also face competition from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potential competitors, alone or with their strategic partners, may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 products, which could result in our competitors establishing a strong market position before we are able to enter the market, if ever. Additionally, new or advanced technologies developed by our competitors may render our current or future product candidates uneconomical or obsolete, and we may not be successful in marketing our product candidates against competitors.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product candidates with significant market potential, which will require us to be successful in a range of challenging activities. 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common stock and could impair our ability to raise capital, maintain our research and development efforts, expand our business or continue operations. A decline in the value of our common stock also could cause you to lose all or part of your investment.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to manufacture our clinical product supplies, and we may have to rely on third parties to produce and process our product candidates, if approved.</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must currently rely on outside vendors to manufacture supplies and process our product candidates. We have not yet manufactured or processed our product candidates on a commercial scale and may not be able to achieve manufacturing and processing and may be unable to create an inventory of mass-produced, off-the-shelf product to satisfy demands for any of our product candidates.</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 In addition, we anticipate reliance on a limited number of third-party manufacturers exposes us to the following risks:</w:t>
      </w:r>
    </w:p>
    <w:p>
      <w:pPr>
        <w:spacing w:after="0" w:line="74" w:lineRule="exact"/>
        <w:rPr>
          <w:sz w:val="20"/>
          <w:szCs w:val="20"/>
          <w:color w:val="auto"/>
        </w:rPr>
      </w:pPr>
    </w:p>
    <w:p>
      <w:pPr>
        <w:jc w:val="both"/>
        <w:ind w:left="1020" w:hanging="504"/>
        <w:spacing w:after="0" w:line="26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20" w:right="80" w:hanging="504"/>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timely formulate and manufacture our product or produce the quantity and quality required to meet our clinical and commercial needs, if any.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may not be able to execute our manufacturing procedures appropriately.</w:t>
      </w:r>
    </w:p>
    <w:p>
      <w:pPr>
        <w:spacing w:after="0" w:line="116"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contract manufacturers may not perform as agreed or may not remain in the contract manufacturing business for the time required to supply our clinical trials or to successfully produce, store and distribute our products.</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spacing w:after="0" w:line="69"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could breach or terminate their agreement(s) with us.</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contract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1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our ability to obtain marketing approval, or our ability to provide supply of our product candidates for patients, if approved, could be delayed or stopped.</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establish manufacturing relationships with a limited number of suppliers to manufacture raw materials, the drug substance and finished product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process of manufacturing drugs is complex, highly 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CMOs are not in compliance with FDA laws and regulations, including those governing cGMP, the FDA may deny an NDA approval until the deficiencies are corrected or we replace the manufacturer in our NDA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cGMP. Furthermore, although we do not have day-to-day control over the operations of our CMOs, we are responsible for ensuring compliance with applicable laws and regulations, including cGMP.</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we will rely upon a limited number of manufacturers for our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do not have an organization for the sales, marketing and distribution of TPST-1495, amezalpat or any future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TPST-1495, amezalpat and any future product candidates, including in markets outside of the United States or for other large markets that are beyond our resources. This will reduce the revenue generated from the sales of these products.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marketing and sales force, or if our potential future strategic alliance partners do not successfully commercialize the product candidates, our ability to generate revenues from product sales will be adversely affected.</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finding strategic collaborators for continuing development of certain of our future product candidates or successfully commercializing or competing in the market for certain indications.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future, we may decide to collaborate with non-profit organizations, universities and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expense. If we elect to increase our expenditures to fund development or commercialization activities on our product candidates,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or any failure by our partners to perform their obligations under collaboration agreements, would adversely affect us financially and could harm our business reputation or negatively impact our ability to successfully develop, obtain regulatory approvals for and commercialize our product candidates.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regulatory approval process is lengthy and time consuming, and we may experience significant delays in the clinical development and regulatory approval of our product candidates.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clinical or other data. Even if we eventually complete clinical testing and receive approval for our product candidates, the FDA may approve our product candidates for a more limited indication or a narrower patient population than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experience delays in obtaining regulatory approvals, including but not limited to:</w:t>
      </w:r>
    </w:p>
    <w:p>
      <w:pPr>
        <w:spacing w:after="0" w:line="225" w:lineRule="exact"/>
        <w:rPr>
          <w:sz w:val="20"/>
          <w:szCs w:val="20"/>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 to begin a trial, if applicable;</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study protocols and need to conduct additional studies as may be required by a regulator;</w:t>
      </w:r>
    </w:p>
    <w:p>
      <w:pPr>
        <w:spacing w:after="0" w:line="22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and changes in regulation or policy relating to the development and commercialization of our product candidate by the FDA or other comparable foreign regulatory authorities;</w:t>
      </w:r>
    </w:p>
    <w:p>
      <w:pPr>
        <w:spacing w:after="0" w:line="162"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and other comparable foreign regulatory authorities;</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the planned trials;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the terms of any collaboration agreements we may choose to initiate or conclude;</w:t>
      </w:r>
    </w:p>
    <w:p>
      <w:pPr>
        <w:spacing w:after="0" w:line="22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contractors, such as CROs, or investigators to comply with regulatory requirements, including GCPs;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the necessary approvals from regulators or institutional review boards (“IRBs”), in order to commence a clinical trial at a prospective trial site, or their suspension or termination of a clinical trial once commenced;</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and enroll suitable patients to participate in a trial;</w:t>
      </w:r>
    </w:p>
    <w:p>
      <w:pPr>
        <w:spacing w:after="0" w:line="22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including having patients enrolled in clinical trials dropping out of the trial before the product candidate is manufactured and returned to the site, or return for post-treatment follow-up;</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having patients complete a trial or return for post-treatment follow-up;</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patient safety concerns that arise during the course of a trial;</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add new clinical trial sites; or</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the data generated from our preclinical or clinical trials;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expanding and scaling manufacturing capabilities;</w:t>
      </w:r>
    </w:p>
    <w:p>
      <w:pPr>
        <w:spacing w:after="0" w:line="22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or obtain from third parties, sufficient quantities of qualified materials under cGMP, for the completion in pre-clinical and clinical studies;</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biopharmaceutical product candidate storage, stability and distribution resulting in global supply chain disruptions;</w:t>
      </w:r>
    </w:p>
    <w:p>
      <w:pPr>
        <w:spacing w:after="0" w:line="22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 for which we may receive regulatory approval in regions where we choose to commercialize our products on our own; or</w:t>
      </w:r>
    </w:p>
    <w:p>
      <w:pPr>
        <w:spacing w:after="0" w:line="162" w:lineRule="exact"/>
        <w:rPr>
          <w:rFonts w:ascii="Times New Roman" w:cs="Times New Roman" w:eastAsia="Times New Roman" w:hAnsi="Times New Roman"/>
          <w:sz w:val="18"/>
          <w:szCs w:val="18"/>
          <w:color w:val="auto"/>
        </w:rPr>
      </w:pPr>
    </w:p>
    <w:p>
      <w:pPr>
        <w:jc w:val="both"/>
        <w:ind w:left="1020" w:hanging="504"/>
        <w:spacing w:after="0" w:line="260"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or market fluctuations that delay our product development or clinical trials and increase our costs or expenses, such as business or operational disruptions, delays, or system failures due to malware, unauthorized access, terrorism, war, natural disasters, strikes, geopolitical conflicts (such as the Russia-Ukraine war and the war in Israel), restrictions on trade, import or export restrictions, or public health crises.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9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may ultimately lead to the denial of regulatory approval of our product candidates.</w:t>
      </w:r>
    </w:p>
    <w:p>
      <w:pPr>
        <w:spacing w:after="0" w:line="1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or Fast Track designation by the FDA for one or more of our product candidates but may not receive such designation. Even if we secure such designation, it may not lead to a faster development or regulatory review or approval process and it does not increase the likelihood that our product candidates will receive marketing approval.</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Breakthrough Therapy or Fast Track designation for some of our product candidates.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a drug company can submit completed sections of our NDA for review by FDA, rather than waiting until every section of our NDA is completed before the entire application can be reviewed. NDA review usually does not begin until the entire application has been submitted to the FDA.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has broad discretion whether or not to grant these designations, so even if we believe a particular product candidate is eligible, we cannot assure that the FDA would decide to grant the designation. Even if we obtain Fast Track designation and/or Breakthrough Therapy designation for one or more of our product candidates, it may not experience a faster development 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w:t>
      </w:r>
    </w:p>
    <w:p>
      <w:pPr>
        <w:spacing w:after="0" w:line="17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FDA approval of our product candidates through the accelerated approval pathway. If we are unable to obtain accelerated approval, we may be required to conduct additional preclinical studies or clinical trials beyond those that we currently contemplate, which could increase the expense of obtaining, and delay the receipt of, necessary marketing approvals.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our product candidate is not shown to be safe and effective under the conditions of use, the FDA may withdraw its approval of the drug on an expedited basis.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decide to submit an NDA seeking accelerated approval or receive an expedited regulatory designation for any of our product candidates, there can be no assurance that such submission or application will be accepted or that any expedited development, review or approval will be granted on a timely basis, or at all.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Failure to obtain accelerated approval or any other form of expedited development, review or approval for our product candidates would result in a longer time period to commercialization of such product candidate, if any, and could increase the cost of development of such product candidate harm our competitive position in the marketplace.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obtaining Orphan Drug Designation for our product candidates or transfer of designations obtained by others for future product candidates, and, even if we obtain such designation, we may be unable to maintain the benefits associated with Orphan Drug Designation, including the potential for market exclusivity.</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or a patient population greater than 200,000 in the United States when there is no reasonable expectation that the cost of developing and making available the drug in the United States will be recovered from sales in the United States for that drug. Orphan drug designation must be requested before submitting an NDA. In the United States, Orphan Drug Designation entitles a party to financial incentives such as opportunities for tax credits for qualified clinical research costs and exemption from prescription drug user fees. Generally, if a drug with an Orphan Drug Designation subsequently receives the first marketing approval for the indication for which it has such designation, the drug is entitled to a period of marketing exclusivity, which precludes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not be able to obtain approval of our drug by the applicable regulatory authority for a significant period of time unless we are able to show that our drug is clinically superior to the approved drug. The applicable period is seven years in the United States.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seek Orphan Drug Designation for one or more of our product candidates in the United States as part of our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may increase the difficulty and cost for us to commercialize and obtain marketing approval of our product candidates and may affect the prices we may set.</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of 2010, or collectively the Affordable Care Act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ACA contains provisions that may potentially affect the profitability of our product candidates, if approved,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and expansion of the entities eligible for discounts under the 340B Drug Pricing Program.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Congress has not passed legislation to comprehensively repeal the ACA, legislation affecting the ACA has been signed into law, including the Tax Cuts and Jobs Act of 2017, which eliminated, effective January 1, 2019, the tax-based shared responsibility payment imposed by the ACA on certain individuals who fail to maintain qualifying health coverage for all or part of a year, which is commonly referred to as the “individual mandate.” On June 17, 2021, the U.S. Supreme Court dismissed the most recent judicial challenge to the ACA brought by several states without specifically ruling on the constitutionality of the law. In addition, on August 16, 2022, President Biden signed the Inflation Reduction Act of 2022 (“IRA”) into law, which among other things, extends enhanced subsidies for individuals purchasing health insurance coverage in ACA through plan year 2025. The IRA also reduces the "donut hole" under the Medicare Part D program beginning in 2025 by significantly lowering the beneficiary maximum out-of-pocket cost and through a newly established manufacturer discount program. In the future, there may be other efforts to challenge, repeal or replace the ACA. It is unclear how many such challenges and the healthcare reform measures of the Biden administration will impact the ACA and our business. We are continuing to monitor any changes to the ACA that, in turn, may potentially impact our business in the future.</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Recently, the cost of prescription pharmaceuticals has been the subject of considerable discussion in the United States at both the federal and state levels. While several proposed reform measures will require Congress to pass legislation to become effective, Congress and the Biden administration have each indicated that it will seek new legislative and/or administrative measures to address prescription drug costs. Since the Presidential inauguration, the Biden administration has taken several executive actions that signal changes in policy from the prior administration. For example, on July 9, 2021, President Biden signed an executive order to promote competition in the U.S. economy that included several initiatives aimed prescription drugs. Among other provisions, the executive order directed the Secretary of the U.S. Department of Health and Human Services (“HHS”) to issue a report to the White House that includes a plan to, among other things, reduce prices for prescription drugs, including prices paid by the federal government for such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 disclosure and transparency measures that require detailed reporting of drug pricing and marketing information both at product launch and in the event of a price increase; and, in some cases, measures designed to encourage importation from other countries and bulk purchasing.</w:t>
      </w:r>
    </w:p>
    <w:p>
      <w:pPr>
        <w:spacing w:after="0" w:line="2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expect that the ACA and the IRA,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process may significantly delay or prevent marketing approval, as well as subject us to more stringent product labeling and post-marketing testing and other requirements.</w:t>
      </w:r>
    </w:p>
    <w:p>
      <w:pPr>
        <w:spacing w:after="0" w:line="1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FDA’s ability to review and approve new products may be hindered by a variety of factors, including budget and funding levels, ability to hire and retain key personnel, statutory, regulatory and policy changes and global health concerns.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spacing w:after="0" w:line="1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and rules, contractual obligations, industry standards, policies and other obligations related to data privacy and security, and our failure to comply with them could harm our business.</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transmit, and share (collectively, process) a large quantity of sensitive information, including confidential business and patient health information in connection with our preclinical and clinical studies.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there are numerous federal and state privacy and data security laws and regulations governing the processing of personal data, including health information privacy laws, security breach notification laws, consumer protection laws, and other similar laws (e.g., wiretapping laws). Each of these laws is subject to varying interpretations and constantly evolving. In addition, we obtain health information from third parties (including research institutions from which it obtains clinical trial data) that are subject to privacy and security requirements under the Health Insurance Portability and Accountability Act of 1996 (“HIPAA”), which imposes specific requirements relating to the privacy, security, and transmission of protected health information.</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states have also adopted comprehensive privacy laws and regulations that impose certain obligations on covered businesses, including providing specific disclosures in privacy notices and affording residents with certain rights concerning their personal data. For example, the California Consumer Privacy Act, as amended by the California Privacy Rights Act (collectively, the “CCPA”) gives California residents expanded rights to access and delete their personal data, opt out of certain personal data sharing, and receive detailed information about how their personal information is used. The CCPA provides for civil penalties for violations, as well as a private right of action for data breaches that is expected to increase data breach litigation. Although the CCPA exempts some data processed in the context of clinical trials, the CCPA may increase our compliance costs and potential liability. Similar laws are being considered in several other states, as well as at the federal and local levels, and we expect more states to pass similar laws in the future.</w:t>
      </w:r>
    </w:p>
    <w:p>
      <w:pPr>
        <w:spacing w:after="0" w:line="1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in Canada, the Personal Information Protection and Electronic Documents Act (“PIPEDA”) and similar provincial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laws may impose obligations with respect to processing personal data, including health-related information. PIPEDA requires companies to obtain an individual’s consent when collecting, using or disclosing that individual’s personal data. Individuals have the right to access and challenge the accuracy of their personal data held by an organization, and personal data may only be used for the purposes for which it was collected. If an organization intends to use personal data for another purpose, it must again obtain that individual’s consent. Failure to comply with PIPEDA could result in significant fines and penalties.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another example, the European Union’s General Data Protection Regulation (the “EU GDPR”) and the United Kingdom’s GDPR (together with EU GDPR, “GDPR”) also impose strict requirements for processing personal data and substantial fines for breaches and violations (for example, under the EU GDPR, up to the greater of €20 million or 4% of our annual worldwide gross revenue). Additionally, under GDPR, companies may face temporary or definitive bans on data processing and other corrective action or private litigation related to processing of personal data brought by classes of data subjects or consumer protection organizations authorized at law to represent their interests.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and, we may become subject to such obligations in the future. We are also bound by contractual obligations related to data privacy and security, and our efforts to comply with such obligations may not be successful.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Compliance with these obligations is a rigorous and time-intensive process, and we may be required to put in place additional mechanisms designed to ensure compliance with these obligations. If we fail (or are perceived to have failed) to comply with any such obligations, we may face significant consequences, including without limitation government enforcement actions (e.g., investigations, fines and penalties, audits, inspections); litigation (including class-action claims) and mass arbitration demands); additional reporting requirements and/or oversight; bans on processing personal data; orders to destroy or not use personal data; imprisonment of company officials; or other consequences that could adversely affect our business, financial condition and results of operations.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upon which we rely, or our data, are or were compromised, we could experience adverse consequences, including disclosure of sensitive information, damage to our reputation, and significant financial and legal exposure.</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These threats are increasing in their frequency, sophistication and intensity, have become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Cyberattacks could include wrongful conduct by hostile foreign governments, industrial espionage, wire fraud and other forms of cyber fraud, the deployment of harmful malware, denial-of-service attacks, social engineering attacks (including through deep-fakes, which may be increasingly more difficult to identify as fake, and phishing attacks), malicious code (such as viruses and worms), credential stuffing attacks, credential harvesting, ransomware attacks, supply-chain attacks, software bugs, server malfunctions, software or hardware failures, loss of data, attacks enhanced or facilitated by artificial intelligence or other information technology assets, fraud or other means to threaten confidentiality, integrity and availability of our sensitive information. We and the third parties upon which we rely may also experience telecommunications failures, natural disasters, terrorism, war and other similar threats.</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particular, severe ransomware attacks are becoming increasingly prevalent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more of our employees work remotely, the risk of a cybersecurity incident potentially occurring, and our investment in risk mitigations against such an incident, is increasing. For example, there has been an increase in phishing and spam emails as well as social engineering attempts from “hackers.”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rely on third parties and their technology to operate critical business systems to process sensitive information, including our CROs, CMOs and other contractors, consultants and law and accounting firms. Our ability to monitor these third parties’ information security practices is limited, and these third parties may not have adequate information security measures in place. If these third parties experience a security incident or other interruption, we could experience adverse consequences. While we may be entitled to damages if our third-party partners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devote resources to protect our information systems, we realize that cyberattacks are a threat, and there can be no assurance that our efforts will prevent information security breaches. We take steps designed to detect, mitigate, and remediate vulnerabilities in our information systems (such as our and the third parties’ upon which we rely hardware and software).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services.</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sensitive information. 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successful or perceived security incident experienced by us or the third parties upon which we rely could cause serious negative consequences for us, including, without limitation, the disruption of operations, the misappropriation of sensitive information, disclosure of corporate strategic plans, material disruption of our development programs and our business operations, government enforcement actions (e.g., investigations, fines, penalties, audits, inspections), additional reporting requirements and/or oversight, restrictions on processing sensitive information, litigation, indemnification obligations, reputational harm, negative publicity, and other harms. For example, the loss of data from preclinical studies or clinical trials could result in significant delays in our regulatory approval efforts and significantly increase our costs to recover or reproduce the data. To the extent that any disruption or security incident were to result in a loss of, or damage to, our sensitive information or applications, or inappropriate disclosure of such information, we could incur liability, our competitive position could be harmed and the further development and commercialization of our product candidates could be significantly delayed.</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 and regulations in the United States and abroad,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could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or asserting our rights, those actions could have a significant impact on our business, including the imposition of significant fines or other sanctions.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Healthcare providers and third-party payors will play a primary role in the recommendation and prescription of any product candidates for which we obtain marketing approval. Our future arrangements with providers, 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under applicable U.S. federal and state healthcare laws and regulations include the following:</w:t>
      </w:r>
    </w:p>
    <w:p>
      <w:pPr>
        <w:spacing w:after="0" w:line="225" w:lineRule="exact"/>
        <w:rPr>
          <w:sz w:val="20"/>
          <w:szCs w:val="20"/>
          <w:color w:val="auto"/>
        </w:rPr>
      </w:pPr>
    </w:p>
    <w:p>
      <w:pPr>
        <w:jc w:val="both"/>
        <w:ind w:left="1020" w:hanging="504"/>
        <w:spacing w:after="0" w:line="25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 Violations of the federal Anti-Kickback Statute can result in significant civil monetary penalties and criminal fines, as well as imprisonment and exclusion from participation in federal health care programs;</w:t>
      </w:r>
    </w:p>
    <w:p>
      <w:pPr>
        <w:spacing w:after="0" w:line="185" w:lineRule="exact"/>
        <w:rPr>
          <w:rFonts w:ascii="Times New Roman" w:cs="Times New Roman" w:eastAsia="Times New Roman" w:hAnsi="Times New Roman"/>
          <w:sz w:val="18"/>
          <w:szCs w:val="18"/>
          <w:color w:val="auto"/>
        </w:rPr>
      </w:pPr>
    </w:p>
    <w:p>
      <w:pPr>
        <w:jc w:val="both"/>
        <w:ind w:left="1020" w:hanging="504"/>
        <w:spacing w:after="0" w:line="258"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U.S. federal Anti-Kickback Statute constitutes a false or fraudulent claim for purposes of the civil False Claims Act;</w:t>
      </w:r>
    </w:p>
    <w:p>
      <w:pPr>
        <w:spacing w:after="0" w:line="181" w:lineRule="exact"/>
        <w:rPr>
          <w:rFonts w:ascii="Times New Roman" w:cs="Times New Roman" w:eastAsia="Times New Roman" w:hAnsi="Times New Roman"/>
          <w:sz w:val="18"/>
          <w:szCs w:val="18"/>
          <w:color w:val="auto"/>
        </w:rPr>
      </w:pPr>
    </w:p>
    <w:p>
      <w:pPr>
        <w:jc w:val="both"/>
        <w:ind w:left="1020" w:hanging="504"/>
        <w:spacing w:after="0" w:line="26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Statute on False Statements Relating to Health Care Matters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81" w:lineRule="exact"/>
        <w:rPr>
          <w:rFonts w:ascii="Times New Roman" w:cs="Times New Roman" w:eastAsia="Times New Roman" w:hAnsi="Times New Roman"/>
          <w:sz w:val="18"/>
          <w:szCs w:val="18"/>
          <w:color w:val="auto"/>
        </w:rPr>
      </w:pPr>
    </w:p>
    <w:p>
      <w:pPr>
        <w:jc w:val="both"/>
        <w:ind w:left="1020" w:hanging="504"/>
        <w:spacing w:after="0" w:line="258"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181" w:lineRule="exact"/>
        <w:rPr>
          <w:rFonts w:ascii="Times New Roman" w:cs="Times New Roman" w:eastAsia="Times New Roman" w:hAnsi="Times New Roman"/>
          <w:sz w:val="18"/>
          <w:szCs w:val="18"/>
          <w:color w:val="auto"/>
        </w:rPr>
      </w:pPr>
    </w:p>
    <w:p>
      <w:pPr>
        <w:jc w:val="both"/>
        <w:ind w:left="1020" w:hanging="504"/>
        <w:spacing w:after="0" w:line="26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020" w:hanging="504"/>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(defined to include doctors, dentists, optometrists, podiatrists, and chiropractors), other healthcare professionals (such as physician assistants and nurse practitioners), and, teaching hospitals, as well as certain ownership and investment interests held by physicians and their immediate family;</w:t>
      </w:r>
    </w:p>
    <w:p>
      <w:pPr>
        <w:spacing w:after="0" w:line="181" w:lineRule="exact"/>
        <w:rPr>
          <w:rFonts w:ascii="Times New Roman" w:cs="Times New Roman" w:eastAsia="Times New Roman" w:hAnsi="Times New Roman"/>
          <w:sz w:val="18"/>
          <w:szCs w:val="18"/>
          <w:color w:val="auto"/>
        </w:rPr>
      </w:pPr>
    </w:p>
    <w:p>
      <w:pPr>
        <w:ind w:left="1020" w:right="560" w:hanging="504"/>
        <w:spacing w:after="0" w:line="265"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w:t>
      </w:r>
    </w:p>
    <w:p>
      <w:pPr>
        <w:spacing w:after="0" w:line="177"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spacing w:after="0" w:line="177" w:lineRule="exact"/>
        <w:rPr>
          <w:rFonts w:ascii="Times New Roman" w:cs="Times New Roman" w:eastAsia="Times New Roman" w:hAnsi="Times New Roman"/>
          <w:sz w:val="18"/>
          <w:szCs w:val="18"/>
          <w:color w:val="auto"/>
        </w:rPr>
      </w:pPr>
    </w:p>
    <w:p>
      <w:pPr>
        <w:jc w:val="both"/>
        <w:ind w:left="1020" w:hanging="504"/>
        <w:spacing w:after="0" w:line="254"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it may be costly to us in terms of money, time and resources, and we may be subject to criminal, civil or administrative sanctions, including exclusion from government-funded healthcare programs.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for costs and expenses, we may incur due to injuries to our employees resulting from the use of hazardous materials, this insurance may not provide adequate coverage against potential liabilities.</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materially adversely affect 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Act, enacted many significant changes to the U.S. tax laws, including changes in corporate tax rates, the utilization of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trade secret and other intellectual property protection of our proprietary technologies and product candidates, which include TPST-1495, amezalpat and any future product candidates we have in development,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 and our ability to commercialize any product candidates we may develop may be adversely affected.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activities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may be reliant on our licensors or licensees to do so.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in-licenses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and may in the future depend on intellectual property licensed from third parties, and our current or future licensors may not always act in our best interest. If we fail to comply with our obligations under our intellectual property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licenses, if the licenses are terminated, or if disputes regarding these licenses arise, we could lose significant rights that may be important to our business.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license intellectual property from the Regents of the University of California and may in the future depend on patents, know-how and proprietary technology licensed from third parties. Our licenses to such patents, know-how and proprietary technology may not provide exclusive rights in all relevant fields of use and in all territories in which we may wish to develop or commercialize our products in the future. The agreements under which we license patents, know-how and proprietary technology from others may be complex, and certain provisions in such agreements may be susceptible to multiple interpretations.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in the future need to obtain licenses from third parties to advance our research or allow commercialization of product candidates Tempest may develop. It is possible that we may be unable to obtain any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current or future licensors fail to adequately protect our licensed intellectual property, our ability to commercialize product candidates could suffer. We may not have complete control over the maintenance, prosecution and litigation of our current or future in-licensed patents and patent applications. For example, we cannot be certain that activities such as the maintenance and prosecution by our current or future licensors have been or will be conducted in compliance with applicable laws and regulations or will result in valid and enforceable patents and other intellectual property rights. It is possible that our current or future licensors’ infringement proceedings or defense activities may be less vigorous than had we conducted them ourselves or may not be conducted in accordance with our best interests.</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the resolution of any contract interpretation disagreement that may arise could narrow what we might believe to be the scope of our rights to the relevant patents, know-how and proprietary technology, or increase what we believe to be our financial or other obligations under the relevant agreement. Disputes that may arise between us and our current or future licensors regarding intellectual property subject to a license agreement could include disputes regarding:</w:t>
      </w:r>
    </w:p>
    <w:p>
      <w:pPr>
        <w:spacing w:after="0" w:line="182" w:lineRule="exact"/>
        <w:rPr>
          <w:sz w:val="20"/>
          <w:szCs w:val="20"/>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22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62"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milestone or other payment obligations that may result from the advancement or commercial sale of any of our product candidates; and</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pacing w:after="0" w:line="22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If disputes over intellectual property that we currently license or may license in the future prevent or impair our ability to maintain our licensing arrangements on acceptable terms, we may be unable to successfully develop and commercialize the affected technology or product candidates.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owned and in-licensed patents and patent applications may not provide sufficient protection of our product candidates or result in any competitive advantage.</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U.S. Patent and Trademark 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 adverse determination in any such submission, proceeding or litigation may result in loss of patent rights, loss of exclusivity, patent term adjustment being jeopardized, patent term being reduced,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or eliminated.</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Since patent applications in the United States and other countries are confidential for a period of time after filing or until issuance, at any moment in time, we cannot be certain that it was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 products and technology.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patents or other intellectual property rights, or will design around the claims of patents that we have had issued that cover our product candidates or their use. Likewise, our currently owned patents and patent applications, if issued as patents, directed to our proprietary technologies and our product candidates are expected to expire from 2033 through 2045, without taking into account any possible patent term adjustments or extensions. Our earliest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spacing w:after="0" w:line="1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63" w:lineRule="exact"/>
        <w:rPr>
          <w:sz w:val="20"/>
          <w:szCs w:val="20"/>
          <w:color w:val="auto"/>
        </w:rPr>
      </w:pPr>
    </w:p>
    <w:p>
      <w:pPr>
        <w:ind w:left="1020" w:hanging="504"/>
        <w:spacing w:after="0" w:line="28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that are similar to the active compositions of our product candidates but that are not covered by the claims of our patents;</w:t>
      </w:r>
    </w:p>
    <w:p>
      <w:pPr>
        <w:spacing w:after="0" w:line="162"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APIs in our current product candidates will eventually become commercially available in generic drug products, and no patent protection may be available with regard to formulation or method of use;</w:t>
      </w:r>
    </w:p>
    <w:p>
      <w:pPr>
        <w:spacing w:after="0" w:line="162"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as the case may be, may fail to meet our or our obligations to the U.S. government regarding any patents and patent applications funded by U.S. government grants, leading to the loss or unenforceability of patent rights;</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as the case may be, might not have been the first to file patent applications for certain inventions;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22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owned or in-licensed patents, as the case may be, or parts of our owned or in-licensed patents;</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22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62"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or our current or future licensors’, as the case may be, proprietary rights to the same extent as the laws of the United States;</w:t>
      </w:r>
    </w:p>
    <w:p>
      <w:pPr>
        <w:spacing w:after="0" w:line="162"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adequately cover our product candidates;</w:t>
      </w:r>
    </w:p>
    <w:p>
      <w:pPr>
        <w:spacing w:after="0" w:line="162"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62"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020" w:hanging="504"/>
        <w:spacing w:after="0" w:line="265"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may omit individual(s) that should be listed as inventor(s) or include individual(s) that should not be listed as inventor(s), which may cause these patents or patents issuing from these patent applications to be held invalid or unenforceable or such omitted individuals may grant licenses to third parties;</w:t>
      </w:r>
    </w:p>
    <w:p>
      <w:pPr>
        <w:spacing w:after="0" w:line="177"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or diagnostic tests we develop may be covered by third parties’ patents or other exclusive rights; or</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conditions,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 of obtaining rights to key technologies through in-licenses may not be successful.</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future growth of our business may depend in part on our ability to in-license or otherwise acquire the rights to additional product candidates and technologies. We cannot assure you that we will be able to in-license or acquire the rights to any product candidates or technologies from third parties on acceptable terms or at all.</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our agreements with certain of our third-party research partners provide that improvements developed in the course of our relationship may be owned solely by either we or our third-party research partner, or jointly between us and the third party. If we determine that exclusive rights to such improvements 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are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(or as otherwise permitted by applicable law),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conducts training that provides guidance on our expectations, and our advice for best practices, in protecting our trade secrets. Despite these efforts, any of these parties may breach the agreements and disclose our proprietary information, including our trade secrets, and we may not be able to obtain adequate remedies for such breaches.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through other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 misappropriated, such as through a security incident, or if any of that information was independently developed by a competitor, our competitive position could be harmed. Additionally, certain trade secret and proprietary information may be required to be disclosed in submissions to regulatory authorities. If such authorities do not maintain the confidential basis of such information or disclose it as part of the basis of regulatory approval, our competitive position could be adversely affected.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courts outside the United States are sometimes less willing to protect trade secrets. If we choose to go to court to stop a third party from using any of our trade secrets, we may incur substantial costs. Even if we are successful, these types of lawsuits may result in substantial cost and require significant time from our scientists and management. Although we take steps to protect our proprietary information and trade secrets, third parties may independently develop substantially equivalent proprietary information and techniques or otherwise gain access to our trade secrets or disclose our technology, through legal or illegal means. As a result, we may not be able to meaningfully protect our trade secrets. Any of the foregoing could have a material adverse effect on our business, financial condition, results of operations and prospects.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delay or otherwise interfere with our product discovery and development efforts.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misappropriating or otherwise violating the intellectual property or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As the biotechnology and pharmaceutical industries expand and more patents are issued,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spacing w:after="0" w:line="18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their intellectual property rights, we may face a number of issues, including, but not limited to:</w:t>
      </w:r>
    </w:p>
    <w:p>
      <w:pPr>
        <w:spacing w:after="0" w:line="163" w:lineRule="exact"/>
        <w:rPr>
          <w:sz w:val="20"/>
          <w:szCs w:val="20"/>
          <w:color w:val="auto"/>
        </w:rPr>
      </w:pPr>
    </w:p>
    <w:p>
      <w:pPr>
        <w:ind w:left="1020" w:right="60" w:hanging="504"/>
        <w:spacing w:after="0" w:line="28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that, regardless of merit, may be expensive and time-consuming to litigate and may divert our management’s attention from our core business;</w:t>
      </w:r>
    </w:p>
    <w:p>
      <w:pPr>
        <w:spacing w:after="0" w:line="162"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spacing w:after="0" w:line="177"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third-party licenses our product rights or proprietary technology to us, which it is not required to do, on commercially reasonable terms or at all;</w:t>
      </w:r>
    </w:p>
    <w:p>
      <w:pPr>
        <w:spacing w:after="0" w:line="177"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 candidates;</w:t>
      </w:r>
    </w:p>
    <w:p>
      <w:pPr>
        <w:spacing w:after="0" w:line="162"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redesign our product candidates or processes so they do not infringe, which may not be possible or may require substantial monetary expenditures and time; and</w:t>
      </w:r>
    </w:p>
    <w:p>
      <w:pPr>
        <w:spacing w:after="0" w:line="162"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including by enforcing our patents against us by filing a patent infringement lawsuit against us. In this regard, patents issued in the United States by law enjoy a presumption of validity that can be rebutted only with evidence that is “clear and convincing,” a heightened standard of proof.</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may be third-party patents of which we are currently unaware of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 upon these patents.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that event, we would be unable to further develop and commercialize our product candidates, which could significantly harm our business.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 and could result in a finding that such patents are unenforceable or invalid.</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 xml:space="preserve">Conversely, we may choose to challenge the patentability of claims in a third party’s U.S. patent by requesting that the USPTO review the patent claims in re-examination,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management’s efforts and attention from other aspects of our business. Proceedings to enforce our patent rights in foreign jurisdictions could result in substantial costs and divert management’s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the Russia-Ukraine war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Third parties may assert that our employees or consultants have wrongfully used or disclosed confidential information or misappropriated trade secrets.</w:t>
      </w:r>
    </w:p>
    <w:p>
      <w:pPr>
        <w:spacing w:after="0" w:line="2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As is common in the biotechnology and pharmaceutical industries, we employ individuals who were previously employed at universities or other biopharmaceutical or pharmaceutical companies, including our competitors or potential competitors. Although we try to ensure that our employees and consultants do not use the proprietary information or know-how of others in their work for us, we may be subject to claims that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product candidates.</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Past or future patent reform legislation could increase the uncertainties and costs surrounding the prosecution of our patent applications and the enforcement or defense of our issued patents. For example, in March 2013, under the Leahy-Smith America Invents Act (“America Invents Act”), the United States moved from a “first to 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our implementation could increase the uncertainties and costs surrounding the prosecution of our patent applications and the enforcement or defense of our issued patents.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by the federal courts, the U.S. Congress or the USPTO may impact the value of our patent rights. For example, the Federal Circuit recently issued a decision involving the interaction of patent term adjustment (PTA), terminal disclaimers, and obviousness-type double patenting. This decision creates uncertainty to the patent terms of certain U.S. patents that share the same priority claim where on expires later than another due to accrued PTA. Depending on decisions by the U.S. Congress, the federal courts and the USPTO, the laws and regulations governing patents could change in unpredictable ways that would weaken our ability to obtain new patents or to enforce our existing patents and patents that we might obtain or license in the future. For example, in the case, Assoc. for Molecular Pathology v. Myriad Genetics, Inc., the U.S. Supreme Court held that certain claims to DNA molecules are not patent-eligible.</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Similarly, other cases by the U.S. Supreme Court have held that certain methods of treatment or diagnosis are not patent-eligible. U.S. law regarding patent-eligibility continues to evolve. While we do not believe that any of our patents will be found invalid based on these changes to U.S. patent law, we cannot predict how future decisions by the courts, the U.S. Congress or the USPTO may impact the value of our patents and patent applications. Any similar adverse changes in the patent laws of other jurisdictions could also have a material adverse effect on our business, financial condition, results of operations and prospects.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further example, as of June 1, 2023, European patent applications and patents may be subjected to the jurisdiction of the Unified Patent Court (UPC). In 2012, the European Union Patent Package (The “EU Patent Package”) regulations were passed with the goal of providing a single pan-European Unitary Patent and a new European UPC for litigation involving European patents. The EU Patent Package was implemented on June 1, 2023. As a result, all European patents, including those issued prior to ratification of the EU Patent Package, now by default automatically fall under the jurisdiction of the UPC. European patent applications will have the option, upon grant of a patent, of becoming a Unitary Patent, which will be subject to the jurisdiction of the UPC. The UPC and Unitary Patent are significant changes in European patent practice.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As the UPC is a new court system, there is no precedent for the court, increasing the uncertainty of any litigation in the UPC. As a single court system can invalidate a</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European patent, we, where applicable, may opt out of the UPC and as such, each European patent would need to be challenged in each individual country. We may decide to opt out future European patents from the UPC, but doing so may preclude us from realizing the benefits of the UPC. Moreover, if we do not meet all of the opt-out formalities and requirements under the UPC, our future European patents could remain under the jurisdiction of the UPC. The UPC will provide our competitors with a new forum to centrally revoke our European patents, and allow for the possibility of a competitor to obtain pan-European injunctions. Such a loss of patent protection could have a material adverse impact on our business and our ability to commercialize our technology and product candidates due to increased competition and, resultantly, on our financial condition, prospects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any product candidates it may develop, our business may be materially harmed.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U.S. and ex-U.S. law concerning patent term extensions and foreign equivalents continue to evolve. Even if we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of extension or the scope of patent protection afforded could be less than we request. If we are unable to obtain patent term extension or term of any such extension is less than it requests, our competitors may obtain approval of competing products following our patent expiration sooner than expected, and our business, financial condition, results of operations and prospects could be materially harmed.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Intellectual property discovered through government funded programs may be subject to federal regulations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march-in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rights, certain reporting requirements and a preference for U.S.-based companies. Compliance with such regulations may limit our exclusive rights and limit our ability to contract with non-U.S. manufacturers.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patent application in-licensed from the Regents of the University of California has been supported through the use of U.S. government funding awarded by the National Institutes of Health. Although we do not currently own issued patents or pending patent applications that have been generated through the use of U.S. government funding, we may acquire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8"/>
        <w:spacing w:after="0" w:line="252" w:lineRule="auto"/>
        <w:tabs>
          <w:tab w:leader="none" w:pos="27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steps have not been taken to commercialize the invention; (2) government action is necessary to meet public health or safety needs; or (3) government action is necessary to meet requirements for public use under federal regulations (also referred to as march-in rights). Recently, the government released a draft framework that may be used by an agency when deciding to exercise its march-in rights for public comments, and as such, the framework for deciding when march-in rights are exercised may change. If the U.S. government exercised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Other General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is likely to continue to be volatile, and purchasers of our common stock could incur substantial losses.</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continue to be volatile. For example, during 2023, the closing price of our common stock on The Nasdaq Capital Market ranged from $0.23 per share to $9.77 per share. Some of the factors that may cause the market price of our common stock to fluctuate include:</w:t>
      </w:r>
    </w:p>
    <w:p>
      <w:pPr>
        <w:spacing w:after="0" w:line="177" w:lineRule="exact"/>
        <w:rPr>
          <w:sz w:val="20"/>
          <w:szCs w:val="20"/>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22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162"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22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and continued development of our product candidates;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22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w:t>
      </w:r>
    </w:p>
    <w:p>
      <w:pPr>
        <w:spacing w:after="0" w:line="22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 such as the Russia-Ukraine war and the armed conflict in Israel and the Gaza Strip; and</w:t>
      </w:r>
    </w:p>
    <w:p>
      <w:pPr>
        <w:spacing w:after="0" w:line="17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share price.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volatility in the capital markets, significantly reduced liquidity and credit availability, decreases in consumer demand and confidence, declines in economic growth, increases in unemployment rates and uncertainty about economic stability. Our general business strategy may be materially or adversely impacted by if these unpredictable and unstable market conditions continue. Additionally, the recent bank closures and geopolitical tensions, like the Russia-Ukraine war and the war in Israel, has created extreme volatility in the global capital markets and is expected to have further global economic consequences, including disruptions of the global supply chain and energy markets. Any such volatility and disruptions may have adverse consequences for us or the third parties on whom we rely. If the equity and credit markets deteriorate, including as a result of future bank closures or political unrest or war, it may make any necessary debt or equity financing more difficult to obtain in a timely manner or on favorable terms, more costly or more dilutive. Inflation can adversely affect us by increasing our costs, including salary costs. Any significant increases in inflation and related increase in interest rates could have a material adverse effect on our business, results of operations and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financial condition. A weak or declining economy could also strain our suppliers and manufacturers, possibly resulting in supply and clinical trial disruption. Any of the foregoing could harm our business and we cannot anticipate all of the ways in which the current economic climate and financial market conditions could adversely impact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thinly traded and our stockholders may be unable to sell their shares quickly or at market price.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had periods of high-volume daily trading in our common stock, generally our stock is thinly traded. As a consequence of this lack of liquidity, the trading of relatively small quantities of shares by our stockholders may disproportionately influence the price of those shares in either direction. Our common stock price could, for example, decline significantly as a result of sales of a large number of shares of our common stock on the market without commensurate demand, as compared to a seasoned issuer that could better absorb those sales without adverse impact on its share price, or from the perception that these sales could occur.</w:t>
      </w:r>
    </w:p>
    <w:p>
      <w:pPr>
        <w:spacing w:after="0" w:line="1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reporting requirements applicable to smaller reporting companies may make our common stock less attractive to investors.</w:t>
      </w:r>
    </w:p>
    <w:p>
      <w:pPr>
        <w:spacing w:after="0" w:line="15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are a “smaller reporting company” as defined in Section 12 of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Sarbanes-Oxley Act of 2002, reduced disclosure obligations regarding executive compensation in our periodic reports and proxy statements,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Status as a Public Company and Other General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incur increased costs as a result of operating as a public company, and our management is required to devote substantial time to compliance with our public company responsibilities and corporate governance practices.</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continue to incur significant legal, accounting and other expenses. The Sarbanes-Oxley Act, the Dodd-Frank Wall Street Reform and Consumer Protection Act, the listing requirements of the Nasdaq Stock Market (Nasdaq)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For example, in September 2023, we received a notice from Nasdaq notifying us that for the previous 30 consecutive business days, the bid price of our common stock had closed below $1.00 per share, the minimum closing bid price required by the continued listing requirements of Nasdaq Listing Rule 5550(a)(2). We were able to achieve compliance within the 180 calendar day compliance period, but there can be no assurance that we will remain in compliance with the requirements for listing our common stock on Nasdaq. Delisting could adversely affect our ability to raise additional capital through the public or private sale of equity securities, would significantly affect the ability of investors to trade our securities and would negatively affect the value and liquidity of our common shares. Delisting could also have other negative results, including the potential loss of confidence by employees, the loss of institutional investor interest and fewer business development opportunities. Also, we expect that these rules and regulations may make it more difficult and more expensive for us to obtain directors’ and officers’ liability insurance, compared to when we were a private company, which could make it more difficult for us to attract and retain qualified members of our board of directors.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a report by management on, among other things, the effectiveness of our internal control over financial reporting. We will not be required to have our auditors formally attest to the effectiveness of our internal control over financial reporting until we cease to be a smaller reporting company.</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We cannot assure you that there will not be material weaknesses or significant deficiencies in the internal control over financial reporting in the future.</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accurately report our financial condition, results of operations or cash flows.</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other calamities, including public health crises, and our business continuity and disaster recovery plans may not adequately protect us from a serious disaster.</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such as data storage, it may be difficult or, in certain cases, impossible for us to continue our business for a substantial period of time.</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face an inherent risk of product liability exposure related to the testing of our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spacing w:after="0" w:line="182" w:lineRule="exact"/>
        <w:rPr>
          <w:sz w:val="20"/>
          <w:szCs w:val="20"/>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that we may develop;</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collaboration relationships or disputes with our collaborators;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product recalls, withdrawals or labeling restrictions; and</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currently have insurance that we believe is appropriate for our stage of development, we may need to obtain higher levels prior to clinical development or marketing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6" w:lineRule="exact"/>
        <w:rPr>
          <w:sz w:val="20"/>
          <w:szCs w:val="20"/>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22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for nominations to our board of directors;</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actions by our stockholders by written consent;</w:t>
      </w:r>
    </w:p>
    <w:p>
      <w:pPr>
        <w:spacing w:after="0" w:line="22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be effected at a duly called stockholders meeting;</w:t>
      </w:r>
    </w:p>
    <w:p>
      <w:pPr>
        <w:spacing w:after="0" w:line="22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77"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in October 2023, we implemented a Rights Plan, also called a “poison pill,” that may have the effect of discouraging or preventing a change of control by, among other things, making it uneconomical for a third party to acquire us without the consent of our board of directors. The Rights will expire on October 10, 2024, or, if our stockholders approve the Rights Plan, on October 10, 2026, unless the Rights are earlier redeemed or exchanged by us.</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percent or more of our outstanding voting stock, unless the merger or combination is approved in a manner prescribed by the statute.</w:t>
      </w:r>
    </w:p>
    <w:p>
      <w:pPr>
        <w:spacing w:after="0" w:line="1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our growth as opposed to paying dividends. As a result, capital appreciation, if any, of our common stock will be your sole source of gain, if any, for the foreseeable future.</w:t>
      </w:r>
    </w:p>
    <w:p>
      <w:pPr>
        <w:spacing w:after="0" w:line="1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our stock price or trading volume to decline.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8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under the Exchange Act) adopted or terminated a “Rule 10b5-1 trading arrangement” or “non-Rule 10b5-1 trading arrangement,” as each term is defined in Item 408(a)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as part of this report.</w:t>
      </w:r>
    </w:p>
    <w:p>
      <w:pPr>
        <w:spacing w:after="0" w:line="274"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45720</wp:posOffset>
            </wp:positionV>
            <wp:extent cx="28428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42895"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Filed or</w:t>
            </w:r>
          </w:p>
        </w:tc>
        <w:tc>
          <w:tcPr>
            <w:tcW w:w="0" w:type="dxa"/>
            <w:vAlign w:val="bottom"/>
          </w:tcPr>
          <w:p>
            <w:pPr>
              <w:spacing w:after="0"/>
              <w:rPr>
                <w:sz w:val="1"/>
                <w:szCs w:val="1"/>
                <w:color w:val="auto"/>
              </w:rPr>
            </w:pPr>
          </w:p>
        </w:tc>
      </w:tr>
      <w:tr>
        <w:trPr>
          <w:trHeight w:val="202"/>
        </w:trPr>
        <w:tc>
          <w:tcPr>
            <w:tcW w:w="9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7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2"/>
        </w:trPr>
        <w:tc>
          <w:tcPr>
            <w:tcW w:w="9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60" w:type="dxa"/>
            <w:vAlign w:val="bottom"/>
          </w:tcPr>
          <w:p>
            <w:pPr>
              <w:spacing w:after="0"/>
              <w:rPr>
                <w:sz w:val="18"/>
                <w:szCs w:val="18"/>
                <w:color w:val="auto"/>
              </w:rPr>
            </w:pPr>
          </w:p>
        </w:tc>
        <w:tc>
          <w:tcPr>
            <w:tcW w:w="4920" w:type="dxa"/>
            <w:vAlign w:val="bottom"/>
            <w:gridSpan w:val="8"/>
          </w:tcPr>
          <w:p>
            <w:pPr>
              <w:ind w:left="136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76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Form</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46"/>
        </w:trPr>
        <w:tc>
          <w:tcPr>
            <w:tcW w:w="9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5680" w:type="dxa"/>
            <w:vAlign w:val="bottom"/>
            <w:gridSpan w:val="9"/>
          </w:tcPr>
          <w:p>
            <w:pPr>
              <w:spacing w:after="0"/>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Restated Certificate of Incorporation of the Registrant, as amended</w:t>
              </w:r>
            </w:hyperlink>
          </w:p>
        </w:tc>
        <w:tc>
          <w:tcPr>
            <w:tcW w:w="76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7"/>
              </w:rPr>
              <w:t>10-Q</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001-35890</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5/15/2019</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5680" w:type="dxa"/>
            <w:vAlign w:val="bottom"/>
            <w:gridSpan w:val="9"/>
          </w:tcPr>
          <w:p>
            <w:pPr>
              <w:spacing w:after="0"/>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Certificate of Amendment to the Restated Certificate of Incorporation of the Company,</w:t>
              </w:r>
            </w:hyperlink>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3.2</w:t>
            </w:r>
          </w:p>
        </w:tc>
        <w:tc>
          <w:tcPr>
            <w:tcW w:w="5680" w:type="dxa"/>
            <w:vAlign w:val="bottom"/>
            <w:gridSpan w:val="9"/>
          </w:tcPr>
          <w:p>
            <w:pPr>
              <w:spacing w:after="0" w:line="182"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as filed with the Secretary of State of the State of Delaware on June 24, 2021</w:t>
              </w:r>
            </w:hyperlink>
          </w:p>
        </w:tc>
        <w:tc>
          <w:tcPr>
            <w:tcW w:w="760" w:type="dxa"/>
            <w:vAlign w:val="bottom"/>
          </w:tcPr>
          <w:p>
            <w:pPr>
              <w:jc w:val="center"/>
              <w:ind w:left="79"/>
              <w:spacing w:after="0" w:line="182" w:lineRule="exact"/>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001-35890</w:t>
            </w:r>
          </w:p>
        </w:tc>
        <w:tc>
          <w:tcPr>
            <w:tcW w:w="7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3.1</w:t>
            </w:r>
          </w:p>
        </w:tc>
        <w:tc>
          <w:tcPr>
            <w:tcW w:w="102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6/28/2021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5680" w:type="dxa"/>
            <w:vAlign w:val="bottom"/>
            <w:gridSpan w:val="9"/>
          </w:tcPr>
          <w:p>
            <w:pPr>
              <w:spacing w:after="0"/>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Certificate of Amendment to the Restated Certificate of Incorporation of the Company,</w:t>
              </w:r>
            </w:hyperlink>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3.3</w:t>
            </w:r>
          </w:p>
        </w:tc>
        <w:tc>
          <w:tcPr>
            <w:tcW w:w="5680" w:type="dxa"/>
            <w:vAlign w:val="bottom"/>
            <w:gridSpan w:val="9"/>
          </w:tcPr>
          <w:p>
            <w:pPr>
              <w:spacing w:after="0" w:line="182" w:lineRule="exact"/>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as filed with the Secretary of State of the State of Delaware on June 25, 2021</w:t>
              </w:r>
            </w:hyperlink>
          </w:p>
        </w:tc>
        <w:tc>
          <w:tcPr>
            <w:tcW w:w="760" w:type="dxa"/>
            <w:vAlign w:val="bottom"/>
          </w:tcPr>
          <w:p>
            <w:pPr>
              <w:jc w:val="center"/>
              <w:ind w:left="79"/>
              <w:spacing w:after="0" w:line="182" w:lineRule="exact"/>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001-35890</w:t>
            </w:r>
          </w:p>
        </w:tc>
        <w:tc>
          <w:tcPr>
            <w:tcW w:w="7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3.2</w:t>
            </w:r>
          </w:p>
        </w:tc>
        <w:tc>
          <w:tcPr>
            <w:tcW w:w="102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6/28/2021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5680" w:type="dxa"/>
            <w:vAlign w:val="bottom"/>
            <w:gridSpan w:val="9"/>
          </w:tcPr>
          <w:p>
            <w:pPr>
              <w:spacing w:after="0"/>
              <w:rPr>
                <w:rFonts w:ascii="Times New Roman" w:cs="Times New Roman" w:eastAsia="Times New Roman" w:hAnsi="Times New Roman"/>
                <w:sz w:val="16"/>
                <w:szCs w:val="16"/>
                <w:color w:val="0000FF"/>
                <w:w w:val="99"/>
              </w:rPr>
            </w:pPr>
            <w:hyperlink r:id="rId244">
              <w:r>
                <w:rPr>
                  <w:rFonts w:ascii="Times New Roman" w:cs="Times New Roman" w:eastAsia="Times New Roman" w:hAnsi="Times New Roman"/>
                  <w:sz w:val="16"/>
                  <w:szCs w:val="16"/>
                  <w:color w:val="0000FF"/>
                  <w:w w:val="99"/>
                </w:rPr>
                <w:t>Certificate of Designation of Series A Junior Participating Preferred Stock filed with the</w:t>
              </w:r>
            </w:hyperlink>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3.4</w:t>
            </w:r>
          </w:p>
        </w:tc>
        <w:tc>
          <w:tcPr>
            <w:tcW w:w="5680" w:type="dxa"/>
            <w:vAlign w:val="bottom"/>
            <w:gridSpan w:val="9"/>
          </w:tcPr>
          <w:p>
            <w:pPr>
              <w:spacing w:after="0" w:line="182" w:lineRule="exact"/>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Secretary of State of the State of Delaware on October 10, 2023</w:t>
              </w:r>
            </w:hyperlink>
          </w:p>
        </w:tc>
        <w:tc>
          <w:tcPr>
            <w:tcW w:w="760" w:type="dxa"/>
            <w:vAlign w:val="bottom"/>
          </w:tcPr>
          <w:p>
            <w:pPr>
              <w:jc w:val="center"/>
              <w:ind w:left="79"/>
              <w:spacing w:after="0" w:line="182" w:lineRule="exact"/>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001-35890</w:t>
            </w:r>
          </w:p>
        </w:tc>
        <w:tc>
          <w:tcPr>
            <w:tcW w:w="7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3.1</w:t>
            </w:r>
          </w:p>
        </w:tc>
        <w:tc>
          <w:tcPr>
            <w:tcW w:w="102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10/11/2023</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5680" w:type="dxa"/>
            <w:vAlign w:val="bottom"/>
            <w:gridSpan w:val="9"/>
          </w:tcPr>
          <w:p>
            <w:pPr>
              <w:spacing w:after="0"/>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Amended and Restated Bylaws of the Registrant</w:t>
              </w:r>
            </w:hyperlink>
          </w:p>
        </w:tc>
        <w:tc>
          <w:tcPr>
            <w:tcW w:w="76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001-35890</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9/24/2021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56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 15d-14(a)</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5680" w:type="dxa"/>
            <w:vAlign w:val="bottom"/>
            <w:gridSpan w:val="9"/>
          </w:tcPr>
          <w:p>
            <w:pPr>
              <w:spacing w:after="0" w:line="182" w:lineRule="exact"/>
              <w:rPr>
                <w:sz w:val="20"/>
                <w:szCs w:val="20"/>
                <w:color w:val="auto"/>
              </w:rPr>
            </w:pPr>
            <w:r>
              <w:rPr>
                <w:rFonts w:ascii="Times New Roman" w:cs="Times New Roman" w:eastAsia="Times New Roman" w:hAnsi="Times New Roman"/>
                <w:sz w:val="16"/>
                <w:szCs w:val="16"/>
                <w:color w:val="0000FF"/>
              </w:rPr>
              <w:t>promulgated under the Securities Exchange Act of 1934, as adopted pursuant to Section</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31.1</w:t>
            </w:r>
          </w:p>
        </w:tc>
        <w:tc>
          <w:tcPr>
            <w:tcW w:w="5680" w:type="dxa"/>
            <w:vAlign w:val="bottom"/>
            <w:gridSpan w:val="9"/>
          </w:tcPr>
          <w:p>
            <w:pPr>
              <w:spacing w:after="0" w:line="182" w:lineRule="exact"/>
              <w:rPr>
                <w:sz w:val="20"/>
                <w:szCs w:val="20"/>
                <w:color w:val="auto"/>
              </w:rPr>
            </w:pPr>
            <w:r>
              <w:rPr>
                <w:rFonts w:ascii="Times New Roman" w:cs="Times New Roman" w:eastAsia="Times New Roman" w:hAnsi="Times New Roman"/>
                <w:sz w:val="16"/>
                <w:szCs w:val="16"/>
                <w:color w:val="0000FF"/>
              </w:rPr>
              <w:t>302 of the Sarbanes-Oxley Act of 2002</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jc w:val="center"/>
              <w:ind w:right="19"/>
              <w:spacing w:after="0" w:line="182" w:lineRule="exact"/>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EE"/>
            </w:tcBorders>
            <w:shd w:val="clear" w:color="auto" w:fill="0000FF"/>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56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 15d-14(a)</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82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5680" w:type="dxa"/>
            <w:vAlign w:val="bottom"/>
            <w:gridSpan w:val="9"/>
          </w:tcPr>
          <w:p>
            <w:pPr>
              <w:spacing w:after="0" w:line="182" w:lineRule="exact"/>
              <w:rPr>
                <w:sz w:val="20"/>
                <w:szCs w:val="20"/>
                <w:color w:val="auto"/>
              </w:rPr>
            </w:pPr>
            <w:r>
              <w:rPr>
                <w:rFonts w:ascii="Times New Roman" w:cs="Times New Roman" w:eastAsia="Times New Roman" w:hAnsi="Times New Roman"/>
                <w:sz w:val="16"/>
                <w:szCs w:val="16"/>
                <w:color w:val="0000FF"/>
              </w:rPr>
              <w:t>promulgated under the Securities Exchange Act of 1934, as adopted pursuant to section</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880" w:type="dxa"/>
            <w:vAlign w:val="bottom"/>
            <w:gridSpan w:val="7"/>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31.2</w:t>
            </w:r>
          </w:p>
        </w:tc>
        <w:tc>
          <w:tcPr>
            <w:tcW w:w="5680" w:type="dxa"/>
            <w:vAlign w:val="bottom"/>
            <w:gridSpan w:val="9"/>
          </w:tcPr>
          <w:p>
            <w:pPr>
              <w:spacing w:after="0" w:line="182" w:lineRule="exact"/>
              <w:rPr>
                <w:sz w:val="20"/>
                <w:szCs w:val="20"/>
                <w:color w:val="auto"/>
              </w:rPr>
            </w:pPr>
            <w:r>
              <w:rPr>
                <w:rFonts w:ascii="Times New Roman" w:cs="Times New Roman" w:eastAsia="Times New Roman" w:hAnsi="Times New Roman"/>
                <w:sz w:val="16"/>
                <w:szCs w:val="16"/>
                <w:color w:val="0000FF"/>
              </w:rPr>
              <w:t>302 of the Sarbanes-Oxley Act of 2002</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jc w:val="center"/>
              <w:ind w:right="19"/>
              <w:spacing w:after="0" w:line="182" w:lineRule="exact"/>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EE"/>
            </w:tcBorders>
            <w:shd w:val="clear" w:color="auto" w:fill="0000FF"/>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56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88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5680" w:type="dxa"/>
            <w:vAlign w:val="bottom"/>
            <w:gridSpan w:val="9"/>
          </w:tcPr>
          <w:p>
            <w:pPr>
              <w:spacing w:after="0" w:line="182" w:lineRule="exact"/>
              <w:rPr>
                <w:sz w:val="20"/>
                <w:szCs w:val="20"/>
                <w:color w:val="auto"/>
              </w:rPr>
            </w:pPr>
            <w:r>
              <w:rPr>
                <w:rFonts w:ascii="Times New Roman" w:cs="Times New Roman" w:eastAsia="Times New Roman" w:hAnsi="Times New Roman"/>
                <w:sz w:val="16"/>
                <w:szCs w:val="16"/>
                <w:color w:val="0000FF"/>
              </w:rPr>
              <w:t>Rules 13a-14(b) and 15d-14(b) promulgated under the Securities Exchange Act of 1934</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920" w:type="dxa"/>
            <w:vAlign w:val="bottom"/>
            <w:gridSpan w:val="8"/>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2"/>
              </w:rPr>
              <w:t>32.1</w:t>
            </w:r>
            <w:r>
              <w:rPr>
                <w:rFonts w:ascii="Times New Roman" w:cs="Times New Roman" w:eastAsia="Times New Roman" w:hAnsi="Times New Roman"/>
                <w:sz w:val="21"/>
                <w:szCs w:val="21"/>
                <w:color w:val="auto"/>
                <w:w w:val="92"/>
                <w:vertAlign w:val="superscript"/>
              </w:rPr>
              <w:t>^</w:t>
            </w:r>
          </w:p>
        </w:tc>
        <w:tc>
          <w:tcPr>
            <w:tcW w:w="5680" w:type="dxa"/>
            <w:vAlign w:val="bottom"/>
            <w:gridSpan w:val="9"/>
          </w:tcPr>
          <w:p>
            <w:pPr>
              <w:spacing w:after="0" w:line="182" w:lineRule="exact"/>
              <w:rPr>
                <w:sz w:val="20"/>
                <w:szCs w:val="20"/>
                <w:color w:val="auto"/>
              </w:rPr>
            </w:pPr>
            <w:r>
              <w:rPr>
                <w:rFonts w:ascii="Times New Roman" w:cs="Times New Roman" w:eastAsia="Times New Roman" w:hAnsi="Times New Roman"/>
                <w:sz w:val="16"/>
                <w:szCs w:val="16"/>
                <w:color w:val="0000FF"/>
              </w:rPr>
              <w:t>and 18 U.S.C. Section 1350, as adopted pursuant to section 906 of The Sarbanes-Oxley</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920" w:type="dxa"/>
            <w:vAlign w:val="bottom"/>
            <w:gridSpan w:val="8"/>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60" w:type="dxa"/>
            <w:vAlign w:val="bottom"/>
            <w:vMerge w:val="continue"/>
          </w:tcPr>
          <w:p>
            <w:pPr>
              <w:spacing w:after="0"/>
              <w:rPr>
                <w:sz w:val="15"/>
                <w:szCs w:val="15"/>
                <w:color w:val="auto"/>
              </w:rPr>
            </w:pPr>
          </w:p>
        </w:tc>
        <w:tc>
          <w:tcPr>
            <w:tcW w:w="5680" w:type="dxa"/>
            <w:vAlign w:val="bottom"/>
            <w:gridSpan w:val="9"/>
          </w:tcPr>
          <w:p>
            <w:pPr>
              <w:spacing w:after="0" w:line="182" w:lineRule="exact"/>
              <w:rPr>
                <w:sz w:val="20"/>
                <w:szCs w:val="20"/>
                <w:color w:val="auto"/>
              </w:rPr>
            </w:pPr>
            <w:r>
              <w:rPr>
                <w:rFonts w:ascii="Times New Roman" w:cs="Times New Roman" w:eastAsia="Times New Roman" w:hAnsi="Times New Roman"/>
                <w:sz w:val="16"/>
                <w:szCs w:val="16"/>
                <w:color w:val="0000FF"/>
              </w:rPr>
              <w:t>Act of 2002</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jc w:val="center"/>
              <w:ind w:right="19"/>
              <w:spacing w:after="0" w:line="182" w:lineRule="exact"/>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tcPr>
          <w:p>
            <w:pPr>
              <w:spacing w:after="0"/>
              <w:rPr>
                <w:sz w:val="24"/>
                <w:szCs w:val="24"/>
                <w:color w:val="auto"/>
              </w:rPr>
            </w:pPr>
          </w:p>
        </w:tc>
        <w:tc>
          <w:tcPr>
            <w:tcW w:w="56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 does not appear in the</w:t>
            </w: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101.INS</w:t>
            </w:r>
          </w:p>
        </w:tc>
        <w:tc>
          <w:tcPr>
            <w:tcW w:w="5680" w:type="dxa"/>
            <w:vAlign w:val="bottom"/>
            <w:gridSpan w:val="9"/>
          </w:tcPr>
          <w:p>
            <w:pPr>
              <w:spacing w:after="0"/>
              <w:rPr>
                <w:sz w:val="20"/>
                <w:szCs w:val="20"/>
                <w:color w:val="auto"/>
              </w:rPr>
            </w:pPr>
            <w:r>
              <w:rPr>
                <w:rFonts w:ascii="Times New Roman" w:cs="Times New Roman" w:eastAsia="Times New Roman" w:hAnsi="Times New Roman"/>
                <w:sz w:val="16"/>
                <w:szCs w:val="16"/>
                <w:color w:val="auto"/>
                <w:w w:val="99"/>
              </w:rPr>
              <w:t>Interactive Data File as its XBRL tags are embedded within the Inline XBRL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324"/>
        </w:trPr>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101.SCH</w:t>
            </w:r>
          </w:p>
        </w:tc>
        <w:tc>
          <w:tcPr>
            <w:tcW w:w="56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The cover page from the Company’s Quarterly Report on Form 10-Q for the quarter</w:t>
      </w:r>
    </w:p>
    <w:p>
      <w:pPr>
        <w:spacing w:after="0" w:line="26" w:lineRule="exact"/>
        <w:rPr>
          <w:sz w:val="20"/>
          <w:szCs w:val="20"/>
          <w:color w:val="auto"/>
        </w:rPr>
      </w:pPr>
    </w:p>
    <w:p>
      <w:pPr>
        <w:ind w:left="940" w:hanging="602"/>
        <w:spacing w:after="0"/>
        <w:tabs>
          <w:tab w:leader="none" w:pos="940"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ended June 30, 2024, has been formatted in Inline XBRL.</w:t>
      </w:r>
    </w:p>
    <w:p>
      <w:pPr>
        <w:spacing w:after="0" w:line="154" w:lineRule="exact"/>
        <w:rPr>
          <w:rFonts w:ascii="Times New Roman" w:cs="Times New Roman" w:eastAsia="Times New Roman" w:hAnsi="Times New Roman"/>
          <w:sz w:val="16"/>
          <w:szCs w:val="16"/>
          <w:color w:val="auto"/>
        </w:rPr>
      </w:pPr>
    </w:p>
    <w:p>
      <w:pPr>
        <w:jc w:val="both"/>
        <w:ind w:firstLine="8"/>
        <w:spacing w:after="0" w:line="265" w:lineRule="auto"/>
        <w:tabs>
          <w:tab w:leader="none" w:pos="15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78"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4226560</wp:posOffset>
            </wp:positionH>
            <wp:positionV relativeFrom="paragraph">
              <wp:posOffset>26035</wp:posOffset>
            </wp:positionV>
            <wp:extent cx="29114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2911475" cy="8255"/>
                    </a:xfrm>
                    <a:prstGeom prst="rect">
                      <a:avLst/>
                    </a:prstGeom>
                    <a:noFill/>
                  </pic:spPr>
                </pic:pic>
              </a:graphicData>
            </a:graphic>
          </wp:anchor>
        </w:drawing>
      </w:r>
    </w:p>
    <w:p>
      <w:pPr>
        <w:spacing w:after="0" w:line="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Stephen Brady</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 &amp; President (Principal Executive Officer)</w:t>
      </w:r>
    </w:p>
    <w:p>
      <w:pPr>
        <w:spacing w:after="0" w:line="200" w:lineRule="exact"/>
        <w:rPr>
          <w:sz w:val="20"/>
          <w:szCs w:val="20"/>
          <w:color w:val="auto"/>
        </w:rPr>
      </w:pPr>
    </w:p>
    <w:p>
      <w:pPr>
        <w:spacing w:after="0" w:line="321"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4226560</wp:posOffset>
            </wp:positionH>
            <wp:positionV relativeFrom="paragraph">
              <wp:posOffset>26035</wp:posOffset>
            </wp:positionV>
            <wp:extent cx="29114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2911475" cy="8255"/>
                    </a:xfrm>
                    <a:prstGeom prst="rect">
                      <a:avLst/>
                    </a:prstGeom>
                    <a:noFill/>
                  </pic:spPr>
                </pic:pic>
              </a:graphicData>
            </a:graphic>
          </wp:anchor>
        </w:drawing>
      </w:r>
    </w:p>
    <w:p>
      <w:pPr>
        <w:spacing w:after="0" w:line="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Vice-President, Strategy and Finance (Principal</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Brady, certify that:</w:t>
      </w:r>
    </w:p>
    <w:p>
      <w:pPr>
        <w:spacing w:after="0" w:line="225" w:lineRule="exact"/>
        <w:rPr>
          <w:sz w:val="20"/>
          <w:szCs w:val="20"/>
          <w:color w:val="auto"/>
        </w:rPr>
      </w:pPr>
    </w:p>
    <w:p>
      <w:pPr>
        <w:ind w:left="380" w:hanging="372"/>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Tempest Therapeutics, Inc.;</w:t>
      </w:r>
    </w:p>
    <w:p>
      <w:pPr>
        <w:spacing w:after="0" w:line="224"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78" w:lineRule="exact"/>
        <w:rPr>
          <w:sz w:val="20"/>
          <w:szCs w:val="20"/>
          <w:color w:val="auto"/>
        </w:rPr>
      </w:pPr>
    </w:p>
    <w:p>
      <w:pPr>
        <w:ind w:left="700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4714240</wp:posOffset>
            </wp:positionH>
            <wp:positionV relativeFrom="paragraph">
              <wp:posOffset>26035</wp:posOffset>
            </wp:positionV>
            <wp:extent cx="2423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2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Stephen Brady</w:t>
      </w:r>
    </w:p>
    <w:p>
      <w:pPr>
        <w:spacing w:after="0" w:line="3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Executive Officer &amp;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2" w:name="page83"/>
    <w:bookmarkEnd w:id="82"/>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Nicholas Maestas, certify that:</w:t>
      </w:r>
    </w:p>
    <w:p>
      <w:pPr>
        <w:spacing w:after="0" w:line="225" w:lineRule="exact"/>
        <w:rPr>
          <w:sz w:val="20"/>
          <w:szCs w:val="20"/>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Tempest Therapeutics, Inc.;</w:t>
      </w:r>
    </w:p>
    <w:p>
      <w:pPr>
        <w:spacing w:after="0" w:line="224"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78" w:lineRule="exact"/>
        <w:rPr>
          <w:sz w:val="20"/>
          <w:szCs w:val="20"/>
          <w:color w:val="auto"/>
        </w:rPr>
      </w:pPr>
    </w:p>
    <w:p>
      <w:pPr>
        <w:ind w:left="700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4714240</wp:posOffset>
            </wp:positionH>
            <wp:positionV relativeFrom="paragraph">
              <wp:posOffset>26035</wp:posOffset>
            </wp:positionV>
            <wp:extent cx="2423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2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3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Vice-President, Strategy and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Stephen Brady, Chief Executive Officer of Tempest Therapeutics, Inc. (the “Company”), and Nicholas Maestas, Vice President, Strategy and Finance, of the Company, each hereby certifies that, to the best of his or her knowledge:</w:t>
      </w:r>
    </w:p>
    <w:p>
      <w:pPr>
        <w:spacing w:after="0" w:line="177" w:lineRule="exact"/>
        <w:rPr>
          <w:sz w:val="20"/>
          <w:szCs w:val="20"/>
          <w:color w:val="auto"/>
        </w:rPr>
      </w:pPr>
    </w:p>
    <w:p>
      <w:pPr>
        <w:ind w:left="380" w:hanging="372"/>
        <w:spacing w:after="0" w:line="281"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2024, to which this Certification is attached as Exhibit 32.1 (the “Report”), fully complies with the requirements of Section 13(a) or Section 15(d) of the Exchange Act; and</w:t>
      </w:r>
    </w:p>
    <w:p>
      <w:pPr>
        <w:spacing w:after="0" w:line="162" w:lineRule="exact"/>
        <w:rPr>
          <w:rFonts w:ascii="Times New Roman" w:cs="Times New Roman" w:eastAsia="Times New Roman" w:hAnsi="Times New Roman"/>
          <w:sz w:val="18"/>
          <w:szCs w:val="18"/>
          <w:color w:val="auto"/>
        </w:rPr>
      </w:pPr>
    </w:p>
    <w:p>
      <w:pPr>
        <w:ind w:right="420" w:firstLine="8"/>
        <w:spacing w:after="0" w:line="531" w:lineRule="auto"/>
        <w:tabs>
          <w:tab w:leader="none" w:pos="37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August 8, 2024</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Stephen Brady</w:t>
            </w:r>
          </w:p>
        </w:tc>
        <w:tc>
          <w:tcPr>
            <w:tcW w:w="324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Nicholas Maestas</w:t>
            </w:r>
          </w:p>
        </w:tc>
      </w:tr>
      <w:tr>
        <w:trPr>
          <w:trHeight w:val="40"/>
        </w:trPr>
        <w:tc>
          <w:tcPr>
            <w:tcW w:w="4140" w:type="dxa"/>
            <w:vAlign w:val="bottom"/>
            <w:tcBorders>
              <w:bottom w:val="single" w:sz="8" w:color="auto"/>
            </w:tcBorders>
          </w:tcPr>
          <w:p>
            <w:pPr>
              <w:spacing w:after="0"/>
              <w:rPr>
                <w:sz w:val="3"/>
                <w:szCs w:val="3"/>
                <w:color w:val="auto"/>
              </w:rPr>
            </w:pPr>
          </w:p>
        </w:tc>
        <w:tc>
          <w:tcPr>
            <w:tcW w:w="3240" w:type="dxa"/>
            <w:vAlign w:val="bottom"/>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r>
      <w:tr>
        <w:trPr>
          <w:trHeight w:val="27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Brady</w:t>
            </w:r>
          </w:p>
        </w:tc>
        <w:tc>
          <w:tcPr>
            <w:tcW w:w="3240" w:type="dxa"/>
            <w:vAlign w:val="bottom"/>
          </w:tcPr>
          <w:p>
            <w:pPr>
              <w:spacing w:after="0"/>
              <w:rPr>
                <w:sz w:val="24"/>
                <w:szCs w:val="24"/>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Nicholas Maestas</w:t>
            </w:r>
          </w:p>
        </w:tc>
      </w:tr>
      <w:tr>
        <w:trPr>
          <w:trHeight w:val="32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&amp; President</w:t>
            </w:r>
          </w:p>
        </w:tc>
        <w:tc>
          <w:tcPr>
            <w:tcW w:w="3240" w:type="dxa"/>
            <w:vAlign w:val="bottom"/>
          </w:tcPr>
          <w:p>
            <w:pPr>
              <w:spacing w:after="0"/>
              <w:rPr>
                <w:sz w:val="24"/>
                <w:szCs w:val="24"/>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Vice-President, Strategy and Finance</w:t>
            </w:r>
          </w:p>
        </w:tc>
      </w:tr>
    </w:tbl>
    <w:p>
      <w:pPr>
        <w:spacing w:after="0" w:line="13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Tempest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4" w:name="page85"/>
    <w:bookmarkEnd w:id="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5"/>
    </w:lvl>
  </w:abstractNum>
  <w:abstractNum w:abstractNumId="5">
    <w:nsid w:val="6763845E"/>
    <w:multiLevelType w:val="hybridMultilevel"/>
    <w:lvl w:ilvl="0">
      <w:lvlJc w:val="left"/>
      <w:lvlText w:val="%1."/>
      <w:numFmt w:val="decimal"/>
      <w:start w:val="7"/>
    </w:lvl>
  </w:abstractNum>
  <w:abstractNum w:abstractNumId="6">
    <w:nsid w:val="75A2A8D4"/>
    <w:multiLevelType w:val="hybridMultilevel"/>
    <w:lvl w:ilvl="0">
      <w:lvlJc w:val="left"/>
      <w:lvlText w:val="%1."/>
      <w:numFmt w:val="decimal"/>
      <w:start w:val="8"/>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lvl w:ilvl="1">
      <w:lvlJc w:val="left"/>
      <w:lvlText w:val="%2"/>
      <w:numFmt w:val="decimal"/>
      <w:start w:val="104"/>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41" Type="http://schemas.openxmlformats.org/officeDocument/2006/relationships/hyperlink" Target="https://www.sec.gov/Archives/edgar/data/1544227/000155837019005038/mlnd-20190331ex31b53fa83.htm" TargetMode="External"/><Relationship Id="rId242" Type="http://schemas.openxmlformats.org/officeDocument/2006/relationships/hyperlink" Target="https://www.sec.gov/Archives/edgar/data/1544227/000119312521201157/d196630dex31.htm" TargetMode="External"/><Relationship Id="rId243" Type="http://schemas.openxmlformats.org/officeDocument/2006/relationships/hyperlink" Target="https://www.sec.gov/Archives/edgar/data/1544227/000119312521201157/d196630dex32.htm" TargetMode="External"/><Relationship Id="rId244" Type="http://schemas.openxmlformats.org/officeDocument/2006/relationships/hyperlink" Target="https://www.sec.gov/Archives/edgar/data/1544227/000119312523253882/d547808dex31.htm" TargetMode="External"/><Relationship Id="rId245" Type="http://schemas.openxmlformats.org/officeDocument/2006/relationships/hyperlink" Target="https://www.sec.gov/Archives/edgar/data/1544227/000119312521281694/d22203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2024-08-08T16:21:41Z</dcterms:created>
  <dcterms:modified xsi:type="dcterms:W3CDTF">2024-08-08T16:21:41Z</dcterms:modified>
</cp:coreProperties>
</file>