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jc w:val="center"/>
              <w:ind w:left="80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001-35890</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45-1472564</w:t>
            </w:r>
          </w:p>
        </w:tc>
      </w:tr>
      <w:tr>
        <w:trPr>
          <w:trHeight w:val="180"/>
        </w:trPr>
        <w:tc>
          <w:tcPr>
            <w:tcW w:w="2860" w:type="dxa"/>
            <w:vAlign w:val="bottom"/>
          </w:tcPr>
          <w:p>
            <w:pPr>
              <w:jc w:val="center"/>
              <w:ind w:left="822"/>
              <w:spacing w:after="0"/>
              <w:rPr>
                <w:sz w:val="20"/>
                <w:szCs w:val="20"/>
                <w:color w:val="auto"/>
              </w:rPr>
            </w:pPr>
            <w:r>
              <w:rPr>
                <w:rFonts w:ascii="Arial" w:cs="Arial" w:eastAsia="Arial" w:hAnsi="Arial"/>
                <w:sz w:val="14"/>
                <w:szCs w:val="14"/>
                <w:b w:val="1"/>
                <w:bCs w:val="1"/>
                <w:color w:val="auto"/>
                <w:w w:val="93"/>
              </w:rPr>
              <w:t>(State or other jurisdiction</w:t>
            </w:r>
          </w:p>
        </w:tc>
        <w:tc>
          <w:tcPr>
            <w:tcW w:w="56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left="802"/>
              <w:spacing w:after="0"/>
              <w:rPr>
                <w:sz w:val="20"/>
                <w:szCs w:val="20"/>
                <w:color w:val="auto"/>
              </w:rPr>
            </w:pPr>
            <w:r>
              <w:rPr>
                <w:rFonts w:ascii="Arial" w:cs="Arial" w:eastAsia="Arial" w:hAnsi="Arial"/>
                <w:sz w:val="14"/>
                <w:szCs w:val="14"/>
                <w:b w:val="1"/>
                <w:bCs w:val="1"/>
                <w:color w:val="auto"/>
                <w:w w:val="94"/>
              </w:rPr>
              <w:t>of incorporation)</w:t>
            </w:r>
          </w:p>
        </w:tc>
        <w:tc>
          <w:tcPr>
            <w:tcW w:w="56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286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7000 Shoreline Court, Suite 275</w:t>
            </w:r>
          </w:p>
        </w:tc>
        <w:tc>
          <w:tcPr>
            <w:tcW w:w="2740" w:type="dxa"/>
            <w:vAlign w:val="bottom"/>
          </w:tcPr>
          <w:p>
            <w:pPr>
              <w:spacing w:after="0"/>
              <w:rPr>
                <w:sz w:val="24"/>
                <w:szCs w:val="24"/>
                <w:color w:val="auto"/>
              </w:rPr>
            </w:pPr>
          </w:p>
        </w:tc>
      </w:tr>
      <w:tr>
        <w:trPr>
          <w:trHeight w:val="198"/>
        </w:trPr>
        <w:tc>
          <w:tcPr>
            <w:tcW w:w="2860" w:type="dxa"/>
            <w:vAlign w:val="bottom"/>
          </w:tcPr>
          <w:p>
            <w:pPr>
              <w:spacing w:after="0"/>
              <w:rPr>
                <w:sz w:val="17"/>
                <w:szCs w:val="17"/>
                <w:color w:val="auto"/>
              </w:rPr>
            </w:pPr>
          </w:p>
        </w:tc>
        <w:tc>
          <w:tcPr>
            <w:tcW w:w="5640" w:type="dxa"/>
            <w:vAlign w:val="bottom"/>
          </w:tcPr>
          <w:p>
            <w:pPr>
              <w:jc w:val="center"/>
              <w:ind w:right="18"/>
              <w:spacing w:after="0" w:line="198" w:lineRule="exact"/>
              <w:rPr>
                <w:sz w:val="20"/>
                <w:szCs w:val="20"/>
                <w:color w:val="auto"/>
              </w:rPr>
            </w:pPr>
            <w:r>
              <w:rPr>
                <w:rFonts w:ascii="Arial" w:cs="Arial" w:eastAsia="Arial" w:hAnsi="Arial"/>
                <w:sz w:val="18"/>
                <w:szCs w:val="18"/>
                <w:b w:val="1"/>
                <w:bCs w:val="1"/>
                <w:color w:val="auto"/>
                <w:w w:val="89"/>
              </w:rPr>
              <w:t>South San Francisco, CA 94080</w:t>
            </w:r>
          </w:p>
        </w:tc>
        <w:tc>
          <w:tcPr>
            <w:tcW w:w="2740" w:type="dxa"/>
            <w:vAlign w:val="bottom"/>
          </w:tcPr>
          <w:p>
            <w:pPr>
              <w:spacing w:after="0"/>
              <w:rPr>
                <w:sz w:val="17"/>
                <w:szCs w:val="17"/>
                <w:color w:val="auto"/>
              </w:rPr>
            </w:pPr>
          </w:p>
        </w:tc>
      </w:tr>
      <w:tr>
        <w:trPr>
          <w:trHeight w:val="186"/>
        </w:trPr>
        <w:tc>
          <w:tcPr>
            <w:tcW w:w="2860" w:type="dxa"/>
            <w:vAlign w:val="bottom"/>
          </w:tcPr>
          <w:p>
            <w:pPr>
              <w:spacing w:after="0"/>
              <w:rPr>
                <w:sz w:val="16"/>
                <w:szCs w:val="16"/>
                <w:color w:val="auto"/>
              </w:rPr>
            </w:pPr>
          </w:p>
        </w:tc>
        <w:tc>
          <w:tcPr>
            <w:tcW w:w="56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740" w:type="dxa"/>
            <w:vAlign w:val="bottom"/>
          </w:tcPr>
          <w:p>
            <w:pPr>
              <w:spacing w:after="0"/>
              <w:rPr>
                <w:sz w:val="16"/>
                <w:szCs w:val="16"/>
                <w:color w:val="auto"/>
              </w:rPr>
            </w:pPr>
          </w:p>
        </w:tc>
      </w:tr>
      <w:tr>
        <w:trPr>
          <w:trHeight w:val="417"/>
        </w:trPr>
        <w:tc>
          <w:tcPr>
            <w:tcW w:w="286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(415) 798-8589</w:t>
            </w:r>
          </w:p>
        </w:tc>
        <w:tc>
          <w:tcPr>
            <w:tcW w:w="2740" w:type="dxa"/>
            <w:vAlign w:val="bottom"/>
          </w:tcPr>
          <w:p>
            <w:pPr>
              <w:spacing w:after="0"/>
              <w:rPr>
                <w:sz w:val="24"/>
                <w:szCs w:val="24"/>
                <w:color w:val="auto"/>
              </w:rPr>
            </w:pPr>
          </w:p>
        </w:tc>
      </w:tr>
      <w:tr>
        <w:trPr>
          <w:trHeight w:val="369"/>
        </w:trPr>
        <w:tc>
          <w:tcPr>
            <w:tcW w:w="2860" w:type="dxa"/>
            <w:vAlign w:val="bottom"/>
          </w:tcPr>
          <w:p>
            <w:pPr>
              <w:spacing w:after="0"/>
              <w:rPr>
                <w:sz w:val="24"/>
                <w:szCs w:val="24"/>
                <w:color w:val="auto"/>
              </w:rPr>
            </w:pPr>
          </w:p>
        </w:tc>
        <w:tc>
          <w:tcPr>
            <w:tcW w:w="5640" w:type="dxa"/>
            <w:vAlign w:val="bottom"/>
          </w:tcPr>
          <w:p>
            <w:pPr>
              <w:jc w:val="center"/>
              <w:ind w:right="38"/>
              <w:spacing w:after="0"/>
              <w:rPr>
                <w:sz w:val="20"/>
                <w:szCs w:val="20"/>
                <w:color w:val="auto"/>
              </w:rPr>
            </w:pPr>
            <w:r>
              <w:rPr>
                <w:rFonts w:ascii="Arial" w:cs="Arial" w:eastAsia="Arial" w:hAnsi="Arial"/>
                <w:sz w:val="18"/>
                <w:szCs w:val="18"/>
                <w:b w:val="1"/>
                <w:bCs w:val="1"/>
                <w:color w:val="auto"/>
              </w:rPr>
              <w:t>N/A</w:t>
            </w:r>
          </w:p>
        </w:tc>
        <w:tc>
          <w:tcPr>
            <w:tcW w:w="2740" w:type="dxa"/>
            <w:vAlign w:val="bottom"/>
          </w:tcPr>
          <w:p>
            <w:pPr>
              <w:spacing w:after="0"/>
              <w:rPr>
                <w:sz w:val="24"/>
                <w:szCs w:val="24"/>
                <w:color w:val="auto"/>
              </w:rPr>
            </w:pPr>
          </w:p>
        </w:tc>
      </w:tr>
      <w:tr>
        <w:trPr>
          <w:trHeight w:val="186"/>
        </w:trPr>
        <w:tc>
          <w:tcPr>
            <w:tcW w:w="2860" w:type="dxa"/>
            <w:vAlign w:val="bottom"/>
          </w:tcPr>
          <w:p>
            <w:pPr>
              <w:spacing w:after="0"/>
              <w:rPr>
                <w:sz w:val="16"/>
                <w:szCs w:val="16"/>
                <w:color w:val="auto"/>
              </w:rPr>
            </w:pPr>
          </w:p>
        </w:tc>
        <w:tc>
          <w:tcPr>
            <w:tcW w:w="56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2740" w:type="dxa"/>
            <w:vAlign w:val="bottom"/>
          </w:tcPr>
          <w:p>
            <w:pPr>
              <w:spacing w:after="0"/>
              <w:rPr>
                <w:sz w:val="16"/>
                <w:szCs w:val="16"/>
                <w:color w:val="auto"/>
              </w:rPr>
            </w:pPr>
          </w:p>
        </w:tc>
      </w:tr>
      <w:tr>
        <w:trPr>
          <w:trHeight w:val="215"/>
        </w:trPr>
        <w:tc>
          <w:tcPr>
            <w:tcW w:w="286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r>
    </w:tbl>
    <w:p>
      <w:pPr>
        <w:spacing w:after="0" w:line="269"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49"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7"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640" w:type="dxa"/>
            <w:vAlign w:val="bottom"/>
          </w:tcPr>
          <w:p>
            <w:pPr>
              <w:jc w:val="center"/>
              <w:ind w:right="182"/>
              <w:spacing w:after="0"/>
              <w:rPr>
                <w:sz w:val="20"/>
                <w:szCs w:val="20"/>
                <w:color w:val="auto"/>
              </w:rPr>
            </w:pPr>
            <w:r>
              <w:rPr>
                <w:rFonts w:ascii="Arial" w:cs="Arial" w:eastAsia="Arial" w:hAnsi="Arial"/>
                <w:sz w:val="14"/>
                <w:szCs w:val="14"/>
                <w:b w:val="1"/>
                <w:bCs w:val="1"/>
                <w:color w:val="auto"/>
                <w:w w:val="97"/>
              </w:rPr>
              <w:t>Trading</w:t>
            </w:r>
          </w:p>
        </w:tc>
        <w:tc>
          <w:tcPr>
            <w:tcW w:w="3180" w:type="dxa"/>
            <w:vAlign w:val="bottom"/>
          </w:tcPr>
          <w:p>
            <w:pPr>
              <w:jc w:val="center"/>
              <w:ind w:left="1082"/>
              <w:spacing w:after="0"/>
              <w:rPr>
                <w:sz w:val="20"/>
                <w:szCs w:val="20"/>
                <w:color w:val="auto"/>
              </w:rPr>
            </w:pPr>
            <w:r>
              <w:rPr>
                <w:rFonts w:ascii="Arial" w:cs="Arial" w:eastAsia="Arial" w:hAnsi="Arial"/>
                <w:sz w:val="14"/>
                <w:szCs w:val="14"/>
                <w:b w:val="1"/>
                <w:bCs w:val="1"/>
                <w:color w:val="auto"/>
                <w:w w:val="88"/>
              </w:rPr>
              <w:t>Name of each exchange</w:t>
            </w:r>
          </w:p>
        </w:tc>
      </w:tr>
      <w:tr>
        <w:trPr>
          <w:trHeight w:val="186"/>
        </w:trPr>
        <w:tc>
          <w:tcPr>
            <w:tcW w:w="4200" w:type="dxa"/>
            <w:vAlign w:val="bottom"/>
          </w:tcPr>
          <w:p>
            <w:pPr>
              <w:jc w:val="center"/>
              <w:ind w:right="839"/>
              <w:spacing w:after="0"/>
              <w:rPr>
                <w:sz w:val="20"/>
                <w:szCs w:val="20"/>
                <w:color w:val="auto"/>
              </w:rPr>
            </w:pPr>
            <w:r>
              <w:rPr>
                <w:rFonts w:ascii="Arial" w:cs="Arial" w:eastAsia="Arial" w:hAnsi="Arial"/>
                <w:sz w:val="14"/>
                <w:szCs w:val="14"/>
                <w:b w:val="1"/>
                <w:bCs w:val="1"/>
                <w:color w:val="auto"/>
                <w:w w:val="89"/>
              </w:rPr>
              <w:t>Title of each class</w:t>
            </w:r>
          </w:p>
        </w:tc>
        <w:tc>
          <w:tcPr>
            <w:tcW w:w="264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Symbol(s)</w:t>
            </w:r>
          </w:p>
        </w:tc>
        <w:tc>
          <w:tcPr>
            <w:tcW w:w="3180" w:type="dxa"/>
            <w:vAlign w:val="bottom"/>
          </w:tcPr>
          <w:p>
            <w:pPr>
              <w:jc w:val="center"/>
              <w:ind w:left="1082"/>
              <w:spacing w:after="0"/>
              <w:rPr>
                <w:sz w:val="20"/>
                <w:szCs w:val="20"/>
                <w:color w:val="auto"/>
              </w:rPr>
            </w:pPr>
            <w:r>
              <w:rPr>
                <w:rFonts w:ascii="Arial" w:cs="Arial" w:eastAsia="Arial" w:hAnsi="Arial"/>
                <w:sz w:val="14"/>
                <w:szCs w:val="14"/>
                <w:b w:val="1"/>
                <w:bCs w:val="1"/>
                <w:color w:val="auto"/>
                <w:w w:val="92"/>
              </w:rPr>
              <w:t>on which registered</w:t>
            </w:r>
          </w:p>
        </w:tc>
      </w:tr>
      <w:tr>
        <w:trPr>
          <w:trHeight w:val="376"/>
        </w:trPr>
        <w:tc>
          <w:tcPr>
            <w:tcW w:w="4200" w:type="dxa"/>
            <w:vAlign w:val="bottom"/>
          </w:tcPr>
          <w:p>
            <w:pPr>
              <w:jc w:val="center"/>
              <w:ind w:right="819"/>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40" w:type="dxa"/>
            <w:vAlign w:val="bottom"/>
          </w:tcPr>
          <w:p>
            <w:pPr>
              <w:jc w:val="center"/>
              <w:ind w:right="182"/>
              <w:spacing w:after="0"/>
              <w:rPr>
                <w:sz w:val="20"/>
                <w:szCs w:val="20"/>
                <w:color w:val="auto"/>
              </w:rPr>
            </w:pPr>
            <w:r>
              <w:rPr>
                <w:rFonts w:ascii="Arial" w:cs="Arial" w:eastAsia="Arial" w:hAnsi="Arial"/>
                <w:sz w:val="18"/>
                <w:szCs w:val="18"/>
                <w:b w:val="1"/>
                <w:bCs w:val="1"/>
                <w:color w:val="auto"/>
                <w:w w:val="99"/>
              </w:rPr>
              <w:t>TPST</w:t>
            </w:r>
          </w:p>
        </w:tc>
        <w:tc>
          <w:tcPr>
            <w:tcW w:w="3180" w:type="dxa"/>
            <w:vAlign w:val="bottom"/>
          </w:tcPr>
          <w:p>
            <w:pPr>
              <w:jc w:val="center"/>
              <w:ind w:left="1082"/>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283"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 w:name="page2"/>
    <w:bookmarkEnd w:id="1"/>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On March 29, 2022, Tempest Therapeutics, Inc. (the “Company”) issued a press release announcing its financial results for the year ended December 31, 2021. A copy of the Company’s press release dated March 29, 2022, titled “Tempest Reports Year End 2021 Financial Results and Provides Corporate Highlights” is attached hereto as Exhibit 99.1 and is incorporated herein by reference.</w:t>
      </w:r>
    </w:p>
    <w:p>
      <w:pPr>
        <w:spacing w:after="0" w:line="182"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gridSpan w:val="3"/>
          </w:tcPr>
          <w:p>
            <w:pPr>
              <w:ind w:left="240"/>
              <w:spacing w:after="0"/>
              <w:rPr>
                <w:sz w:val="20"/>
                <w:szCs w:val="20"/>
                <w:color w:val="auto"/>
              </w:rPr>
            </w:pPr>
            <w:r>
              <w:rPr>
                <w:rFonts w:ascii="Arial" w:cs="Arial" w:eastAsia="Arial" w:hAnsi="Arial"/>
                <w:sz w:val="14"/>
                <w:szCs w:val="14"/>
                <w:b w:val="1"/>
                <w:bCs w:val="1"/>
                <w:color w:val="auto"/>
              </w:rPr>
              <w:t>Description</w:t>
            </w:r>
          </w:p>
        </w:tc>
      </w:tr>
      <w:tr>
        <w:trPr>
          <w:trHeight w:val="403"/>
        </w:trPr>
        <w:tc>
          <w:tcPr>
            <w:tcW w:w="98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9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March 29, 2021</w:t>
              </w:r>
            </w:hyperlink>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345"/>
        </w:trPr>
        <w:tc>
          <w:tcPr>
            <w:tcW w:w="980" w:type="dxa"/>
            <w:vAlign w:val="bottom"/>
          </w:tcPr>
          <w:p>
            <w:pPr>
              <w:ind w:left="1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00"/>
        </w:trPr>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TEMPEST THERAPEUTICS, INC.</w:t>
      </w:r>
    </w:p>
    <w:p>
      <w:pPr>
        <w:sectPr>
          <w:pgSz w:w="11900" w:h="16838" w:orient="portrait"/>
          <w:cols w:equalWidth="0" w:num="1">
            <w:col w:w="11020"/>
          </w:cols>
          <w:pgMar w:left="320" w:top="769" w:right="559" w:bottom="1440" w:gutter="0" w:footer="0" w:header="0"/>
        </w:sectPr>
      </w:pP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 March 29, 2022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/s/ Stephen Brady</w:t>
      </w:r>
    </w:p>
    <w:p>
      <w:pPr>
        <w:spacing w:after="0" w:line="232" w:lineRule="exact"/>
        <w:rPr>
          <w:sz w:val="20"/>
          <w:szCs w:val="20"/>
          <w:color w:val="auto"/>
        </w:rPr>
      </w:pPr>
    </w:p>
    <w:p>
      <w:pPr>
        <w:sectPr>
          <w:pgSz w:w="11900" w:h="16838" w:orient="portrait"/>
          <w:cols w:equalWidth="0" w:num="3">
            <w:col w:w="5000" w:space="720"/>
            <w:col w:w="260" w:space="580"/>
            <w:col w:w="4460"/>
          </w:cols>
          <w:pgMar w:left="320" w:top="769" w:right="559" w:bottom="1440" w:gutter="0" w:footer="0" w:header="0"/>
          <w:type w:val="continuous"/>
        </w:sectPr>
      </w:pPr>
    </w:p>
    <w:p>
      <w:pPr>
        <w:ind w:left="5720"/>
        <w:spacing w:after="0"/>
        <w:rPr>
          <w:sz w:val="20"/>
          <w:szCs w:val="20"/>
          <w:color w:val="auto"/>
        </w:rPr>
      </w:pPr>
      <w:r>
        <w:rPr>
          <w:rFonts w:ascii="Arial" w:cs="Arial" w:eastAsia="Arial" w:hAnsi="Arial"/>
          <w:sz w:val="16"/>
          <w:szCs w:val="16"/>
          <w:color w:val="auto"/>
        </w:rPr>
        <w:t>Name:</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Stephen Brady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2">
            <w:col w:w="6200" w:space="360"/>
            <w:col w:w="4460"/>
          </w:cols>
          <w:pgMar w:left="320" w:top="769" w:right="5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171450</wp:posOffset>
            </wp:positionV>
            <wp:extent cx="3171825"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Reports Year End 2021 Financial Results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Corporate Highlights</w:t>
      </w:r>
    </w:p>
    <w:p>
      <w:pPr>
        <w:spacing w:after="0" w:line="22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First clinical data presentation planned for ASCO: TPST-1120 Phase 1 monotherapy and combination dose escalation and optimization arms</w:t>
      </w:r>
    </w:p>
    <w:p>
      <w:pPr>
        <w:spacing w:after="0" w:line="250" w:lineRule="exact"/>
        <w:rPr>
          <w:rFonts w:ascii="Arial" w:cs="Arial" w:eastAsia="Arial" w:hAnsi="Arial"/>
          <w:sz w:val="17"/>
          <w:szCs w:val="17"/>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TPST-1120 randomized study in first-line HCC patients with partner Roche is ongoing, with initial data expected by YE22/early 2023</w:t>
      </w:r>
    </w:p>
    <w:p>
      <w:pPr>
        <w:spacing w:after="0" w:line="238"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TPST-1495 Phase 1 monotherapy and combination dose escalation and optimization ongoing, with data expected by YE22/early 2023</w:t>
      </w:r>
    </w:p>
    <w:p>
      <w:pPr>
        <w:spacing w:after="0" w:line="238"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First public presentation of preclinical efficacy results of proprietary small molecule TREX1 inhibitors planned for AACR</w:t>
      </w:r>
    </w:p>
    <w:p>
      <w:pPr>
        <w:spacing w:after="0" w:line="23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South San Francisco, CA</w:t>
      </w:r>
      <w:r>
        <w:rPr>
          <w:rFonts w:ascii="Arial" w:cs="Arial" w:eastAsia="Arial" w:hAnsi="Arial"/>
          <w:sz w:val="18"/>
          <w:szCs w:val="18"/>
          <w:color w:val="auto"/>
        </w:rPr>
        <w:t>, March 29, 2022</w:t>
      </w:r>
      <w:r>
        <w:rPr>
          <w:rFonts w:ascii="Arial" w:cs="Arial" w:eastAsia="Arial" w:hAnsi="Arial"/>
          <w:sz w:val="18"/>
          <w:szCs w:val="18"/>
          <w:b w:val="1"/>
          <w:bCs w:val="1"/>
          <w:color w:val="auto"/>
        </w:rPr>
        <w:t xml:space="preserve"> – </w:t>
      </w:r>
      <w:r>
        <w:rPr>
          <w:rFonts w:ascii="Arial" w:cs="Arial" w:eastAsia="Arial" w:hAnsi="Arial"/>
          <w:sz w:val="18"/>
          <w:szCs w:val="18"/>
          <w:color w:val="auto"/>
        </w:rPr>
        <w:t>Tempest Therapeutics, Inc. (Nasdaq: TPST), a clinical-stage oncology company developing first-in-class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that combine both targeted and immune-mediated mechanisms, today reported financial results for the year ended December 31, 2021 and provided a corporate update.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excited by the numerous achievements the Tempest team made in 2021, including emerging as a public company from a competitive merger process and establishing the collaboration with Roche that moved TPST-1120 into a first-line global, randomized HCC study,” said Stephen R. Brady, chief executive officer of Tempest. “This and the broader progress made in the pipeline positions Tempest for a potentially transformative 2022. Our first clinical data presentation planned for ASCO in June is the first in a series of planned data releases over the course of the next 12-18 months, including initial ORR data from both our ongoing randomized TPST-1120 study with our partner Roche and the first monotherapy and combination therapy data from TPST-1495, our dual EP2/EP4 antagonist. We are excited about this ongoing positive evolution of Tempest, and we will continue to work to develop what we believe to be is a robust and diversified pipeline of novel cancer programs with the potential to treat a wide range of patients.”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39" w:lineRule="exact"/>
        <w:rPr>
          <w:sz w:val="20"/>
          <w:szCs w:val="20"/>
          <w:color w:val="auto"/>
        </w:rPr>
      </w:pPr>
    </w:p>
    <w:p>
      <w:pPr>
        <w:jc w:val="both"/>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TPST-1120 </w:t>
      </w:r>
      <w:r>
        <w:rPr>
          <w:rFonts w:ascii="Arial" w:cs="Arial" w:eastAsia="Arial" w:hAnsi="Arial"/>
          <w:sz w:val="16"/>
          <w:szCs w:val="16"/>
          <w:color w:val="auto"/>
        </w:rPr>
        <w:t>(clinical PPARα antagonist): (i) completed Phase 1 monotherapy arm and nearing completion of the anti-PD-1 checkpoint inhibitor,</w:t>
      </w:r>
      <w:r>
        <w:rPr>
          <w:rFonts w:ascii="Arial" w:cs="Arial" w:eastAsia="Arial" w:hAnsi="Arial"/>
          <w:sz w:val="16"/>
          <w:szCs w:val="16"/>
          <w:b w:val="1"/>
          <w:bCs w:val="1"/>
          <w:color w:val="auto"/>
        </w:rPr>
        <w:t xml:space="preserve"> </w:t>
      </w:r>
      <w:r>
        <w:rPr>
          <w:rFonts w:ascii="Arial" w:cs="Arial" w:eastAsia="Arial" w:hAnsi="Arial"/>
          <w:sz w:val="16"/>
          <w:szCs w:val="16"/>
          <w:color w:val="auto"/>
        </w:rPr>
        <w:t>nivolumab, combination dose escalation arms, and selected recommended Phase 2 dose (“RP2D”); and (ii) continued enrollment in first-line, randomized global Phase 1b/2 study in patients with hepatocellular carcinoma (HCC), under a collaboration with F. Hoffmann La Roche.</w:t>
      </w:r>
    </w:p>
    <w:p>
      <w:pPr>
        <w:spacing w:after="0" w:line="169"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TPST-1495 </w:t>
      </w:r>
      <w:r>
        <w:rPr>
          <w:rFonts w:ascii="Arial" w:cs="Arial" w:eastAsia="Arial" w:hAnsi="Arial"/>
          <w:sz w:val="18"/>
          <w:szCs w:val="18"/>
          <w:color w:val="auto"/>
        </w:rPr>
        <w:t>(clinical dual EP2/4 prostaglandin receptor antagonist): (i) continued enrollment in a Phase 1 study evaluating monotherapy dose and</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optimization towards establishing an RP2D; and (ii) commenced enrollment of a study evaluating combination dose and schedule optimization study with the anti-PD-1 checkpoint inhibitor, pembrolizumab.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If approved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4" w:name="page5"/>
    <w:bookmarkEnd w:id="4"/>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SITC Presentation: </w:t>
      </w:r>
      <w:r>
        <w:rPr>
          <w:rFonts w:ascii="Arial" w:cs="Arial" w:eastAsia="Arial" w:hAnsi="Arial"/>
          <w:sz w:val="18"/>
          <w:szCs w:val="18"/>
          <w:color w:val="auto"/>
        </w:rPr>
        <w:t>at the Society for Immunotherapy of Cancer’s (SITC) 36th Annual Meeting, presented new preclinical efficacy data</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demonstrating that dual inhibition pf the EP2 and EP4 receptors with TPST-1495 is an optimal approach for targeting the prostaglandin pathway in cancer.</w:t>
      </w:r>
    </w:p>
    <w:p>
      <w:pPr>
        <w:spacing w:after="0" w:line="203"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Expansion of Patent Portfolio: </w:t>
      </w:r>
      <w:r>
        <w:rPr>
          <w:rFonts w:ascii="Arial" w:cs="Arial" w:eastAsia="Arial" w:hAnsi="Arial"/>
          <w:sz w:val="18"/>
          <w:szCs w:val="18"/>
          <w:color w:val="auto"/>
        </w:rPr>
        <w:t>the U.S. Patent and Trademark Office issued patents covering composition of matter for our therapeutic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TPST-1495.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Near-Term Milestones</w:t>
      </w:r>
    </w:p>
    <w:p>
      <w:pPr>
        <w:spacing w:after="0" w:line="239" w:lineRule="exact"/>
        <w:rPr>
          <w:sz w:val="20"/>
          <w:szCs w:val="20"/>
          <w:color w:val="auto"/>
        </w:rPr>
      </w:pPr>
    </w:p>
    <w:p>
      <w:pPr>
        <w:ind w:left="660" w:right="20" w:hanging="328"/>
        <w:spacing w:after="0" w:line="329"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TPST-1120 </w:t>
      </w:r>
      <w:r>
        <w:rPr>
          <w:rFonts w:ascii="Arial" w:cs="Arial" w:eastAsia="Arial" w:hAnsi="Arial"/>
          <w:sz w:val="16"/>
          <w:szCs w:val="16"/>
          <w:color w:val="auto"/>
        </w:rPr>
        <w:t>(clinical PPARα antagonist): (i) if accepted to present, presentation of Phase 1 monotherapy and combination data at ASCO 2022; and</w:t>
      </w:r>
      <w:r>
        <w:rPr>
          <w:rFonts w:ascii="Arial" w:cs="Arial" w:eastAsia="Arial" w:hAnsi="Arial"/>
          <w:sz w:val="16"/>
          <w:szCs w:val="16"/>
          <w:b w:val="1"/>
          <w:bCs w:val="1"/>
          <w:color w:val="auto"/>
        </w:rPr>
        <w:t xml:space="preserve"> </w:t>
      </w:r>
      <w:r>
        <w:rPr>
          <w:rFonts w:ascii="Arial" w:cs="Arial" w:eastAsia="Arial" w:hAnsi="Arial"/>
          <w:sz w:val="16"/>
          <w:szCs w:val="16"/>
          <w:color w:val="auto"/>
        </w:rPr>
        <w:t>(ii) reporting of objective response data from the first 40 HCC patients in the first-line randomized study expected by year end or early 2023.</w:t>
      </w:r>
    </w:p>
    <w:p>
      <w:pPr>
        <w:spacing w:after="0" w:line="143" w:lineRule="exact"/>
        <w:rPr>
          <w:rFonts w:ascii="Arial" w:cs="Arial" w:eastAsia="Arial" w:hAnsi="Arial"/>
          <w:sz w:val="16"/>
          <w:szCs w:val="16"/>
          <w:color w:val="auto"/>
        </w:rPr>
      </w:pPr>
    </w:p>
    <w:p>
      <w:pPr>
        <w:ind w:left="660" w:hanging="328"/>
        <w:spacing w:after="0" w:line="29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TPST-1495 </w:t>
      </w:r>
      <w:r>
        <w:rPr>
          <w:rFonts w:ascii="Arial" w:cs="Arial" w:eastAsia="Arial" w:hAnsi="Arial"/>
          <w:sz w:val="17"/>
          <w:szCs w:val="17"/>
          <w:color w:val="auto"/>
        </w:rPr>
        <w:t>(clinical dual EP2/4 prostaglandin receptor antagonist): (i) selection of monotherapy RP2D expected in the first half of 2022; and (ii)</w:t>
      </w:r>
      <w:r>
        <w:rPr>
          <w:rFonts w:ascii="Arial" w:cs="Arial" w:eastAsia="Arial" w:hAnsi="Arial"/>
          <w:sz w:val="17"/>
          <w:szCs w:val="17"/>
          <w:b w:val="1"/>
          <w:bCs w:val="1"/>
          <w:color w:val="auto"/>
        </w:rPr>
        <w:t xml:space="preserve"> </w:t>
      </w:r>
      <w:r>
        <w:rPr>
          <w:rFonts w:ascii="Arial" w:cs="Arial" w:eastAsia="Arial" w:hAnsi="Arial"/>
          <w:sz w:val="17"/>
          <w:szCs w:val="17"/>
          <w:color w:val="auto"/>
        </w:rPr>
        <w:t>data from Phase 1 monotherapy and combination dose and schedule optimization arms expected by year end or early 2023.</w:t>
      </w:r>
    </w:p>
    <w:p>
      <w:pPr>
        <w:spacing w:after="0" w:line="165"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TREX1 Inhibitor </w:t>
      </w:r>
      <w:r>
        <w:rPr>
          <w:rFonts w:ascii="Arial" w:cs="Arial" w:eastAsia="Arial" w:hAnsi="Arial"/>
          <w:sz w:val="18"/>
          <w:szCs w:val="18"/>
          <w:color w:val="auto"/>
        </w:rPr>
        <w:t>(preclinical tumor-selective STING pathway activator): (i) presentation of the first data demonstrating therapeutic benefit in</w:t>
      </w:r>
      <w:r>
        <w:rPr>
          <w:rFonts w:ascii="Arial" w:cs="Arial" w:eastAsia="Arial" w:hAnsi="Arial"/>
          <w:sz w:val="18"/>
          <w:szCs w:val="18"/>
          <w:b w:val="1"/>
          <w:bCs w:val="1"/>
          <w:color w:val="auto"/>
        </w:rPr>
        <w:t xml:space="preserve"> </w:t>
      </w:r>
      <w:r>
        <w:rPr>
          <w:rFonts w:ascii="Arial" w:cs="Arial" w:eastAsia="Arial" w:hAnsi="Arial"/>
          <w:sz w:val="18"/>
          <w:szCs w:val="18"/>
          <w:color w:val="auto"/>
        </w:rPr>
        <w:t>tumor-bearing mice treated with systemically-administered proprietary targeted molecules at the American Association for Cancer Research (AACR) 2022 Annual Meeting; and (ii) planned selection of development candidate in the second half of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 2021</w:t>
      </w:r>
    </w:p>
    <w:p>
      <w:pPr>
        <w:spacing w:after="0" w:line="12" w:lineRule="exact"/>
        <w:rPr>
          <w:sz w:val="20"/>
          <w:szCs w:val="20"/>
          <w:color w:val="auto"/>
        </w:rPr>
      </w:pPr>
    </w:p>
    <w:p>
      <w:pPr>
        <w:ind w:left="660" w:hanging="328"/>
        <w:spacing w:after="0" w:line="24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Tempest ended the year 2021 with $51.8 million in cash and cash equivalents, compared to $18.8 million at December 31, 2020. The increase was primarily due to the merger and concurrent PIPE financing, which closed in June 2021.</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used in operations for the year ended December 31, 2021 was $26.0 million.</w:t>
      </w:r>
    </w:p>
    <w:p>
      <w:pPr>
        <w:spacing w:after="0" w:line="23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and net loss per share for the year ended December 31, 2021 were $28.3 million and $7.47, respectively, compared to $19.2 million and $41.03, respectively, for the same period in 2020.</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expenses for the year ended December 31, 2021 were $17.2 million compared to $14.4 million for the same period in 2020. The $2.8 million increase was primarily attributable to expanded research and development efforts and increased fees for consulting services and compensation expenses.</w:t>
      </w:r>
    </w:p>
    <w:p>
      <w:pPr>
        <w:spacing w:after="0" w:line="208"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year ended December 31, 2021, general and administrative expenses were $9.8 million compared to $4.9 million for the same period in 2020. The increase of $4.9 million was primarily due to increased fees for audit and tax services and compensation expenses.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current cash position and operating plan, Tempest expects to have sufficient resources to fund operations into the second half of 2023.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Tempest Therapeutics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Tempest 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in a randomized, global, Phase 1b/2 clinical study in combination with the standard-of-care regimen of atezolizumab and bevacizumab in the first-line treatment of patients with advanced or metastatic hepatocellular carcinoma. Tempest is also developing an orally-available inhibitor of TREX-1 designed to activate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color w:val="auto"/>
        </w:rPr>
        <w:t>selectively the cGAS/STING pathway, an innate immune response pathway important for the development of anti-tumor immunity. Tempest is headquartered in South San Francisco. More information about Tempest can be found on the company’s website at www.tempesttx.com.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timing and selection of development candidates, dose selection or commencement of, or availability of data from, clinical trials, the company’s guidance regarding cash resources, as well as our operational plans and the timing and ability to deliver on value-creating milestones. Forward-looking statements are based on information available to Tempest Therapeutics as of the date hereof and are not guarantees of future performance. Actual results could differ materially from those contained in any forward-looking statement. These and other risks are described in greater detail in the Form 10-K filed by Tempest Therapeutics with the Securities and Exchange Commission on March 29, 2022.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5537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553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1" w:lineRule="auto"/>
        <w:rPr>
          <w:sz w:val="20"/>
          <w:szCs w:val="20"/>
          <w:color w:val="auto"/>
        </w:rPr>
      </w:pPr>
      <w:r>
        <w:rPr>
          <w:rFonts w:ascii="Arial" w:cs="Arial" w:eastAsia="Arial" w:hAnsi="Arial"/>
          <w:sz w:val="18"/>
          <w:szCs w:val="18"/>
          <w:color w:val="auto"/>
        </w:rPr>
        <w:t>Sylvia Wheeler</w:t>
      </w:r>
    </w:p>
    <w:p>
      <w:pPr>
        <w:spacing w:after="0" w:line="219" w:lineRule="auto"/>
        <w:rPr>
          <w:sz w:val="20"/>
          <w:szCs w:val="20"/>
          <w:color w:val="auto"/>
        </w:rPr>
      </w:pPr>
      <w:r>
        <w:rPr>
          <w:rFonts w:ascii="Arial" w:cs="Arial" w:eastAsia="Arial" w:hAnsi="Arial"/>
          <w:sz w:val="18"/>
          <w:szCs w:val="18"/>
          <w:color w:val="auto"/>
        </w:rPr>
        <w:t>Wheelhouse Life Science Advisors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563C1"/>
        </w:rPr>
        <w:t>swheeler@wheelhouselsa.com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Aljanae Reynolds</w:t>
      </w:r>
    </w:p>
    <w:p>
      <w:pPr>
        <w:spacing w:after="0" w:line="219" w:lineRule="auto"/>
        <w:rPr>
          <w:sz w:val="20"/>
          <w:szCs w:val="20"/>
          <w:color w:val="auto"/>
        </w:rPr>
      </w:pPr>
      <w:r>
        <w:rPr>
          <w:rFonts w:ascii="Arial" w:cs="Arial" w:eastAsia="Arial" w:hAnsi="Arial"/>
          <w:sz w:val="18"/>
          <w:szCs w:val="18"/>
          <w:color w:val="auto"/>
        </w:rPr>
        <w:t>Wheelhouse Life Science Advisors</w:t>
      </w:r>
    </w:p>
    <w:p>
      <w:pPr>
        <w:spacing w:after="0"/>
        <w:rPr>
          <w:sz w:val="20"/>
          <w:szCs w:val="20"/>
          <w:color w:val="auto"/>
        </w:rPr>
      </w:pPr>
      <w:r>
        <w:rPr>
          <w:rFonts w:ascii="Arial" w:cs="Arial" w:eastAsia="Arial" w:hAnsi="Arial"/>
          <w:sz w:val="18"/>
          <w:szCs w:val="18"/>
          <w:color w:val="0563C1"/>
        </w:rPr>
        <w:t>areynolds@wheelhouselsa.com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2022-03-29T15:54:48Z</dcterms:created>
  <dcterms:modified xsi:type="dcterms:W3CDTF">2022-03-29T15:54:48Z</dcterms:modified>
</cp:coreProperties>
</file>