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6"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_______________________________________________________________________________________________________________________________</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60"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_______________________________________________________________________________________________________________________________</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3" w:lineRule="exact"/>
        <w:rPr>
          <w:sz w:val="24"/>
          <w:szCs w:val="24"/>
          <w:color w:val="auto"/>
        </w:rPr>
      </w:pPr>
    </w:p>
    <w:p>
      <w:pPr>
        <w:ind w:left="400" w:hanging="34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6" w:lineRule="exact"/>
        <w:rPr>
          <w:rFonts w:ascii="MS PGothic" w:cs="MS PGothic" w:eastAsia="MS PGothic" w:hAnsi="MS PGothic"/>
          <w:sz w:val="18"/>
          <w:szCs w:val="18"/>
          <w:color w:val="auto"/>
        </w:rPr>
      </w:pPr>
    </w:p>
    <w:p>
      <w:pPr>
        <w:ind w:left="41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December 31, 2024</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1" w:lineRule="exact"/>
        <w:rPr>
          <w:sz w:val="24"/>
          <w:szCs w:val="24"/>
          <w:color w:val="auto"/>
        </w:rPr>
      </w:pPr>
    </w:p>
    <w:p>
      <w:pPr>
        <w:ind w:left="400" w:hanging="344"/>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001-35890</w:t>
      </w:r>
    </w:p>
    <w:p>
      <w:pPr>
        <w:spacing w:after="0" w:line="8"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Tempest Therapeutics, Inc.</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15"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___________________________________________________________________________________________________________________</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jc w:val="center"/>
              <w:ind w:left="102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080" w:type="dxa"/>
            <w:vAlign w:val="bottom"/>
          </w:tcPr>
          <w:p>
            <w:pPr>
              <w:spacing w:after="0"/>
              <w:rPr>
                <w:sz w:val="16"/>
                <w:szCs w:val="16"/>
                <w:color w:val="auto"/>
              </w:rPr>
            </w:pPr>
          </w:p>
        </w:tc>
        <w:tc>
          <w:tcPr>
            <w:tcW w:w="3140" w:type="dxa"/>
            <w:vAlign w:val="bottom"/>
          </w:tcPr>
          <w:p>
            <w:pPr>
              <w:jc w:val="right"/>
              <w:ind w:right="1888"/>
              <w:spacing w:after="0"/>
              <w:rPr>
                <w:sz w:val="20"/>
                <w:szCs w:val="20"/>
                <w:color w:val="auto"/>
              </w:rPr>
            </w:pPr>
            <w:r>
              <w:rPr>
                <w:rFonts w:ascii="Times New Roman" w:cs="Times New Roman" w:eastAsia="Times New Roman" w:hAnsi="Times New Roman"/>
                <w:sz w:val="14"/>
                <w:szCs w:val="14"/>
                <w:b w:val="1"/>
                <w:bCs w:val="1"/>
                <w:color w:val="auto"/>
              </w:rPr>
              <w:t>45-1472564</w:t>
            </w:r>
          </w:p>
        </w:tc>
        <w:tc>
          <w:tcPr>
            <w:tcW w:w="0" w:type="dxa"/>
            <w:vAlign w:val="bottom"/>
          </w:tcPr>
          <w:p>
            <w:pPr>
              <w:spacing w:after="0"/>
              <w:rPr>
                <w:sz w:val="1"/>
                <w:szCs w:val="1"/>
                <w:color w:val="auto"/>
              </w:rPr>
            </w:pPr>
          </w:p>
        </w:tc>
      </w:tr>
      <w:tr>
        <w:trPr>
          <w:trHeight w:val="201"/>
        </w:trPr>
        <w:tc>
          <w:tcPr>
            <w:tcW w:w="4520" w:type="dxa"/>
            <w:vAlign w:val="bottom"/>
          </w:tcPr>
          <w:p>
            <w:pPr>
              <w:jc w:val="center"/>
              <w:ind w:left="104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80" w:type="dxa"/>
            <w:vAlign w:val="bottom"/>
          </w:tcPr>
          <w:p>
            <w:pPr>
              <w:spacing w:after="0"/>
              <w:rPr>
                <w:sz w:val="17"/>
                <w:szCs w:val="17"/>
                <w:color w:val="auto"/>
              </w:rPr>
            </w:pPr>
          </w:p>
        </w:tc>
        <w:tc>
          <w:tcPr>
            <w:tcW w:w="3140" w:type="dxa"/>
            <w:vAlign w:val="bottom"/>
          </w:tcPr>
          <w:p>
            <w:pPr>
              <w:jc w:val="center"/>
              <w:ind w:right="1388"/>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20" w:type="dxa"/>
            <w:vAlign w:val="bottom"/>
          </w:tcPr>
          <w:p>
            <w:pPr>
              <w:jc w:val="center"/>
              <w:ind w:left="104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80" w:type="dxa"/>
            <w:vAlign w:val="bottom"/>
          </w:tcPr>
          <w:p>
            <w:pPr>
              <w:spacing w:after="0"/>
              <w:rPr>
                <w:sz w:val="16"/>
                <w:szCs w:val="16"/>
                <w:color w:val="auto"/>
              </w:rPr>
            </w:pPr>
          </w:p>
        </w:tc>
        <w:tc>
          <w:tcPr>
            <w:tcW w:w="3140" w:type="dxa"/>
            <w:vAlign w:val="bottom"/>
          </w:tcPr>
          <w:p>
            <w:pPr>
              <w:jc w:val="center"/>
              <w:ind w:right="140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01"/>
        </w:trPr>
        <w:tc>
          <w:tcPr>
            <w:tcW w:w="4520" w:type="dxa"/>
            <w:vAlign w:val="bottom"/>
          </w:tcPr>
          <w:p>
            <w:pPr>
              <w:jc w:val="center"/>
              <w:ind w:left="1029"/>
              <w:spacing w:after="0"/>
              <w:rPr>
                <w:sz w:val="20"/>
                <w:szCs w:val="20"/>
                <w:color w:val="auto"/>
              </w:rPr>
            </w:pPr>
            <w:r>
              <w:rPr>
                <w:rFonts w:ascii="Times New Roman" w:cs="Times New Roman" w:eastAsia="Times New Roman" w:hAnsi="Times New Roman"/>
                <w:sz w:val="14"/>
                <w:szCs w:val="14"/>
                <w:b w:val="1"/>
                <w:bCs w:val="1"/>
                <w:color w:val="auto"/>
              </w:rPr>
              <w:t>2000 Sierra Point Parkway, Suite 400</w:t>
            </w:r>
          </w:p>
        </w:tc>
        <w:tc>
          <w:tcPr>
            <w:tcW w:w="3080" w:type="dxa"/>
            <w:vAlign w:val="bottom"/>
          </w:tcPr>
          <w:p>
            <w:pPr>
              <w:spacing w:after="0"/>
              <w:rPr>
                <w:sz w:val="17"/>
                <w:szCs w:val="17"/>
                <w:color w:val="auto"/>
              </w:rPr>
            </w:pPr>
          </w:p>
        </w:tc>
        <w:tc>
          <w:tcPr>
            <w:tcW w:w="3140" w:type="dxa"/>
            <w:vAlign w:val="bottom"/>
            <w:vMerge w:val="restart"/>
          </w:tcPr>
          <w:p>
            <w:pPr>
              <w:jc w:val="right"/>
              <w:ind w:right="2048"/>
              <w:spacing w:after="0"/>
              <w:rPr>
                <w:sz w:val="20"/>
                <w:szCs w:val="20"/>
                <w:color w:val="auto"/>
              </w:rPr>
            </w:pPr>
            <w:r>
              <w:rPr>
                <w:rFonts w:ascii="Times New Roman" w:cs="Times New Roman" w:eastAsia="Times New Roman" w:hAnsi="Times New Roman"/>
                <w:sz w:val="14"/>
                <w:szCs w:val="14"/>
                <w:b w:val="1"/>
                <w:bCs w:val="1"/>
                <w:color w:val="auto"/>
              </w:rPr>
              <w:t>94005</w:t>
            </w:r>
          </w:p>
        </w:tc>
        <w:tc>
          <w:tcPr>
            <w:tcW w:w="0" w:type="dxa"/>
            <w:vAlign w:val="bottom"/>
          </w:tcPr>
          <w:p>
            <w:pPr>
              <w:spacing w:after="0"/>
              <w:rPr>
                <w:sz w:val="1"/>
                <w:szCs w:val="1"/>
                <w:color w:val="auto"/>
              </w:rPr>
            </w:pPr>
          </w:p>
        </w:tc>
      </w:tr>
      <w:tr>
        <w:trPr>
          <w:trHeight w:val="190"/>
        </w:trPr>
        <w:tc>
          <w:tcPr>
            <w:tcW w:w="4520" w:type="dxa"/>
            <w:vAlign w:val="bottom"/>
          </w:tcPr>
          <w:p>
            <w:pPr>
              <w:jc w:val="center"/>
              <w:ind w:left="1049"/>
              <w:spacing w:after="0"/>
              <w:rPr>
                <w:sz w:val="20"/>
                <w:szCs w:val="20"/>
                <w:color w:val="auto"/>
              </w:rPr>
            </w:pPr>
            <w:r>
              <w:rPr>
                <w:rFonts w:ascii="Times New Roman" w:cs="Times New Roman" w:eastAsia="Times New Roman" w:hAnsi="Times New Roman"/>
                <w:sz w:val="14"/>
                <w:szCs w:val="14"/>
                <w:b w:val="1"/>
                <w:bCs w:val="1"/>
                <w:color w:val="auto"/>
              </w:rPr>
              <w:t>Brisbane, California</w:t>
            </w:r>
          </w:p>
        </w:tc>
        <w:tc>
          <w:tcPr>
            <w:tcW w:w="3080" w:type="dxa"/>
            <w:vAlign w:val="bottom"/>
          </w:tcPr>
          <w:p>
            <w:pPr>
              <w:spacing w:after="0"/>
              <w:rPr>
                <w:sz w:val="16"/>
                <w:szCs w:val="16"/>
                <w:color w:val="auto"/>
              </w:rPr>
            </w:pPr>
          </w:p>
        </w:tc>
        <w:tc>
          <w:tcPr>
            <w:tcW w:w="3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20" w:type="dxa"/>
            <w:vAlign w:val="bottom"/>
          </w:tcPr>
          <w:p>
            <w:pPr>
              <w:jc w:val="center"/>
              <w:ind w:left="102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80" w:type="dxa"/>
            <w:vAlign w:val="bottom"/>
          </w:tcPr>
          <w:p>
            <w:pPr>
              <w:spacing w:after="0"/>
              <w:rPr>
                <w:sz w:val="21"/>
                <w:szCs w:val="21"/>
                <w:color w:val="auto"/>
              </w:rPr>
            </w:pPr>
          </w:p>
        </w:tc>
        <w:tc>
          <w:tcPr>
            <w:tcW w:w="3140" w:type="dxa"/>
            <w:vAlign w:val="bottom"/>
          </w:tcPr>
          <w:p>
            <w:pPr>
              <w:jc w:val="center"/>
              <w:ind w:right="140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30"/>
        </w:trPr>
        <w:tc>
          <w:tcPr>
            <w:tcW w:w="10740" w:type="dxa"/>
            <w:vAlign w:val="bottom"/>
            <w:gridSpan w:val="3"/>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(415) 798-8589</w:t>
            </w:r>
          </w:p>
        </w:tc>
        <w:tc>
          <w:tcPr>
            <w:tcW w:w="0" w:type="dxa"/>
            <w:vAlign w:val="bottom"/>
          </w:tcPr>
          <w:p>
            <w:pPr>
              <w:spacing w:after="0"/>
              <w:rPr>
                <w:sz w:val="1"/>
                <w:szCs w:val="1"/>
                <w:color w:val="auto"/>
              </w:rPr>
            </w:pPr>
          </w:p>
        </w:tc>
      </w:tr>
      <w:tr>
        <w:trPr>
          <w:trHeight w:val="365"/>
        </w:trPr>
        <w:tc>
          <w:tcPr>
            <w:tcW w:w="7600" w:type="dxa"/>
            <w:vAlign w:val="bottom"/>
            <w:gridSpan w:val="2"/>
          </w:tcPr>
          <w:p>
            <w:pPr>
              <w:jc w:val="center"/>
              <w:ind w:left="356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20" w:type="dxa"/>
            <w:vAlign w:val="bottom"/>
          </w:tcPr>
          <w:p>
            <w:pPr>
              <w:jc w:val="center"/>
              <w:ind w:right="72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80" w:type="dxa"/>
            <w:vAlign w:val="bottom"/>
          </w:tcPr>
          <w:p>
            <w:pPr>
              <w:jc w:val="center"/>
              <w:ind w:right="84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1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43"/>
        </w:trPr>
        <w:tc>
          <w:tcPr>
            <w:tcW w:w="4520" w:type="dxa"/>
            <w:vAlign w:val="bottom"/>
          </w:tcPr>
          <w:p>
            <w:pPr>
              <w:jc w:val="center"/>
              <w:ind w:right="709"/>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3080" w:type="dxa"/>
            <w:vAlign w:val="bottom"/>
          </w:tcPr>
          <w:p>
            <w:pPr>
              <w:jc w:val="center"/>
              <w:ind w:right="868"/>
              <w:spacing w:after="0"/>
              <w:rPr>
                <w:sz w:val="20"/>
                <w:szCs w:val="20"/>
                <w:color w:val="auto"/>
              </w:rPr>
            </w:pPr>
            <w:r>
              <w:rPr>
                <w:rFonts w:ascii="Times New Roman" w:cs="Times New Roman" w:eastAsia="Times New Roman" w:hAnsi="Times New Roman"/>
                <w:sz w:val="14"/>
                <w:szCs w:val="14"/>
                <w:color w:val="auto"/>
              </w:rPr>
              <w:t>TPST</w:t>
            </w:r>
          </w:p>
        </w:tc>
        <w:tc>
          <w:tcPr>
            <w:tcW w:w="31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520" w:type="dxa"/>
            <w:vAlign w:val="bottom"/>
          </w:tcPr>
          <w:p>
            <w:pPr>
              <w:spacing w:after="0"/>
              <w:rPr>
                <w:sz w:val="17"/>
                <w:szCs w:val="17"/>
                <w:color w:val="auto"/>
              </w:rPr>
            </w:pPr>
          </w:p>
        </w:tc>
        <w:tc>
          <w:tcPr>
            <w:tcW w:w="3080" w:type="dxa"/>
            <w:vAlign w:val="bottom"/>
          </w:tcPr>
          <w:p>
            <w:pPr>
              <w:jc w:val="center"/>
              <w:ind w:right="848"/>
              <w:spacing w:after="0"/>
              <w:rPr>
                <w:sz w:val="20"/>
                <w:szCs w:val="20"/>
                <w:color w:val="auto"/>
              </w:rPr>
            </w:pPr>
            <w:r>
              <w:rPr>
                <w:rFonts w:ascii="Times New Roman" w:cs="Times New Roman" w:eastAsia="Times New Roman" w:hAnsi="Times New Roman"/>
                <w:sz w:val="14"/>
                <w:szCs w:val="14"/>
                <w:color w:val="auto"/>
                <w:w w:val="99"/>
              </w:rPr>
              <w:t>N/A</w:t>
            </w:r>
          </w:p>
        </w:tc>
        <w:tc>
          <w:tcPr>
            <w:tcW w:w="31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520" w:type="dxa"/>
            <w:vAlign w:val="bottom"/>
          </w:tcPr>
          <w:p>
            <w:pPr>
              <w:jc w:val="center"/>
              <w:ind w:right="729"/>
              <w:spacing w:after="0"/>
              <w:rPr>
                <w:sz w:val="20"/>
                <w:szCs w:val="20"/>
                <w:color w:val="auto"/>
              </w:rPr>
            </w:pPr>
            <w:r>
              <w:rPr>
                <w:rFonts w:ascii="Times New Roman" w:cs="Times New Roman" w:eastAsia="Times New Roman" w:hAnsi="Times New Roman"/>
                <w:sz w:val="14"/>
                <w:szCs w:val="14"/>
                <w:color w:val="auto"/>
              </w:rPr>
              <w:t>Series A Junior Participating Preferred Purchase Rights</w:t>
            </w:r>
          </w:p>
        </w:tc>
        <w:tc>
          <w:tcPr>
            <w:tcW w:w="30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00" w:type="dxa"/>
            <w:vAlign w:val="bottom"/>
            <w:gridSpan w:val="2"/>
          </w:tcPr>
          <w:p>
            <w:pPr>
              <w:jc w:val="center"/>
              <w:ind w:left="356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740" w:type="dxa"/>
            <w:vAlign w:val="bottom"/>
            <w:gridSpan w:val="3"/>
          </w:tcPr>
          <w:p>
            <w:pPr>
              <w:jc w:val="center"/>
              <w:ind w:left="449"/>
              <w:spacing w:after="0"/>
              <w:rPr>
                <w:sz w:val="20"/>
                <w:szCs w:val="20"/>
                <w:color w:val="auto"/>
              </w:rPr>
            </w:pPr>
            <w:r>
              <w:rPr>
                <w:rFonts w:ascii="Times New Roman" w:cs="Times New Roman" w:eastAsia="Times New Roman" w:hAnsi="Times New Roman"/>
                <w:sz w:val="11"/>
                <w:szCs w:val="11"/>
                <w:b w:val="1"/>
                <w:bCs w:val="1"/>
                <w:color w:val="auto"/>
                <w:w w:val="98"/>
              </w:rPr>
              <w:t>_________________________________________________________________________________________________________________</w:t>
            </w:r>
          </w:p>
        </w:tc>
        <w:tc>
          <w:tcPr>
            <w:tcW w:w="0" w:type="dxa"/>
            <w:vAlign w:val="bottom"/>
          </w:tcPr>
          <w:p>
            <w:pPr>
              <w:spacing w:after="0"/>
              <w:rPr>
                <w:sz w:val="1"/>
                <w:szCs w:val="1"/>
                <w:color w:val="auto"/>
              </w:rPr>
            </w:pPr>
          </w:p>
        </w:tc>
      </w:tr>
      <w:tr>
        <w:trPr>
          <w:trHeight w:val="263"/>
        </w:trPr>
        <w:tc>
          <w:tcPr>
            <w:tcW w:w="760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c>
          <w:tcPr>
            <w:tcW w:w="314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line="161" w:lineRule="exact"/>
        <w:tabs>
          <w:tab w:leader="none" w:pos="706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17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71" w:lineRule="exact"/>
        <w:rPr>
          <w:sz w:val="24"/>
          <w:szCs w:val="24"/>
          <w:color w:val="auto"/>
        </w:rPr>
      </w:pPr>
    </w:p>
    <w:p>
      <w:pPr>
        <w:ind w:right="50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60" w:type="dxa"/>
        <w:tblCellMar>
          <w:top w:w="0" w:type="dxa"/>
          <w:left w:w="0" w:type="dxa"/>
          <w:bottom w:w="0" w:type="dxa"/>
          <w:right w:w="0" w:type="dxa"/>
        </w:tblCellMar>
      </w:tblPr>
      <w:tr>
        <w:trPr>
          <w:trHeight w:val="242"/>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6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Accelerated filer</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6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476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0"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588645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Indicated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3" w:lineRule="exact"/>
        <w:rPr>
          <w:sz w:val="20"/>
          <w:szCs w:val="20"/>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0"/>
          <w:szCs w:val="20"/>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2" w:lineRule="exact"/>
        <w:rPr>
          <w:sz w:val="20"/>
          <w:szCs w:val="20"/>
          <w:color w:val="auto"/>
        </w:rPr>
      </w:pPr>
    </w:p>
    <w:p>
      <w:pPr>
        <w:spacing w:after="0" w:line="161" w:lineRule="exact"/>
        <w:tabs>
          <w:tab w:leader="none" w:pos="6060" w:val="left"/>
          <w:tab w:leader="none" w:pos="66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1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of the registrant held by non-affiliates as of June 28, 2024 (the last business day of the registrant’s most recently completed second fiscal quarter), based on a closing price of $2.19 per share of the registrant’s common stock as reported on The Nasdaq Stock Market LLC on June 28, 2024, was approximately $53.6 million. For purposes of this computation, all officers, directors, and stockholders that the registrant has concluded are affiliates of the registrant are deemed to be affiliates. This calculation does not reflect a determination that certain holders are affiliates of the Registrant for any other purpose.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21, 2025, the registrant had 45,483,384 shares of common stock, $0.001 par value per share, outstanding.</w:t>
      </w:r>
    </w:p>
    <w:p>
      <w:pPr>
        <w:spacing w:after="0" w:line="13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2025 Annual Meeting of Stockholders to be filed with the Securities and Exchange Commission pursuant to Regulation 14A not later than 120 days after the end of the fiscal year covered by this Annual Report on Form 10-K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808355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2" w:name="page3"/>
    <w:bookmarkEnd w:id="2"/>
    <w:p>
      <w:pPr>
        <w:ind w:left="49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46"/>
        </w:trPr>
        <w:tc>
          <w:tcPr>
            <w:tcW w:w="120" w:type="dxa"/>
            <w:vAlign w:val="bottom"/>
            <w:vMerge w:val="restart"/>
          </w:tcPr>
          <w:p>
            <w:pPr>
              <w:spacing w:after="0"/>
              <w:rPr>
                <w:sz w:val="4"/>
                <w:szCs w:val="4"/>
                <w:color w:val="auto"/>
              </w:rPr>
            </w:pPr>
          </w:p>
        </w:tc>
        <w:tc>
          <w:tcPr>
            <w:tcW w:w="10320" w:type="dxa"/>
            <w:vAlign w:val="bottom"/>
            <w:gridSpan w:val="31"/>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SPECIAL NOTE REGARDING FORWARD-LOOKING STATEMENTS</w:t>
            </w: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20" w:type="dxa"/>
            <w:vAlign w:val="bottom"/>
            <w:vMerge w:val="continue"/>
          </w:tcPr>
          <w:p>
            <w:pPr>
              <w:spacing w:after="0"/>
              <w:rPr>
                <w:sz w:val="14"/>
                <w:szCs w:val="14"/>
                <w:color w:val="auto"/>
              </w:rPr>
            </w:pPr>
          </w:p>
        </w:tc>
        <w:tc>
          <w:tcPr>
            <w:tcW w:w="10320" w:type="dxa"/>
            <w:vAlign w:val="bottom"/>
            <w:gridSpan w:val="31"/>
            <w:vMerge w:val="continue"/>
          </w:tcPr>
          <w:p>
            <w:pPr>
              <w:spacing w:after="0"/>
              <w:rPr>
                <w:sz w:val="14"/>
                <w:szCs w:val="14"/>
                <w:color w:val="auto"/>
              </w:rPr>
            </w:pPr>
          </w:p>
        </w:tc>
        <w:tc>
          <w:tcPr>
            <w:tcW w:w="800" w:type="dxa"/>
            <w:vAlign w:val="bottom"/>
          </w:tcPr>
          <w:p>
            <w:pPr>
              <w:jc w:val="right"/>
              <w:ind w:right="11"/>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6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80" w:type="dxa"/>
            <w:vAlign w:val="bottom"/>
            <w:tcBorders>
              <w:top w:val="single" w:sz="8" w:color="0000FF"/>
            </w:tcBorders>
            <w:gridSpan w:val="5"/>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1.</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Business</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1A.</w:t>
            </w:r>
          </w:p>
        </w:tc>
        <w:tc>
          <w:tcPr>
            <w:tcW w:w="680" w:type="dxa"/>
            <w:vAlign w:val="bottom"/>
            <w:gridSpan w:val="5"/>
          </w:tcPr>
          <w:p>
            <w:pPr>
              <w:spacing w:after="0"/>
              <w:rPr>
                <w:sz w:val="17"/>
                <w:szCs w:val="17"/>
                <w:color w:val="auto"/>
              </w:rPr>
            </w:pPr>
          </w:p>
        </w:tc>
        <w:tc>
          <w:tcPr>
            <w:tcW w:w="89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Item 1B.</w:t>
            </w:r>
          </w:p>
        </w:tc>
        <w:tc>
          <w:tcPr>
            <w:tcW w:w="680" w:type="dxa"/>
            <w:vAlign w:val="bottom"/>
            <w:gridSpan w:val="5"/>
          </w:tcPr>
          <w:p>
            <w:pPr>
              <w:spacing w:after="0"/>
              <w:rPr>
                <w:sz w:val="17"/>
                <w:szCs w:val="17"/>
                <w:color w:val="auto"/>
              </w:rPr>
            </w:pPr>
          </w:p>
        </w:tc>
        <w:tc>
          <w:tcPr>
            <w:tcW w:w="20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6920" w:type="dxa"/>
            <w:vAlign w:val="bottom"/>
            <w:gridSpan w:val="13"/>
          </w:tcPr>
          <w:p>
            <w:pPr>
              <w:spacing w:after="0"/>
              <w:rPr>
                <w:sz w:val="17"/>
                <w:szCs w:val="17"/>
                <w:color w:val="auto"/>
              </w:rPr>
            </w:pP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Item 1C.</w:t>
            </w:r>
          </w:p>
        </w:tc>
        <w:tc>
          <w:tcPr>
            <w:tcW w:w="680" w:type="dxa"/>
            <w:vAlign w:val="bottom"/>
            <w:gridSpan w:val="5"/>
          </w:tcPr>
          <w:p>
            <w:pPr>
              <w:spacing w:after="0"/>
              <w:rPr>
                <w:sz w:val="17"/>
                <w:szCs w:val="17"/>
                <w:color w:val="auto"/>
              </w:rPr>
            </w:pPr>
          </w:p>
        </w:tc>
        <w:tc>
          <w:tcPr>
            <w:tcW w:w="10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7960" w:type="dxa"/>
            <w:vAlign w:val="bottom"/>
            <w:gridSpan w:val="18"/>
          </w:tcPr>
          <w:p>
            <w:pPr>
              <w:spacing w:after="0"/>
              <w:rPr>
                <w:sz w:val="17"/>
                <w:szCs w:val="17"/>
                <w:color w:val="auto"/>
              </w:rPr>
            </w:pP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3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Item 2.</w:t>
            </w:r>
          </w:p>
        </w:tc>
        <w:tc>
          <w:tcPr>
            <w:tcW w:w="89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89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Item 4.</w:t>
            </w:r>
          </w:p>
        </w:tc>
        <w:tc>
          <w:tcPr>
            <w:tcW w:w="89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680" w:type="dxa"/>
            <w:vAlign w:val="bottom"/>
            <w:tcBorders>
              <w:bottom w:val="single" w:sz="8" w:color="0E32E1"/>
            </w:tcBorders>
            <w:gridSpan w:val="4"/>
          </w:tcPr>
          <w:p>
            <w:pPr>
              <w:spacing w:after="0"/>
              <w:rPr>
                <w:sz w:val="20"/>
                <w:szCs w:val="20"/>
                <w:color w:val="auto"/>
              </w:rPr>
            </w:pPr>
            <w:r>
              <w:rPr>
                <w:rFonts w:ascii="Times New Roman" w:cs="Times New Roman" w:eastAsia="Times New Roman" w:hAnsi="Times New Roman"/>
                <w:sz w:val="18"/>
                <w:szCs w:val="18"/>
                <w:b w:val="1"/>
                <w:bCs w:val="1"/>
                <w:color w:val="0E32E1"/>
                <w:w w:val="97"/>
              </w:rPr>
              <w:t>PART II</w:t>
            </w:r>
          </w:p>
        </w:tc>
        <w:tc>
          <w:tcPr>
            <w:tcW w:w="66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5.</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Item 6.</w:t>
            </w:r>
          </w:p>
        </w:tc>
        <w:tc>
          <w:tcPr>
            <w:tcW w:w="89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Item 7.</w:t>
            </w:r>
          </w:p>
        </w:tc>
        <w:tc>
          <w:tcPr>
            <w:tcW w:w="89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Item 7A.</w:t>
            </w:r>
          </w:p>
        </w:tc>
        <w:tc>
          <w:tcPr>
            <w:tcW w:w="680" w:type="dxa"/>
            <w:vAlign w:val="bottom"/>
            <w:gridSpan w:val="5"/>
          </w:tcPr>
          <w:p>
            <w:pPr>
              <w:spacing w:after="0"/>
              <w:rPr>
                <w:sz w:val="17"/>
                <w:szCs w:val="17"/>
                <w:color w:val="auto"/>
              </w:rPr>
            </w:pPr>
          </w:p>
        </w:tc>
        <w:tc>
          <w:tcPr>
            <w:tcW w:w="43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20" w:type="dxa"/>
            <w:vAlign w:val="bottom"/>
            <w:gridSpan w:val="8"/>
          </w:tcPr>
          <w:p>
            <w:pPr>
              <w:spacing w:after="0"/>
              <w:rPr>
                <w:sz w:val="17"/>
                <w:szCs w:val="17"/>
                <w:color w:val="auto"/>
              </w:rPr>
            </w:pP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3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Item 8.</w:t>
            </w:r>
          </w:p>
        </w:tc>
        <w:tc>
          <w:tcPr>
            <w:tcW w:w="89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Item 9.</w:t>
            </w:r>
          </w:p>
        </w:tc>
        <w:tc>
          <w:tcPr>
            <w:tcW w:w="89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Item 9A.</w:t>
            </w:r>
          </w:p>
        </w:tc>
        <w:tc>
          <w:tcPr>
            <w:tcW w:w="680" w:type="dxa"/>
            <w:vAlign w:val="bottom"/>
            <w:gridSpan w:val="5"/>
          </w:tcPr>
          <w:p>
            <w:pPr>
              <w:spacing w:after="0"/>
              <w:rPr>
                <w:sz w:val="17"/>
                <w:szCs w:val="17"/>
                <w:color w:val="auto"/>
              </w:rPr>
            </w:pPr>
          </w:p>
        </w:tc>
        <w:tc>
          <w:tcPr>
            <w:tcW w:w="17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7200" w:type="dxa"/>
            <w:vAlign w:val="bottom"/>
            <w:gridSpan w:val="15"/>
          </w:tcPr>
          <w:p>
            <w:pPr>
              <w:spacing w:after="0"/>
              <w:rPr>
                <w:sz w:val="17"/>
                <w:szCs w:val="17"/>
                <w:color w:val="auto"/>
              </w:rPr>
            </w:pP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Item 9B.</w:t>
            </w:r>
          </w:p>
        </w:tc>
        <w:tc>
          <w:tcPr>
            <w:tcW w:w="680" w:type="dxa"/>
            <w:vAlign w:val="bottom"/>
            <w:gridSpan w:val="5"/>
          </w:tcPr>
          <w:p>
            <w:pPr>
              <w:spacing w:after="0"/>
              <w:rPr>
                <w:sz w:val="17"/>
                <w:szCs w:val="17"/>
                <w:color w:val="auto"/>
              </w:rPr>
            </w:pPr>
          </w:p>
        </w:tc>
        <w:tc>
          <w:tcPr>
            <w:tcW w:w="134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7640" w:type="dxa"/>
            <w:vAlign w:val="bottom"/>
            <w:gridSpan w:val="17"/>
          </w:tcPr>
          <w:p>
            <w:pPr>
              <w:spacing w:after="0"/>
              <w:rPr>
                <w:sz w:val="17"/>
                <w:szCs w:val="17"/>
                <w:color w:val="auto"/>
              </w:rPr>
            </w:pP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Item 9C.</w:t>
            </w:r>
          </w:p>
        </w:tc>
        <w:tc>
          <w:tcPr>
            <w:tcW w:w="680" w:type="dxa"/>
            <w:vAlign w:val="bottom"/>
            <w:gridSpan w:val="5"/>
          </w:tcPr>
          <w:p>
            <w:pPr>
              <w:spacing w:after="0"/>
              <w:rPr>
                <w:sz w:val="17"/>
                <w:szCs w:val="17"/>
                <w:color w:val="auto"/>
              </w:rPr>
            </w:pPr>
          </w:p>
        </w:tc>
        <w:tc>
          <w:tcPr>
            <w:tcW w:w="490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080" w:type="dxa"/>
            <w:vAlign w:val="bottom"/>
            <w:gridSpan w:val="6"/>
          </w:tcPr>
          <w:p>
            <w:pPr>
              <w:spacing w:after="0"/>
              <w:rPr>
                <w:sz w:val="17"/>
                <w:szCs w:val="17"/>
                <w:color w:val="auto"/>
              </w:rPr>
            </w:pP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60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6"/>
              </w:rPr>
              <w:t>Item 10.</w:t>
            </w:r>
          </w:p>
        </w:tc>
        <w:tc>
          <w:tcPr>
            <w:tcW w:w="780" w:type="dxa"/>
            <w:vAlign w:val="bottom"/>
            <w:gridSpan w:val="6"/>
          </w:tcPr>
          <w:p>
            <w:pPr>
              <w:spacing w:after="0"/>
              <w:rPr>
                <w:sz w:val="19"/>
                <w:szCs w:val="19"/>
                <w:color w:val="auto"/>
              </w:rPr>
            </w:pPr>
          </w:p>
        </w:tc>
        <w:tc>
          <w:tcPr>
            <w:tcW w:w="4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880" w:type="dxa"/>
            <w:vAlign w:val="bottom"/>
            <w:gridSpan w:val="9"/>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86"/>
              </w:rPr>
              <w:t>Item 11.</w:t>
            </w:r>
          </w:p>
        </w:tc>
        <w:tc>
          <w:tcPr>
            <w:tcW w:w="780" w:type="dxa"/>
            <w:vAlign w:val="bottom"/>
            <w:gridSpan w:val="6"/>
          </w:tcPr>
          <w:p>
            <w:pPr>
              <w:spacing w:after="0"/>
              <w:rPr>
                <w:sz w:val="17"/>
                <w:szCs w:val="17"/>
                <w:color w:val="auto"/>
              </w:rPr>
            </w:pPr>
          </w:p>
        </w:tc>
        <w:tc>
          <w:tcPr>
            <w:tcW w:w="89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EE"/>
            </w:tcBorders>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86"/>
              </w:rPr>
              <w:t>Item 12.</w:t>
            </w:r>
          </w:p>
        </w:tc>
        <w:tc>
          <w:tcPr>
            <w:tcW w:w="780" w:type="dxa"/>
            <w:vAlign w:val="bottom"/>
            <w:gridSpan w:val="6"/>
          </w:tcPr>
          <w:p>
            <w:pPr>
              <w:spacing w:after="0"/>
              <w:rPr>
                <w:sz w:val="17"/>
                <w:szCs w:val="17"/>
                <w:color w:val="auto"/>
              </w:rPr>
            </w:pPr>
          </w:p>
        </w:tc>
        <w:tc>
          <w:tcPr>
            <w:tcW w:w="730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680" w:type="dxa"/>
            <w:vAlign w:val="bottom"/>
            <w:gridSpan w:val="2"/>
          </w:tcPr>
          <w:p>
            <w:pPr>
              <w:spacing w:after="0"/>
              <w:rPr>
                <w:sz w:val="17"/>
                <w:szCs w:val="17"/>
                <w:color w:val="auto"/>
              </w:rPr>
            </w:pP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86"/>
              </w:rPr>
              <w:t>Item 13.</w:t>
            </w:r>
          </w:p>
        </w:tc>
        <w:tc>
          <w:tcPr>
            <w:tcW w:w="780" w:type="dxa"/>
            <w:vAlign w:val="bottom"/>
            <w:gridSpan w:val="6"/>
          </w:tcPr>
          <w:p>
            <w:pPr>
              <w:spacing w:after="0"/>
              <w:rPr>
                <w:sz w:val="17"/>
                <w:szCs w:val="17"/>
                <w:color w:val="auto"/>
              </w:rPr>
            </w:pPr>
          </w:p>
        </w:tc>
        <w:tc>
          <w:tcPr>
            <w:tcW w:w="546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520" w:type="dxa"/>
            <w:vAlign w:val="bottom"/>
            <w:gridSpan w:val="5"/>
          </w:tcPr>
          <w:p>
            <w:pPr>
              <w:spacing w:after="0"/>
              <w:rPr>
                <w:sz w:val="17"/>
                <w:szCs w:val="17"/>
                <w:color w:val="auto"/>
              </w:rPr>
            </w:pP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86"/>
              </w:rPr>
              <w:t>Item 14.</w:t>
            </w:r>
          </w:p>
        </w:tc>
        <w:tc>
          <w:tcPr>
            <w:tcW w:w="780" w:type="dxa"/>
            <w:vAlign w:val="bottom"/>
            <w:gridSpan w:val="6"/>
          </w:tcPr>
          <w:p>
            <w:pPr>
              <w:spacing w:after="0"/>
              <w:rPr>
                <w:sz w:val="17"/>
                <w:szCs w:val="17"/>
                <w:color w:val="auto"/>
              </w:rPr>
            </w:pPr>
          </w:p>
        </w:tc>
        <w:tc>
          <w:tcPr>
            <w:tcW w:w="28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6120" w:type="dxa"/>
            <w:vAlign w:val="bottom"/>
            <w:gridSpan w:val="12"/>
          </w:tcPr>
          <w:p>
            <w:pPr>
              <w:spacing w:after="0"/>
              <w:rPr>
                <w:sz w:val="17"/>
                <w:szCs w:val="17"/>
                <w:color w:val="auto"/>
              </w:rPr>
            </w:pP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13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E32E1"/>
              </w:rPr>
              <w:t>PART IV</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60" w:type="dxa"/>
            <w:vAlign w:val="bottom"/>
            <w:tcBorders>
              <w:top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000FF"/>
                <w:w w:val="86"/>
              </w:rPr>
              <w:t>Item 15.</w:t>
            </w:r>
          </w:p>
        </w:tc>
        <w:tc>
          <w:tcPr>
            <w:tcW w:w="160" w:type="dxa"/>
            <w:vAlign w:val="bottom"/>
            <w:tcBorders>
              <w:top w:val="single" w:sz="8" w:color="0E32E1"/>
            </w:tcBorders>
            <w:gridSpan w:val="3"/>
          </w:tcPr>
          <w:p>
            <w:pPr>
              <w:spacing w:after="0"/>
              <w:rPr>
                <w:sz w:val="19"/>
                <w:szCs w:val="19"/>
                <w:color w:val="auto"/>
              </w:rPr>
            </w:pPr>
          </w:p>
        </w:tc>
        <w:tc>
          <w:tcPr>
            <w:tcW w:w="620" w:type="dxa"/>
            <w:vAlign w:val="bottom"/>
            <w:gridSpan w:val="3"/>
          </w:tcPr>
          <w:p>
            <w:pPr>
              <w:spacing w:after="0"/>
              <w:rPr>
                <w:sz w:val="19"/>
                <w:szCs w:val="19"/>
                <w:color w:val="auto"/>
              </w:rPr>
            </w:pP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6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3"/>
              </w:rPr>
              <w:t>Item 16</w:t>
            </w:r>
          </w:p>
        </w:tc>
        <w:tc>
          <w:tcPr>
            <w:tcW w:w="780" w:type="dxa"/>
            <w:vAlign w:val="bottom"/>
            <w:gridSpan w:val="6"/>
          </w:tcPr>
          <w:p>
            <w:pPr>
              <w:spacing w:after="0"/>
              <w:rPr>
                <w:sz w:val="17"/>
                <w:szCs w:val="17"/>
                <w:color w:val="auto"/>
              </w:rPr>
            </w:pPr>
          </w:p>
        </w:tc>
        <w:tc>
          <w:tcPr>
            <w:tcW w:w="3080" w:type="dxa"/>
            <w:vAlign w:val="bottom"/>
            <w:tcBorders>
              <w:top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5900" w:type="dxa"/>
            <w:vAlign w:val="bottom"/>
            <w:gridSpan w:val="11"/>
          </w:tcPr>
          <w:p>
            <w:pPr>
              <w:spacing w:after="0"/>
              <w:rPr>
                <w:sz w:val="17"/>
                <w:szCs w:val="17"/>
                <w:color w:val="auto"/>
              </w:rPr>
            </w:pP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8"/>
        </w:trPr>
        <w:tc>
          <w:tcPr>
            <w:tcW w:w="1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forward-looking statements within the meaning of Section 27A of the Securities Act of 1933, as amended, and Section 21E of the Securities Exchange Act of 1934, as amended, (the “Exchange Act”), that involve substantial risks and uncertainties. The forward-looking statements are contained principally in Part I, Item 1. “Business,” Part I, Item 1A. “Risk Factors,” and Part II, Item 7. “Management’s Discussion and Analysis of Financial Condition and Results of Operations,” but are also contained elsewhere in this Annual Report.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These statements involve known and unknown risks, uncertainties and other factors that may cause our actual results,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and our expectations of the future, about which we cannot be certain. Forward-looking statements include statements about:</w:t>
      </w:r>
    </w:p>
    <w:p>
      <w:pPr>
        <w:spacing w:after="0" w:line="124" w:lineRule="exact"/>
        <w:rPr>
          <w:sz w:val="20"/>
          <w:szCs w:val="20"/>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expected future growth and our ability to manage such growth;</w:t>
      </w:r>
    </w:p>
    <w:p>
      <w:pPr>
        <w:spacing w:after="0" w:line="225"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TPST-1495 and amezalpat and any future product candidates;</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regulatory approval, efficacy and commercialization of competing products;</w:t>
      </w:r>
    </w:p>
    <w:p>
      <w:pPr>
        <w:spacing w:after="0" w:line="225" w:lineRule="exact"/>
        <w:rPr>
          <w:rFonts w:ascii="Times New Roman" w:cs="Times New Roman" w:eastAsia="Times New Roman" w:hAnsi="Times New Roman"/>
          <w:sz w:val="18"/>
          <w:szCs w:val="18"/>
          <w:color w:val="auto"/>
        </w:rPr>
      </w:pPr>
    </w:p>
    <w:p>
      <w:pPr>
        <w:ind w:left="1120" w:right="380" w:hanging="363"/>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sales and marketing capabilities or enter into agreements with third parties to market and sell our product candidates;</w:t>
      </w:r>
    </w:p>
    <w:p>
      <w:pPr>
        <w:spacing w:after="0" w:line="161" w:lineRule="exact"/>
        <w:rPr>
          <w:rFonts w:ascii="Times New Roman" w:cs="Times New Roman" w:eastAsia="Times New Roman" w:hAnsi="Times New Roman"/>
          <w:sz w:val="18"/>
          <w:szCs w:val="18"/>
          <w:color w:val="auto"/>
        </w:rPr>
      </w:pPr>
    </w:p>
    <w:p>
      <w:pPr>
        <w:ind w:left="1120" w:right="380" w:hanging="363"/>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regulatory approval for our product candidates or future product candidates in the United States and in any foreign countries in which we make seek to do business;</w:t>
      </w:r>
    </w:p>
    <w:p>
      <w:pPr>
        <w:spacing w:after="0" w:line="16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hire our board of directors, senior management, or operational personnel;</w:t>
      </w:r>
    </w:p>
    <w:p>
      <w:pPr>
        <w:spacing w:after="0" w:line="225" w:lineRule="exact"/>
        <w:rPr>
          <w:rFonts w:ascii="Times New Roman" w:cs="Times New Roman" w:eastAsia="Times New Roman" w:hAnsi="Times New Roman"/>
          <w:sz w:val="18"/>
          <w:szCs w:val="18"/>
          <w:color w:val="auto"/>
        </w:rPr>
      </w:pPr>
    </w:p>
    <w:p>
      <w:pPr>
        <w:ind w:left="1120" w:right="380" w:hanging="363"/>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corporate infrastructure, including our ability to design and maintain an effective system of internal controls;</w:t>
      </w:r>
    </w:p>
    <w:p>
      <w:pPr>
        <w:spacing w:after="0" w:line="161" w:lineRule="exact"/>
        <w:rPr>
          <w:rFonts w:ascii="Times New Roman" w:cs="Times New Roman" w:eastAsia="Times New Roman" w:hAnsi="Times New Roman"/>
          <w:sz w:val="18"/>
          <w:szCs w:val="18"/>
          <w:color w:val="auto"/>
        </w:rPr>
      </w:pPr>
    </w:p>
    <w:p>
      <w:pPr>
        <w:ind w:left="1120" w:right="380" w:hanging="363"/>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in compliance with our obligations under our term loan with Oxford Finance LLC, or to obtain a waiver from Oxford for any failure to comply with the covenants contained in such term loan agreement;</w:t>
      </w:r>
    </w:p>
    <w:p>
      <w:pPr>
        <w:spacing w:after="0" w:line="161" w:lineRule="exact"/>
        <w:rPr>
          <w:rFonts w:ascii="Times New Roman" w:cs="Times New Roman" w:eastAsia="Times New Roman" w:hAnsi="Times New Roman"/>
          <w:sz w:val="18"/>
          <w:szCs w:val="18"/>
          <w:color w:val="auto"/>
        </w:rPr>
      </w:pPr>
    </w:p>
    <w:p>
      <w:pPr>
        <w:ind w:left="1120" w:right="380" w:hanging="363"/>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bank failures, public health crises or geopolitical tensions;</w:t>
      </w:r>
    </w:p>
    <w:p>
      <w:pPr>
        <w:spacing w:after="0" w:line="161" w:lineRule="exact"/>
        <w:rPr>
          <w:rFonts w:ascii="Times New Roman" w:cs="Times New Roman" w:eastAsia="Times New Roman" w:hAnsi="Times New Roman"/>
          <w:sz w:val="18"/>
          <w:szCs w:val="18"/>
          <w:color w:val="auto"/>
        </w:rPr>
      </w:pPr>
    </w:p>
    <w:p>
      <w:pPr>
        <w:ind w:left="1120" w:right="380" w:hanging="363"/>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period during which we will qualify as a smaller reporting company under the federal securities laws; and</w:t>
      </w:r>
    </w:p>
    <w:p>
      <w:pPr>
        <w:spacing w:after="0" w:line="161" w:lineRule="exact"/>
        <w:rPr>
          <w:rFonts w:ascii="Times New Roman" w:cs="Times New Roman" w:eastAsia="Times New Roman" w:hAnsi="Times New Roman"/>
          <w:sz w:val="18"/>
          <w:szCs w:val="18"/>
          <w:color w:val="auto"/>
        </w:rPr>
      </w:pPr>
    </w:p>
    <w:p>
      <w:pPr>
        <w:jc w:val="both"/>
        <w:ind w:left="1120" w:right="380" w:hanging="363"/>
        <w:spacing w:after="0" w:line="26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refer to Item 1A. “Risk Factors” in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used herein, the words “Tempest,” “we,” “us,” “our,” and "company" refer to Tempest Therapeutics, Inc. and its direct and indirect subsidiaries, as applicable.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clinical-stage biotechnology company moving towards late-stage development with a diverse portfolio of targeted and immune-mediated product candidates with the potential to be first-in-class to treat a wide range of cancers. Our novel programs range from early research to the lead program, amezalpat (previously known as TPST-1120), that is poised to begin a pivotal study in first-line hepatocellular carcinoma (“HCC”). In addition to amezalpat, our second clinical-stage therapeutic product candidate is TPST-1495, which we expect will enter Phase 2 development in 2025. We believe both amezalpat and TPST-1495 are the first clinical-stage molecules designed to inhibit their respective targets.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philosophy is to build a company based upon not only good ideas and creative science, but also upon the efficient translation of those ideas into therapies that will improve patients’ lives. Each of our programs are designed to provide different and independent approaches to fighting cancer, providing a portfolio of truly diversified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Amezalpat (TPST-1120)</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Amezalpat is an oral, small molecule, selective antagonist of peroxisome proliferator-activated receptor alpha (“PPARα”) being developed for the treatment of first-line unresectable or metastatic HCC.</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2024, we unveiled positive survival data from the ongoing global randomized Phase 1b/2 clinical study demonstrating that amezalpat delivered a six-month improvement in median overall survival (“OS”) with a hazard ratio (“HR”) of 0.65 when combined with atezolizumab and bevacizumab in comparison to atezolizumab and bevacizumab alone, the standard of care, in the first-line treatment of patients with unresectable or metastatic HCC. Additionally, the survival benefit was preserved across key subpopulations, including patients with PD-L1 negative disease and β-catenin mutated disease, consistent with amezalpat’s proposed mechanism of action targeting both tumor cells directly and the patient’s immune system.</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2024, we announced the successful completion of our end-of-Phase 2 meeting with the U.S. Food and Drug Administration (“FDA”) regarding the development of amezalpat for the treatment of first-line unresectable or metastatic HCC. The FDA provided positive feedback on the pivotal Phase 3 clinical trial design, which closely mirrors the positive randomized Phase 2 study. The planned Phase 3 trial is designed to use the current Phase 2 amezalpat dose and schedule in combination with atezolizumab and bevacizumab and will be compared to atezolizumab and bevacizumab alone, the standard of care. The primary endpoint of the trial will be OS. Additionally, the FDA agreed to a pre-specified early efficacy analysis, which, if met, would potentially reduce the time to primary read-out by up to eight months.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we received a “Study May Proceed” letter from the FDA, authorizing the initiation of our pivotal Phase 3 trial. In January 2025, the FDA granted Orphan Drug Designation (“ODD”) for amezalpat for the treatment of patients with HCC. In February 2025, the FDA granted Fast Track Designation (“FTD”), underscoring the agency’s recognition of the urgent need for new treatment options for HCC. These designations provide potential regulatory benefits, including increased engagement with the FDA, eligibility for accelerated approval and priority review, and, for ODD, potential market exclusivity upon approval. We continue to advance amezalpat’s clinical development in alignment with both the FDA and the European Medicines Agency (“EMA”) and are actively preparing for the initiation of our pivotal Phase 3 study.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TPST-1495</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second clinical program, TPST-1495, is a novel, small-molecule dual antagonist of the EP2 and EP4 receptors of prostaglandin E2 (“PGE2”), a pathway implicated in multiple cancers. Our development strategy for TPST-1495 includes evaluation in Familial Adenomatous Polyposis (“FAP”), a rare genetic disorder that significantly increases the risk of gastrointestinal cancers and for which there are no approved systemic therapies. Given that prostaglandin signaling is also</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implicated in FAP and based on positive preclinical data in a relevant mouse model, we believe there is strong mechanistic support for this approach.</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2025, the Cancer Prevention Clinical Trials Network (“CP-CTNet”) received a “Study May Proceed” letter from the FDA, authorizing the initiation of a National Cancer Institute (“NCI”)-funded Phase 2 clinical trial evaluating TPST-1495 in patients with FAP. This trial, run by CP-CTNet and financially supported by the NCI’s Division of Cancer Prevention, underscores the urgent need for innovative cancer prevention strategies in high-risk patient populations. The Phase 2 study is expected to begin in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Beyond these clinical programs, we plan to continue to leverage our drug development and company-building experience along with academic relationships to identify promising new targets that have the potential to feed new programs into our pipeline. Our Discovery Research team employs a multidisciplinary approach to identify and validate therapeutic targets in oncology, and preclinical validation studies are then conducted to further understand the mechanism of action and potential therapeutic benefit to patients.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development pipeline consists of the following orally available therapies, which if approved by the FDA, we believe will be first in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154305</wp:posOffset>
            </wp:positionV>
            <wp:extent cx="5854700" cy="2177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5470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Timing is an estimate based on current projections and status of programs. For amezalpat, Phase 3 timelines are subject to funding.</w:t>
      </w:r>
    </w:p>
    <w:p>
      <w:pPr>
        <w:spacing w:after="0" w:line="234"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per-protocol planned analysis at 70% of events, prior to full data analysis.</w:t>
      </w:r>
    </w:p>
    <w:p>
      <w:pPr>
        <w:spacing w:after="0" w:line="234" w:lineRule="exact"/>
        <w:rPr>
          <w:rFonts w:ascii="Times New Roman" w:cs="Times New Roman" w:eastAsia="Times New Roman" w:hAnsi="Times New Roman"/>
          <w:sz w:val="16"/>
          <w:szCs w:val="16"/>
          <w:color w:val="auto"/>
        </w:rPr>
      </w:pPr>
    </w:p>
    <w:p>
      <w:pPr>
        <w:ind w:left="180" w:hanging="171"/>
        <w:spacing w:after="0"/>
        <w:tabs>
          <w:tab w:leader="none" w:pos="1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Dependent on additional funding.</w:t>
      </w:r>
    </w:p>
    <w:p>
      <w:pPr>
        <w:spacing w:after="0" w:line="234" w:lineRule="exact"/>
        <w:rPr>
          <w:rFonts w:ascii="Times New Roman" w:cs="Times New Roman" w:eastAsia="Times New Roman" w:hAnsi="Times New Roman"/>
          <w:sz w:val="16"/>
          <w:szCs w:val="16"/>
          <w:color w:val="auto"/>
        </w:rPr>
      </w:pPr>
    </w:p>
    <w:p>
      <w:pPr>
        <w:ind w:left="180" w:hanging="171"/>
        <w:spacing w:after="0"/>
        <w:tabs>
          <w:tab w:leader="none" w:pos="1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operationalized by the Cancer Prevention Network of NCI.</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team has come together to build an integrated company to deliver meaningful therapies to cancer patients by leveraging our collective capabilities and experience. We expect to build value for our stockholders with the following over-arching strategy:</w:t>
      </w:r>
    </w:p>
    <w:p>
      <w:pPr>
        <w:spacing w:after="0" w:line="162" w:lineRule="exact"/>
        <w:rPr>
          <w:sz w:val="20"/>
          <w:szCs w:val="20"/>
          <w:color w:val="auto"/>
        </w:rPr>
      </w:pPr>
    </w:p>
    <w:p>
      <w:pPr>
        <w:jc w:val="both"/>
        <w:ind w:left="760" w:right="2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amezalpat into a pivotal Phase 3 study in first-line HCC patients where amezalpat will be studied in a combination treatment and compared to a standard-of-care therapy. We believe the continued positive results from the ongoing randomized Phase 1b/2 study provides strategic opportunities for us, and we received positive feedback from</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 w:name="page8"/>
    <w:bookmarkEnd w:id="7"/>
    <w:p>
      <w:pPr>
        <w:ind w:left="760"/>
        <w:spacing w:after="0" w:line="282" w:lineRule="auto"/>
        <w:rPr>
          <w:sz w:val="20"/>
          <w:szCs w:val="20"/>
          <w:color w:val="auto"/>
        </w:rPr>
      </w:pPr>
      <w:r>
        <w:rPr>
          <w:rFonts w:ascii="Times New Roman" w:cs="Times New Roman" w:eastAsia="Times New Roman" w:hAnsi="Times New Roman"/>
          <w:sz w:val="18"/>
          <w:szCs w:val="18"/>
          <w:color w:val="auto"/>
        </w:rPr>
        <w:t>the FDA on the pivotal Phase 3 clinical trial design. We are also evaluating further development in RCC and CCA based on the Phase 1 data presented at ASCO 2022.</w:t>
      </w:r>
    </w:p>
    <w:p>
      <w:pPr>
        <w:spacing w:after="0" w:line="162"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TPST-1495 in a Phase 2 study in patients with FAP with CP-CTNet in 2025.</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5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pipeline by identifying novel oncology targets and in-licensing opportunities. Although we believe we have a robust pipeline, we continue to evaluate and pursue novel targets and product candidates for acquisition and in-licensing to supplement our internal research efforts and further build our pipeline of targeted molecules for oncology. Through our team’s focus and expertise in oncology and immunology, as well as established relationships with oncology and immunology thought leaders, we believe we are positioning the company as a partner of choice for innovative oncology drug candidate development. Continued advances in the biological understanding of diseases should provide opportunities to further expand our portfolio with preclinical and/or clinical product candidates.</w:t>
      </w:r>
    </w:p>
    <w:p>
      <w:pPr>
        <w:spacing w:after="0" w:line="18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business development opportunities to maximize the potential of our pipeline and extend financial resources. We believe that our pipeline has broad potential reach and partnerships that bring in additional expertise and/or geographic presence could be important to increase the likelihood of success. We currently own all rights to our programs. We intend to become a fully integrated biopharmaceutical company and build a targeted sales force in the United States to support the commercialization of our drug candidates, if approved.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Amezalpat: PPARα Transcription Factor Antagonist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Amezalpat, a potentially first-in-class oral small molecule antagonist of PPARα, has completed a Phase 1a/b trial, and is currently being studied in an ongoing randomized Phase 1b/2 trial. The Phase 1a/b trial was a multicenter, open-label, dose-escalation, that evaluated amezalpat as both a monotherapy and combination therapy with nivolumab in patients with advanced solid tumors. Results from both the monotherapy and combination arms were presented in an oral presentation at the ASCO conference in 2022. The ongoing Phase 1b/2 trial is a randomized, multicenter, global study in collaboration with Roche that is evaluating amezalpat in combination with atezolizumab (TECENTRIQ®) and bevacizumab (Avastin®) in previously untreated patients with advanced HCC, compared to atezolizumab and bevacizumab alone, which is a standard of care for that indication and patient population. As of an updated February 14, 2024 data cutoff date, the ongoing global randomized Phase 1b/2 trial continued to show positive outcomes in patients with advanced or metastatic HCC who received the amezalpat combination therapy as compared to the control arm, including a survival benefit in both the overall population and key subpopulations.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Tumors evolve to promote their own survival by alternating energy sources, promoting angiogenesis and evading immune recognition. PPARα is a transcription factor that is activated through binding of long-chain fatty acid ligands, which in turn regulates the expression of genes that control glucose and lipid homeostasis, inflammation, proliferation, differentiation and cell death. Included among these regulated genes are those that enable fatty acid oxidation (“FAO”), and β-oxidation metabolic pathways in cellular peroxisomes and in mitochondria. An FAO metabolic profile is associated with tumor proliferation, induction of angiogenesis and immune suppression. Published studies and internal Tempest analyses of over 9,000 primary or metastatic tumor samples in the Human Cancer Genome public database reveal a metabolic gene expression profile characterized by increased PPARα, FAO genes and lipogenesis associated with increased metastatic potential and reduced survival enrichment among multiple cancers, including HCC, CCA, breast carcinoma, colorectal adenocarcinoma, RCC, lung adenocarcinoma and prostate adenocarcinoma. Amezalpat is designed to block the pathways that support tumor cell proliferation, angiogenesis and immune suppression, resulting in reduced disease and patient benefit.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637540</wp:posOffset>
            </wp:positionV>
            <wp:extent cx="5854700" cy="2434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5470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Amezalpat Preclinical Results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conducted pre-clinical pharmacology studies along with pharmacokinetics (“PK”), and toxicology studies with amezalpat to support its ongoing evaluation for the treatment of patients with advanced solid tumors. The combined results of the preclinical studies that we have performed indicate that amezalpat has a dual anti-tumor mechanism of action that involves both directly inhibiting tumor proliferation and targeting suppressive immune response pathways to promote effective tumor-specific immunity. Our preclinical results support the large body of published literature that the PPARα target genes play an integral role in tumor growth, angiogenesis and evasion of immune recognition, and provide the scientific rationale for targeting this pathway with amezalpat.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Immune checkpoint blockade enhances anti-tumor immunity by restoring the activity of cytotoxic T (Teff) cells. Emerging experimental results suggest that inhibiting FAO with a PPARα antagonist may target resistance mechanisms to both anti-PD-L1/PD-1 and anti-VEGF therapies, supporting the combination of amezalpat with either or both therapies. We have conducted preclinical studies showing that while both amezalpat or anti-PD-1 monotherapy inhibited outgrowth of established flank MC38 tumors, the combination of these two agents resulted in synergistic anti-tumor activity. In addition, MC38 tumor-bearing mice cured by the combination therapy, unlike age-matched naïve control mice, were completely resistant to tumor growth when rechallenged with autologous MC38 tumor cells, demonstrating that amezalpat in combination with anti-PD-1 induced lasting tumor-specific immune memory. In addition, activating mutations in the Wnt/B-catenin pathway represent the most frequently dysregulated pathway in HCC. Such mutations render a tumor cell dependent upon FAO for its energy source, and in preclinical studies, Tempest has shown reduction and long-term durable cures in mice bearing Wnt/B-catenin activated HCC tumors treated with amezalpat and an immune checkpoint inhibitor. The promise of these pre-clinical results have been observed in the clinic, where we observed increased clinical benefit in our Phase 1b/2 study in HCC patients who had a mutation in this pathway.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Efficacy in Syngeneic β-Catenin-driven Hepatocellular Carcinoma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19685</wp:posOffset>
            </wp:positionV>
            <wp:extent cx="5854700" cy="3497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54700"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Tumor resistance to anti-angiogenic drugs is also associated with elevated lipogenesis and FAO, primarily through the vascular regression and hypoxic environment that this class of therapies engenders. In response, tumor cells can switch to FAO as a mechanism of resistance against anti-angiogenic therapy. In a preclinical study, we confirmed that combination of amezalpat with tyrosine kinase inhibitor-(“TKI-”), based anti-angiogenesis therapy confers potent anti-tumor activity.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preclinical data for amezalpat are consistent with the data observed from our Phase 1 trial presented at ASCO in 2022. Taken together, we believe the hypothesis behind the amezalpat program, the preclinical data, and the Phase 1 data support the design of, and data observed from, the ongoing study of amezalpat in first-line HCC in combination with standard of care as well as the potential evaluation of amezalpat in combination with other therapeutic agents, such as a tyrosine kinase inhibitor (“TKI”), in FAO-reliant malignancies such as HCC and RCC.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amezalpat Clinical Trials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completed a Phase 1a/b study of amezalpat and a randomized Phase 1b/2 clinical study is ongoing. We have released positive data from both studies, and we believe the continued positive data announced in 2024 supports the advancement of amezalpat to a pivotal Phase 3 trial in first-line HCC. The Phase 1a/b trial evaluated both monotherapy and combination therapy with the anti-PD-1 agent nivolumab in patients with advanced solid tumors that our PPARα-dependent transcriptome analysis of diverse human cancers revealed favor the usage of FAO. Results from both the monotherapy and the combination arms were presented in an oral presentation at the ASCO conference in 2022.</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Amezalpat demonstrated monotherapy clinical benefit in patients with late-line, treatment-refractory cancers where objective responses (RECIST v1.1) would not be expected, including pancreatic, CCA, and colorectal cancers (“CRC”). Results showed that 53% (10/19) of patients experienced clinical benefit in the form of disease control, including tumor shrinkage in 21% of the patients. One subject with late line CCA had a 15% tumor shrinkage and was on study for over nine months of treatment, while also demonstrating on-target inhibition of expression of PPARα target genes on pharmacodynamic (“PD”) assessment.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both"/>
        <w:spacing w:after="0" w:line="255" w:lineRule="auto"/>
        <w:rPr>
          <w:sz w:val="20"/>
          <w:szCs w:val="20"/>
          <w:color w:val="auto"/>
        </w:rPr>
      </w:pPr>
      <w:r>
        <w:rPr>
          <w:rFonts w:ascii="Times New Roman" w:cs="Times New Roman" w:eastAsia="Times New Roman" w:hAnsi="Times New Roman"/>
          <w:sz w:val="18"/>
          <w:szCs w:val="18"/>
          <w:color w:val="auto"/>
        </w:rPr>
        <w:t>In the combination therapy portion of the trial, 15 evaluable patients with heavily pretreated RCC, HCC and CCA were treated with oral twice-daily amezalpat and the anti-PD-1 therapy, nivolumab. All the HCC and RCC patients had received an approved anti-PD-1 therapy in at least one prior line of therapy and discontinued that treatment due to disease progression. We observed objective responses (RECIST v1.1) in two patients with late-line RCC who had previously progressed on anti-PD-1 therapy without having achieved an objective response (ORR 50%, n=2/4, in evaluable RCC patients), and we observed mixed response in a third RCC IO-refractory patient with significant reduction (&gt;30%) in the target lesion, but the appearance of new disease precluded designation as a RECIST PR. A third RECIST response was observed in a patient with late-line, heavily pre-treated CCA, a tumor type generally not responsive to anti-PD-1 therapy alone. All the RECIST responses were observed at the two highest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131445</wp:posOffset>
            </wp:positionV>
            <wp:extent cx="4997450" cy="19977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7450" cy="199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Notably, one RCC patient who achieved a response after treatment with amezalpat and nivolumab had previously been treated with nivolumab in combination with ipilimumab without experiencing an objective response and progressed on treatment, followed by further progression of cancer on both cabozantinib and everolimus. The initial RECIST PR was seen at the first on-study assessment at eight weeks and included a response in all target lesions as well as complete radiographic resolution of multiple sites of metastatic disease (see CT scan below) and has been confirmed at subsequent assessments beyond 12 months.</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Partial Response in Late-Line RCC Patient Treated with amezalpat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Nivolumab Combination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280035</wp:posOffset>
            </wp:positionV>
            <wp:extent cx="5854700" cy="2322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5470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Randomized Data in HCC</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18"/>
          <w:szCs w:val="18"/>
          <w:color w:val="auto"/>
        </w:rPr>
        <w:t>As of an updated February 14, 2024 data cutoff date, the ongoing global randomized Phase 1b/2 trial of amezalpat, combined with the standard-of-care first-line regimen of atezolizumab and bevacizumab continued to show positive results in patients with advanced or metastatic HCC. The study is comparing the amezalpat arm to standard of care alone, and enrolled 40 patients randomized to the amezalpat arm and 30 patients randomized to the control arm. With 10 additional months of follow-up since the April 2023 primary analysis, the median OS in the amezalpat arm reached 21 months, representing a 6-month improvement over the 15-month OS in the control arm. Importantly, the HR remained stable, demonstrating a sustained reduction in the relative risk of death compared to the control arm.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data cutoff date, 50% (20/40) of patients in the amezalpat arm remained in survival follow-up versus 30% (9/30) in the control arm. We believe this reinforces the meaningful clinical benefit observed in this population, with OS serving as the primary endpoint for regulatory approval globally for first-line HCC.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confirmed ORR for the amezalpat arm remained consistent at 30%, compared to 13.3% in the control arm. Notably, one patient in the amezalpat arm who had previously achieved a PR as of April 2023 converted to a CR by February 2024, with at least an 80% reduction in tumor burden. This patient, despite having a PD-L1 score &lt;1% and an immune desert phenotype, achieved a CR with the addition of amezalpat, highlighting its potential efficacy in hard-to-treat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262890</wp:posOffset>
            </wp:positionV>
            <wp:extent cx="5854700" cy="1954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5470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Data not provided by Roche</w:t>
      </w:r>
    </w:p>
    <w:p>
      <w:pPr>
        <w:spacing w:after="0" w:line="2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in biomarker subpopulation analyses, patients with b-catenin activating mutations (21% of the study population) showed an increased confirmed ORR of 43% and a disease control rate (“DCR”) of 100% in the amezalpat arm. The triplet regimen with amezalpat remained active across PD-L1 negative tumors, with a confirmed ORR of 27% in the amezalpat arm, compared to a reduced ORR of 7% for the control arm.</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774700</wp:posOffset>
            </wp:positionV>
            <wp:extent cx="5854700" cy="62064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54700" cy="6206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Early in the development of amezalpat, given the expression profile and attributes of PPARα, we selected HCC, RCC and CCA as cancers of interest and checkpoint inhibitors and anti-angiogenic therapeutics as potential companion therapies with the goal to maximize the opportunity to bring meaningful benefit to patients with these cancers. Based on the pre-clinical and clinical data released to date, we believe that the emerging clinical benefit profile of amezalpat for patients shows alignment with these predictions, and we look forward to the potential benefit amezalpat could bring to patients with these cancers.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own worldwide rights to amezalpat, and have filed and been issued patents, including composition of matter, pharmaceutical compositions, and related methods of use, which are expected to expire between December 2033 and November 2043, without giving effect to any patent term extensions.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TPST-1495: Dual EP2/EP4 Prostaglandin Receptor Antagonist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second clinical product candidate is TPST-1495, a potentially first-in-class, oral, small molecule dual antagonist of the prostaglandin E2 (“PGE2”), receptors, EP2 and EP4. TPST-1495 is engineered to inhibit only these receptors while sparing the homologous - but differentially active - EP1 and EP3 receptors.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extensive literature demonstrating that PGE2 both enhances tumor proliferation and inhibits anti-cancer immune function; it is known from the scientific literature that many tumors express elevated levels of the cyclooxygenase enzymes that produce PGE2. Elevated expression of COX-2 and overproduction of PGE2 is correlated with progression of diverse malignancies by stimulating tumor cell proliferation, survival, evasion and metastasis as well as host angiogenesis. In addition, PGE2 suppresses anti-tumor immunity by inhibiting the function of critical anti-tumor immune effector cell populations such as dendritic cells, natural killer (“NK cells”), T cells, and M1 macrophages, while promoting the activity of suppressive immune cell populations including myeloid-derived suppressor cells (“MDSCs”), M2 macrophages, and regulatory T cells. Recent studies have also shown that increased expression of COX-2 and production of PGE2 can play a role in the effectiveness of immune checkpoint inhibitor therapy and in the development of adaptive resistance to therapy. This body of literature provides the scientific rationale for developing therapeutics that maximally inhibit the prostaglandin pathway, as well as for combining TPST-1495 with immune checkpoint inhibitor monoclonal antibodies.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preclinical studies to evaluate TPST-1495, including its ability to reverse PGE2-mediated suppression of primary human monocyte to dendritic cell differentiation and activation in vitro, as well as comparisons to other agents designed to operate in the same pathway such as a single EP4 antagonist and, as described, COX2.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also conducted preclinical studies to evaluate TPST-1495 in a spontaneous APCMin/+ mouse model of FAP that demonstrated a significant survival advantage in comparison to other inhibitors in the prostaglandin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854700" cy="2768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5470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Source: Francica et al., Cancer Res Commun; 3(8) August 2023 https://doi.org/10.1158/2767-9764.CRC-23-0249</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Ongoing TPST-1495 Clinical Trials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TPST-1495 was evaluated in a first-in-human, Phase 1, multicenter, open-label, schedule and dose optimization trial in subjects with late-stage solid tumor cancers that are deemed incurable. Study objectives include evaluation of safety, tolerability, PK, PD, and preliminary anti-tumor activity of TPST-1495 as monotherapy and in combination with the checkpoint inhibitor, pembrolizumab. TPST-1495 has been evaluated on a once daily (“QD”) or twice daily (“BID”) schedule and with continuous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ind w:right="180"/>
        <w:spacing w:after="0" w:line="258" w:lineRule="auto"/>
        <w:rPr>
          <w:sz w:val="20"/>
          <w:szCs w:val="20"/>
          <w:color w:val="auto"/>
        </w:rPr>
      </w:pPr>
      <w:r>
        <w:rPr>
          <w:rFonts w:ascii="Times New Roman" w:cs="Times New Roman" w:eastAsia="Times New Roman" w:hAnsi="Times New Roman"/>
          <w:sz w:val="18"/>
          <w:szCs w:val="18"/>
          <w:color w:val="auto"/>
        </w:rPr>
        <w:t>or intermittent administration as monotherapy and in combination with pembrolizumab. Results from the Phase 1 study were presented at ASCO 2023. The data showed that in a diverse and treatment-refractory patient population, treatment with TPST-1495 as a monotherapy and in combination with pembrolizumab resulted in tumor shrinkage and prolonged stable disease in certain patients with a monotherapy safety profile on the recommended QD schedule that was tolerable, with predominantly Grade 1-2 treatment related adverse events (“TRAEs”). For the combination with pembrolizumab, Grade 1-3 TRAEs were reported.</w:t>
      </w:r>
    </w:p>
    <w:p>
      <w:pPr>
        <w:spacing w:after="0" w:line="19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Our preclinical results in the APC</w:t>
      </w:r>
      <w:r>
        <w:rPr>
          <w:rFonts w:ascii="Times New Roman" w:cs="Times New Roman" w:eastAsia="Times New Roman" w:hAnsi="Times New Roman"/>
          <w:sz w:val="24"/>
          <w:szCs w:val="24"/>
          <w:color w:val="auto"/>
          <w:vertAlign w:val="superscript"/>
        </w:rPr>
        <w:t>Min/+</w:t>
      </w:r>
      <w:r>
        <w:rPr>
          <w:rFonts w:ascii="Times New Roman" w:cs="Times New Roman" w:eastAsia="Times New Roman" w:hAnsi="Times New Roman"/>
          <w:sz w:val="18"/>
          <w:szCs w:val="18"/>
          <w:color w:val="auto"/>
        </w:rPr>
        <w:t xml:space="preserve"> lead us to consider the application of TPST-1495 in familial adenomatous polyposis syndrome (“FAP”). FAP is a hereditary condition characterized by the development of numerous polyps in the colon and rectum. These polyps have the potential to become cancerous if left untreated. FAP is caused by mutations in the APC gene, which normally helps regulate cell growth and division in the intestinal lining. Individuals with FAP have a significantly increased risk of developing colorectal cancer at a young age, often before the age of 40. Additionally, FAP can lead to the development of polyps in other parts of the gastrointestinal tract, as well as other non-gastrointestinal tumors. Management of FAP typically involves regular surveillance with colonoscopies and surgical intervention to remove the polyps and reduce the risk of cancer. Currently, there are no systemic therapies approved to treat FAP. We are working with CP-CTNet on an NCI-funded Phase 2 study, which we expect will begin this year.</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we own worldwide rights to TPST-1495, and our issued United States patents covering TPST-1495 as compositions of matter, pharmaceutical compositions and related methods of use, are expected to expire between April 2038 and April 2039, without giving effect to any patent term adjustments or patent term extensions for regulatory delay.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Discovery Research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Discovery Research team is dedicated to identifying and validating novel therapeutic targets in oncology. We are not bound to a single technology platform, which allows us the scientific freedom to pursue targets and modalities that we believe have the highest probability to benefit patients. Rigorous medicinal chemistry and a broad set of preclinical validation studies are conducted to further evaluate lead compounds and inform decision-making for advancement into clinical development. Collaboration with academic institutions, contract research organizations (“CROs”), and strategic partners provides opportunity to enrich our pipeline, as well, enhancing our ability to deliver innovative medicines to address unmet medical needs.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Roche Collaboration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2021, we entered into a collaboration agreement with F. Hoffmann-La Roche Ltd. (“Roche”) to accelerate the development of amezalpat into a global, first-line, randomized study. The companies are evaluating amezalpat in a Phase 1b/2 clinical study in combination with the standard-of-care first-line regimen of atezolizumab and bevacizumab in patients with advanced or metastatic HCC, not previously treated with systemic therapy. Pursuant to the terms of the agreement, Roche is managing the study operations for the trial, and we retain global development and commercialization rights to amezalpat. Pursuant to the agreement, Roche provides us with notice of the amount of amezalpat required and the delivery timeline, and we supply the amezalpat. All rights to invention and discoveries relating solely to amezalpat or biomarkers solely related to amezalpat made during any study will be our exclusive property. All data generated in the performance of any study under the collaboration agreement will be the property of Roche, but we are entitled to use the data for any lawful purpose.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 applies on a study-by-study basis until the last treatment of the last patient in a study receiving amezalpat in accordance with the protocol for such study or until the termination of this collaboration agreement by either party. Each party has the right to terminate the collaboration agreement upon 60 days prior written notice to the other party. Upon any termination of the agreement, neither we nor Roche will be entitled to any compensation, damages or other payment. If any individual study supplement is terminated, Roche must return all unused amezalpat to us free of charge or destroy such product at our request.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Roche Master Clinical Supply Agreement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2024, we entered into a master clinical supply agreement (“Roche Supply Agreement”) with Roche, pursuant to which Roche will supply Roche’s atezolizumab (TECENTRIQ) for use in one or more clinical studies conducted by us involving amezalpat in combination with atezolizumab, in each case, in accordance with the applicable study protocol prepared by us and reviewed by Roche. Under the Roche Supply Agreement, the parties may execute one or more clinical supply agreement supplements (each, a “CSA Supplement”) that will set forth the study to be conducted by us, the quantities of atezolizumab to be supplied by Roche for such study, and the delivery timeline for such quantities of atezolizumab. In October 2024, we entered into a CSA Supplement for Roche to supply atezolizumab to us, free of charge, for use in our planned Phase 3 trial.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 If we build a commercial infrastructure to support marketing in North America, such commercial infrastructure could be expected to include a targeted sales force supported by sales management, internal sales support, an internal marketing group and distribution support. To develop the appropriate commercial infrastructure internally, we would have to invest financial and management resources, some of which would have to be deployed prior to any confirmation that one of our product candidates will be approved.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and expect to continue to rely on third parties for the manufacture of our product candidates for preclinical and clinical testing, as well as for commercial manufacture if any of our product candidates obtain marketing approval. We also rely, and expect to continue to rely, on third parties to package, label, store and distribute our investigational product candidates, as well as for our commercial products if marketing approval is obtained. We have internal personnel and utilize consultants with extensive technical, manufacturing, analytical and quality experience to oversee contract manufacturing and testing activities. We will continue to expand and strengthen our network of third-party providers but may also consider investing in internal manufacturing capabilities in the future if there is a technical need, or a strategic or financial benefit.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Manufacturing is subject to extensive regulations that impose procedural and documentation requirements. At a minimum these regulations govern record keeping, manufacturing processes and controls, personnel, quality control and quality assurance. Our systems, procedures and contractors are required to comply with these regulations and are assessed through regular monitoring and formal audits.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biopharmaceutical and immuno-oncology industries are characterized by intense competition and rapid innovation. Any product candidates that we successfully develop and commercialize will have to compete with existing and future new therapies. While we believe that our technology, development experience and scientific knowledge provide us with competitive advantages, we face potential competition from many different sources, including large and specialty pharmaceutical and biotechnology companies, academic research institutions, government agencies and public and private research institutions that conduct research, seek patent protection, and establish collaborative arrangements for research, development, manufacturing and commercialization.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amezalpat, TPST-1495, or any future product candidates are approved for the treatment of tumors, they may compete with other products used to treat such diseases. There are a variety of treatments used for cancerous tumors that include chemotherapy drugs, small molecules, monoclonal antibodies, antibody-drug conjugates, bi-specific antibodies, cell therapies, oncolytic viruses and vaccines, as well as other approaches. In addition, there are several competitors in clinical development for the treatment of</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HCC, RCC, cholangiocarcinoma, and other indications that we may be targeting with amezalpat and TPST-1495, including companies such as Ono, Adlai Nortye, Merck, Roche, Exelixis, and AstraZeneca.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Amezalpat, our small molecule designed to be a selective antagonist of PPARα, is the first PPARα antagonist in the clinic. We are not aware of other companies developing such an antagonist. For TPST-1495, our small molecule designed to be a dual antagonist of the EP2 and EP4 receptor, we are aware of other clinical-stage EP-4-only antagonists being developed by Adlai Nortye and Ono.</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our competitors, either alone or with strategic partners, have substantially greater financial, technical and human resources than we do. Accordingly, our competitors may be more successful than us in research and development, manufacturing, preclinical testing, conducting clinical trials, obtaining approval for treatments and achieving widespread market acceptance, rendering our treatments obsolete or non-competitive.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commercial opportunity could be substantially limited if our competitors develop and commercialize products that are more effective, safer, less toxic, more convenient or less expensive than our comparable products. In geographies that are critical to our commercial success, competitors may also obtain regulatory approvals before us, resulting in our competitors building a strong market position in advance of the entry of our products. The key competitive factors affecting the success of all our programs are likely to be their efficacy, safety, convenience and availability of reimbursement. In addition, our ability to compete may be affected in many cases by insurers or other third-party payors seeking to encourage the use of generic drugs.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are commercially important to our business, including obtaining, maintaining, and defending our patent rights. Our policy is to seek to protect our proprietary position by, among other methods, filing patent applications and obtaining issued patents in the United States and in markets outside of the United States directed to our proprietary technology, inventions, improvements, and product candidates that are important to the development and implementation of our business. We also rely on trade secrets and know-how relating to our proprietary technology and product candidates and continuing innovation to develop, strengthen and maintain our proprietary position in the field of oncology. We also plan to rely on data exclusivity, market exclusivity and patent term extensions when available. Our commercial success will depend in part on our ability to obtain and maintain patent and other proprietary protection for our technology, inventions, improvements, and product candidates; to preserve the confidentiality of our trade secrets; to defend and enforce our proprietary rights, including any patents that we may own or license in the future; and to operate without infringing on the valid and enforceable patents and other proprietary rights of third parties.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our patent portfolio consisted of issued patents and pending patent applications that we own or in-licensed related to amezalpat, TPST-1495 and various other compounds and programs, such as our earlier-stage research programs. In total, as of the same date, we owned or in-licensed nine issued United States patents, eleven pending United States patent applications, four pending Patent Cooperation Treaty (PCT) applications, and in various markets outside of the United States, including Europe, China and Japan: 55 issued patents and 13 pending patent applications.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amezalpat, as of December 31, 2024, we own issued patents and pending patent applications in the United States, Europe, China, Japan, and other markets outside of the United States as well as one pending PCT application. The issued United States patents covering amezalpat as compositions of matter, pharmaceutical compositions, and related methods of use are expected to expire in December 2033, absent any patent term adjustments or patent term extensions for regulatory delay. Any additional patents that may issue from these pending patent applications are expected to expire between December 2033 and May 2045, absent any patent term adjustments or patent term extensions for regulatory delay.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TPST-1495, as of December 31, 2024, we own issued patents and pending patent applications in the United States, Europe, China, Japan, and other markets outside of the United States as well as one pending PCT application. The issued United State patents covering TPST-1495 as compositions of matter, pharmaceutical compositions, and related methods of use are expected to expire between April 2038 and April 2039, absent any patent term adjustments or patent term extensions for regulatory delay. Any additional patents that may issue from these pending patent applications are expected to expire between April 2038 and June 2045, absent any patent term adjustments or patent term extensions for regulatory delay.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our patent portfolio also included pending patent applications in the United States and Europe that are exclusively licensed to us by the University of California at Berkeley. The licensed patent applications do not cover any of our current product candidates.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possess substantial know-how and trade secrets relating to the development and commercialization of our product candidates, including related manufacturing processes and technology.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our product candidates and processes that we intend to develop and commercialize in the normal course of business, we intend to pursue patent protection covering, when possible, compositions, methods of use, dosing, and formulations. We may also pursue patent protection with respect to manufacturing and drug development processes and technologies.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Issued patents can provide protection for varying periods of time, depending upon the date of filing of the patent application, the date of patent issuance and the legal term of patents in the countries in which they are obtained. In general, patents issued for patent applications filed in the United States can provide exclusionary rights for 20 years from the earliest effective filing date. The term of United States patents may be extended by delays encountered during prosecution that are caused by the USPTO, also known as patent term adjustment. In addition, in certain instances, the term of an issued United States patent that covers or claims an FDA approved product can be extended to recapture a portion of the term effectively lost as a result of the FDA regulatory review period, which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patent positions of companies like ours are generally uncertain and involve complex legal and factual questions. No consistent policy regarding the scope of claims allowable in patents in the field of oncology has emerged in the United States. The relevant patent laws and their interpretation outside of the United States are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its pending patent applications or with respect to any patent applications we may file in the future, nor can we be sure that any patents that may be granted to us in the future will be commercially useful in protecting its products, the methods of use or manufacture of those products.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even its issued patents may not guarantee us the right to practice our technology in relation to the commercialization of its products.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our issued patents may be challenged, invalidated, or circumvented, which could limit our ability to stop competitors from marketing related products or could limit the term of patent protection that otherwise may exist for its product candidates. In addition, the scope of the rights granted under any issued patents may not provide us with protection or competitive advantages against competitors with similar technology.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extensively regulate, among other things, the research, development, testing, manufacture, quality control, approval, labeling, packaging, storage, record-keeping, promotion, advertising, distribution, post-approval monitoring and reporting, marketing and export and import of pharmaceutical products, such as our investigational medicines and any future investigational medicines. Generally, before a new pharmaceutical product can be marketed, considerable data demonstrating its quality, safety and efficacy must be obtained, organized into a format specific for each regulatory authority, submitted for review and approved by the regulatory authority.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Process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pharmaceutical products are subject to extensive regulation by the FDA, the Federal Food, Drug, and Cosmetic Act (“FFDCA”),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clinical hold, FDA refusal to approve pending a New Drug Applications (“NDA”) warning or untitled letters, product recalls, product seizures, total or partial suspension of production or distribution, injunctions, fines, civil penalties and criminal prosecution.</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investigational medicines and any future investigational medicines must be approved by the FDA pursuant to an NDA before they may be legally marketed in the United States. The process generally involves the following:</w:t>
      </w:r>
    </w:p>
    <w:p>
      <w:pPr>
        <w:spacing w:after="0" w:line="162" w:lineRule="exact"/>
        <w:rPr>
          <w:sz w:val="20"/>
          <w:szCs w:val="20"/>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laboratory and animal studies in accordance with applicable regulations, including studies conducted in accordance with Good Laboratory Practice (“GLP”) requirements;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(“IRB”) or independent ethics committee at each clinical trial site before each clinical trial may be commenced;</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Investigational New Drug (“IND”) regulations, Good Clinical Practice (“GCP”) requirements and other clinical trial-related regulations to establish the safety and efficacy of the investigational product for each proposed indication;</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user fees for FDA review of an NDA;</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accept the filing for review;</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or components thereof, will be produced to assess compliance with Good Manufacturing Practices (“cGMP”) requirements to assure that the facilities, methods and controls are adequate to preserve the drug’s identity, strength, quality and purity;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potential FDA audits of the clinical trial sites that generated the data in support of the NDA to assure compliance with GCPs and integrity of the clinical data;</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an NDA, including consideration of the views of any FDA advisory committee; and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risk evaluation and mitigation strategy (“REMS”), where applicable, and post-approval studies required by the FDA as a condition of approval.</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preclinical and clinical testing and approval process requires substantial time, effort and financial resources, and we cannot be certain that any approvals for our product candidates will be granted on a timely basis, or at all.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Before testing any drug product candidates in humans, the product candidate must undergo rigorous preclinical testing. Preclinical tests include laboratory evaluation of product chemistry, formulation and toxicity, as well as in vitro and animal studies to assess the potential for adverse events and in some cases to establish a rationale for therapeutic use. The conduct of the preclinical tests must comply with federal regulations and requirements, including GLP. An IND sponsor must submit the results of the preclinical tests, together with manufacturing information, analytical data, any available clinical data or literature and plans for clinical studies, among other things, to the FDA as part of an IND. An IND is a request for authorization from the FDA to administer an investigational product to humans and must become effective before human clinical trials may begin. Some long-term preclinical testing may continue after an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to healthy volunteers or patients under the supervision of a qualified investigator, generally a physician not employed by or under the trial sponsor’s control. Clinical trials must be conducted: (i) in compliance with federal regulations; (ii) in compliance with GCP, an international standard meant to protect the rights and health of patients and to define the roles of clinical trial sponsors, administrators and monitors; as well as (iii) under protocols detailing, among other things, the objectives of the trial, the parameters to be used in monitoring safety and the effectiveness criteria to be evaluated in the trial. Each protocol involving testing on U.S. patients and subsequent protocol amendments must be submitted to the FDA as part of an IND.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also are requirements governing the reporting of ongoing clinical trials and completed clinical trial results to public registries. Information about certain clinical trials, including clinical trial results, must be submitted within specific timeframes for publication on the www.clinicaltrials.gov website. Information related to the product, patient population, phase of investigation, clinical trial sites and investigators and other aspects of the clinical trial is then made public as part of the registration. Disclosure of the results of these clinical trials can be delayed in certain circumstances for up to two years after the date of completion of the trial.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The FDA will accept a well-designed and well-conducted foreign clinical</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line="282" w:lineRule="auto"/>
        <w:rPr>
          <w:sz w:val="20"/>
          <w:szCs w:val="20"/>
          <w:color w:val="auto"/>
        </w:rPr>
      </w:pPr>
      <w:r>
        <w:rPr>
          <w:rFonts w:ascii="Times New Roman" w:cs="Times New Roman" w:eastAsia="Times New Roman" w:hAnsi="Times New Roman"/>
          <w:sz w:val="18"/>
          <w:szCs w:val="18"/>
          <w:color w:val="auto"/>
        </w:rPr>
        <w:t>trial not conducted under an IND if the clinical trial was conducted in accordance with GCP requirements, and the FDA is able to validate the data through an onsite inspection if deemed necessary.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are generally conducted in three sequential phases, known as Phase 1, Phase 2 and Phase 3:</w:t>
      </w:r>
    </w:p>
    <w:p>
      <w:pPr>
        <w:spacing w:after="0" w:line="225" w:lineRule="exact"/>
        <w:rPr>
          <w:sz w:val="20"/>
          <w:szCs w:val="20"/>
          <w:color w:val="auto"/>
        </w:rPr>
      </w:pPr>
    </w:p>
    <w:p>
      <w:pPr>
        <w:jc w:val="both"/>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pharmacokinetics, pharmacologic action, side effect tolerability, safety of the product candidate, and, if possible, early evidence of effectiveness.</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 generally involve studies in disease-affected patients to evaluate proof of concept and/or determine the dosing regimen(s) for subsequent investigations. At the same time, safety and further pharmacokinetic and pharmacodynamic information is collected, possible adverse effects and safety risks are identified, and a preliminary evaluation of efficacy is conducted.</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labeling. In most cases, the FDA requires two adequate and well-controlled Phase 3 clinical trials to demonstrate the efficacy of the drug.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Phases may overlap or be combined. For example, a Phase 1/2 clinical trial may contain both a dose-escalation stage and a dose expansion stage, the latter of which may confirm tolerability at the recommended dose for expansion in future clinical trials (as in traditional Phase 1 clinical trials) and provide insight into the anti-tumor effects of the investigational therapy in selected subpopulation(s).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 A single Phase 3 or Phase 2 trial with other confirmatory evidence may be sufficient in rare instances to provide substantial evidence of effectiveness (generally subject to the requirement of additional post-approval studies). The manufacturer of an investigational drug in a phase 2 or 3 clinical trial for a serious or life-threatening disease is required to make available, such as by posting on its website, its policy on evaluating and responding to requests for expanded access.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Phase 1, Phase 2, Phase 3 and other types of clinical trials may not be completed successfully within any specified period, if at all. The FDA, the IRB, or the sponsor may suspend or terminate a clinical trial at any time on various grounds, including non-compliance with regulatory requirements or a finding that the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potency and purity of the final product. Additionally, appropriate packaging must be selected and tested, and stability studies must be conducted to demonstrate that the investigational medicines do not undergo unacceptable deterioration over their shelf life.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Review Process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jc w:val="both"/>
        <w:spacing w:after="0" w:line="254" w:lineRule="auto"/>
        <w:rPr>
          <w:sz w:val="20"/>
          <w:szCs w:val="20"/>
          <w:color w:val="auto"/>
        </w:rPr>
      </w:pPr>
      <w:r>
        <w:rPr>
          <w:rFonts w:ascii="Times New Roman" w:cs="Times New Roman" w:eastAsia="Times New Roman" w:hAnsi="Times New Roman"/>
          <w:sz w:val="18"/>
          <w:szCs w:val="18"/>
          <w:color w:val="auto"/>
        </w:rPr>
        <w:t>After completion of the required clinical testing, an NDA is prepared and submitted to the FDA. FDA approval of an NDA is required before marketing of the product may begin in the U.S. An NDA must include the results of all preclinical, clinical and other testing and a compilation of data relating to the product’s pharmacology, chemistry, manufacture and controls. To support marketing approval, the data submitted must be sufficient in quality and quantity to establish the safety and efficacy of the investigational product to the satisfaction of the FDA. FDA approval of an NDA must be obtained before a drug may be marketed in the United States. The cost of preparing and submitting an NDA is substantial. Under the Prescription Drug User Fee Act (“PDUFA”), each NDA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 The applicant under an approved NDA is also subject to an annual program fee.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reviews each submitted NDA before it determines whether to file it and may request additional information. The FDA must make a decision on whether to file an NDA within 60 days of receipt, and such decision could include a refusal to file by the FDA. Once the submission is filed, the FDA begins an in-depth review of an NDA. The FDA has agreed to certain performance goals in the review of an NDA. Most applications for standard review drug products are reviewed within ten to twelve months; most applications for priority review drugs are reviewed in six to eight months. Priority review can be applied to drugs that the FDA determines may offer significant improvement in safety or effectiveness compared to marketed products or where no adequate therapy exists. The review process for both standard and priority review may be extended by the FDA for three additional months to consider certain late-submitted information, or information intended to clarify information already provided in the submission. The FDA does not always meet its goal dates for standard and priority timeframes for an NDA, and the review process can be extended by FDA requests for additional information or clarification.</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may also refer applications for novel drug products, or drug products that present difficult questions of safety or efficacy, to an outside advisory committee—typically a panel that includes clinicians and other experts—for review, evaluation and a recommendation as to whether the application should be approved and under what conditions, if any. The FDA is not bound by the recommendation of an advisory committee, but it generally follows such recommendations.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approving an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typically inspects clinical trial sites to ensure compliance with GCP requirements and the integrity of the data supporting safety and efficacy.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the FDA evaluates an NDA and the manufacturing facilities, it issues either an approval letter or a complete response letter. A complete response letter (“CRL”), generally outlines the deficiencies in the submission and may require substantial additional testing, or information, in order for the FDA to reconsider the application, such as additional clinical data, additional pivotal clinical trial(s), and/or other significant and time-consuming requirements related to clinical trials, preclinical studies or manufacturing. If a CRL is issued, the applicant may resubmit an NDA addressing all of the deficiencies identified in the letter, withdraw the application, engage in formal dispute resolution or request an opportunity for a hearing. The FDA has committed to reviewing resubmissions in two or six months depending on the type of information included. Even if such data and information are submitted, the FDA may decide that an NDA does not satisfy the criteria for approval.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potential condition of an NDA approval, the FDA may require a REMS to help ensure that the benefits of the drug outweigh the potential risks to patients. A REMS can include medication guides, communication plans for healthcare professionals and elements to assure a product’s safe use (“ETASU”). An ETASU can include, but is not limited to, special training or certification for prescribing or dispensing the product, dispensing the product only under certain circumstances, special monitoring and the use of patient-specific registries. The requirement for a REMS can materially affect the potential market and profitability of the product. Moreover, the FDA may require substantial post-approval testing and surveillance to monitor the product’s safety or efficacy.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Changes to some of the conditions established in an approved application, including changes in indications, labeling, or manufacturing processes or facilities, require submission and FDA approval of an NDA supplement or, in some case, a new NDA, before the change can be implemented. An NDA supplement for a new indication typically requires clinical data similar to that in the original application, and the FDA uses the same procedures and actions in reviewing NDA supplements as it does in reviewing NDAs.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drugs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Orphan drug designation must be requested before submitting an NDA. After the FDA grants orphan drug designation, the identity of the drug and its potential orphan use are disclosed publicly by the FDA. Orphan drug designation does not convey any advantage in, or shorten the duration of, the regulatory review and approval process.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a seven-year exclusive marketing period in the U.S.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by means of greater effectiveness, greater safety, or providing a major contribution to patient care, or in instances of drug supply issues. Orphan drug exclusivity does not prevent the FDA from approving a different drug for the same disease or condition, or the same drug for a different disease or condition. Other benefits of orphan drug designation include tax credits for certain research and an exemption from the NDA user fee.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review if they are intended to address an unmet medical need in the treatment of a serious or life-threatening disease or condition.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Fast Track Designation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Fast track designation may be granted for products that are intended to treat a serious or life-threatening disease or condition for which there is no effective treatment and preclinical or clinical data demonstrate the potential to address unmet medical needs for the condition. Fast track designation applies to both the product and the specific indication for which it is being studied. The sponsor of an investigational drug product may request that the FDA designate the drug candidate for a specific indication as a fast track drug concurrent with, or after, the submission of the IND for the drug candidate. The FDA must determine if the drug candidate qualifies for fast track designation within 60 days of receipt of the sponsor’s request. For fast track products, sponsors may have greater interactions with the FDA and the FDA may initiate review of sections of a fast track product’s NDA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At the time of an NDA filing, the FDA will determine whether to grant priority review designation. Additionally, fast track designation may be withdrawn if the FDA believes that the designation is no longer supported by data emerging in the clinical trial process.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Breakthrough Therapy Designation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Breakthrough therapy designation may be granted for products that are intended, alone or in combination with one or more other products, to treat a serious or life-threatening condition and preliminary clinical evidence indicates that the product may demonstrate substantial improvement over currently approved therapies on one or more clinically significant endpoints. Under the breakthrough therapy program, the sponsor of a new drug candidate may request that the FDA designate the candidate for a</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18"/>
          <w:szCs w:val="18"/>
          <w:color w:val="auto"/>
        </w:rPr>
        <w:t>specific indication as a breakthrough therapy concurrent with, or after, the submission of an IND for the drug candidate. The FDA must determine if the drug product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studies in an efficient manner.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Priority Review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Accelerated Approval</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Accelerated approval may be granted for products that are intended to treat a serious or life-threatening condition and that generally provide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measurement of laboratory or clinical signs of a disease or condition that substitutes for a direct measurement of how a patient feels, functions or survives.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a sponsor’s agreement to conduct additional post-approval confirmatory studies to verify and describe the product’s clinical benefit. These confirmatory trials must be completed with due diligence and, in some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9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approval process.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Pediatric Research Equity Act (“PREA”), an NDA or supplements to an NDA must contain data to assess the safety and effectiveness of the drug for the claimed indications in all relevant pediatric subpopulations and to support dosing and administration for each pediatric subpopulation for which the drug is safe and effective. The FDA may grant full or partial waivers, or deferrals, for submission of data. Unless otherwise required by regulation, PREA does not apply to any drug for an indication for which orphan designation has been granted, with certain exceptions.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Best Pharmaceuticals for Children Act (“BPCA”) provides NDA holders a six-month extension of any exclusivity—patent or nonpatent—for a drug if certain conditions are met. Conditions for exclusivity include the FDA’s determination that information relating to the use of a new drug in the pediatric population may produce health benefits in that population, the FDA</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making a written request for pediatric studies, and the applicant agreeing to perform, and reporting on, the requested studies within the statutory timeframe.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under the BPCA are treated as priority applications, with all of the benefits that designation confers.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Once an NDA is approved, a product will be subject to certain post-approval requirements. For instance, the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 manner consistent with the approved labeling.</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Adverse event reporting and submission of periodic reports are required following FDA approval of an NDA. The FDA also may require post-marketing testing, known as phase 4 testing, REMS, and surveillance to monitor the effects of an approved product, or the FDA may place conditions on an approval that could restrict the distribution or use of the product. In addition, quality control, drug manufacture, packaging and labeling procedures must continue to conform to cGMP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 Accordingly, manufacturers must continue to expend time, money and effort in the areas of production and quality-control to maintain compliance with cGMP.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183" w:lineRule="exact"/>
        <w:rPr>
          <w:sz w:val="20"/>
          <w:szCs w:val="20"/>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suspension of the approval, complete withdrawal of the product from the market or a product recall;</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other enforcement-related letters or holds on post-approval clinical studies;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 or suspension or revocation of product license approvals;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Hatch-Waxman Act Orange Book Listing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commonly referred to as the Hatch Waxman Amendments, NDA applicants are required to identify to the FDA each patent whose claims cover the applicant’s drug or approved method of using the drug. Upon approval of a drug, the applicant must update its listing of patents to the NDA in timely fashion and each of the patents listed in the application for the drug is then published in the FDA’s Approved Drug Products with Therapeutic Equivalence Evaluations, commonly known as the Orange Book.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Drugs listed in the Orange Book can, in turn, be cited by potential generic competitors in support of approval of an abbreviated new drug application (“ANDA”). An ANDA provides for marketing of a drug product that has the same active ingredient(s),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18"/>
          <w:szCs w:val="18"/>
          <w:color w:val="auto"/>
        </w:rPr>
        <w:t>strength, route of administration, and dosage form as the listed drug and has been shown through bioequivalence testing to be therapeutically equivalent to the listed drug. An approved ANDA product is considered to be therapeutically equivalent to the listed drug. Other than the requirement for bioequivalence testing, ANDA applicants are not required to conduct, or submit results of, pre-clinical or clinical tests to prove the safety or effectiveness of their drug product. Drugs approved under the ANDA pathway are commonly referred to as “generic equivalents” to the listed drug and can often be substituted by pharmacists under prescriptions written for the original listed drug pursuant to each state’s laws on drug substitution.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ANDA applicant is required to certify to the FDA concerning any patents identified for the reference listed drug in the Orange Book. Specifically, the applicant must certify to each patent in one of the following ways: (i) the required patent information has not been filed; (ii) the listed patent has expired;</w:t>
      </w:r>
    </w:p>
    <w:p>
      <w:pPr>
        <w:jc w:val="both"/>
        <w:ind w:firstLine="8"/>
        <w:spacing w:after="0" w:line="251" w:lineRule="auto"/>
        <w:tabs>
          <w:tab w:leader="none" w:pos="32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For patents listed that claim an approved method of use, under certain circumstances the ANDA applicant may also elect to submit a section viii statement certifying that its proposed ANDA label does not contain (or carves out) any language regarding the patented method-of-use rather than certify to a listed method-of-use patent. If the applicant does not challenge the listed patents through a Paragraph IV certification, the ANDA application will not be approved until all the listed patents claiming the referenced product have expired. If the ANDA applicant has provided a Paragraph IV certification to the FDA, the applicant must also send notice of the Paragraph IV certification to the NDA-holder and patentee(s) once the ANDA has been accepted for filing by the FDA (referred to as the “notice letter”). The NDA and patent holders may then initiate a patent infringement lawsuit in response to the notice letter. The filing of a patent infringement lawsuit within 45 days of the receipt of a Paragraph IV certification automatically prevents the FDA from approving the ANDA until the earlier of 30 months from the date the notice letter is received, expiration of the patent, the date of a settlement order or consent decree signed and entered by the court stating that the patent that is the subject of the certification is invalid or not infringed, or a decision in the patent case that is favorable to the ANDA applicant.</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ANDA application also will not be approved until any applicable non-patent exclusivity listed in the Orange Book for the referenced product has expired. In some instances, an ANDA applicant may receive approval prior to expiration of certain non-patent exclusivity if the applicant seeks, and the FDA permits, the omission of such exclusivity-protected information from the ANDA prescribing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an NDA approval of a new chemical entity (“NCE”), which is a drug that contains no active moiety that has been approved by the FDA in any other NDA, that drug receives five years of marketing exclusivity during which the FDA cannot receive any ANDA seeking approval of a generic version of that drug unless the application contains a Paragraph IV certification, in which case the application may be submitted one year prior to expiration of the NCE exclusivity. If there is no listed patent in the Orange Book, there may not be a Paragraph IV certification, and, thus, no ANDA for a generic version of the drug may be filed before the expiration of the exclusivity period.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changes to an approved drug, such as the approval of a new indication, the approval of a new strength, and the approval of a new condition of use, are associated with a three-year period of exclusivity from the date of approval during which the FDA cannot approve an ANDA for a generic drug that includes the change. In some instances, an ANDA applicant may receive approval prior to expiration of the three-year exclusivity if the applicant seeks, and the FDA permits, the omission of such exclusivity-protected information from the ANDA package insert.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Extension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Hatch Waxman Amendments permit a patent term extension as compensation for patent term lost during the FDA regulatory review process. Patent term extension, however, cannot extend the remaining term of a patent beyond a total of 14 years from the product’s approval date. After an NDA approval, owners of relevant drug patents may apply for the extension. The allowable patent term extension is calculated as half of the drug’s testing phase (the time between an IND application and an NDA</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submission) and all of the review phase (the time between an NDA submission and approval) up to a maximum of five years. The time can be reduced for any time the FDA determines that the applicant did not pursue approval with due diligence.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United States Patent and Trademark Office (“USPTO”), in consultation with the FDA, reviews and approves the application for any patent term extension or restoration. However, the USPTO may not grant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total patent term after the extension may not exceed 14 years, and only one patent can be extended. The application for the extension must be submitted prior to the expiration of the patent, and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and in foreign markets, sales of pharmaceutical products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Adequate coverage and reimbursement from governmental healthcare programs, such as Medicare and Medicaid in the United States, and commercial payors are critical to new product acceptance.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In the United States, no uniform policy of coverage and reimbursement for products exists among third-party payors. Therefore, coverage and reimbursement for products can differ significantly from payor to payor. Decisions regarding the extent of coverage and amount of reimbursement to be provided for each of our product candidates will be made on a plan-by-plan basis. One payor’s determination to provide coverage for a product does not assure that other payors will also provide coverage, and adequate reimbursement, for the product. Additionally,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products, several other types of state and federal laws have been applied to restrict certain general business and marketing practices in the pharmaceutical industry in recent years. These laws include anti-kickback statutes, false claims statutes and other healthcare laws and regulations.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among others, on the other. Although there are a number of statutory exceptions and regulatory safe harbors protecting certain common activities from prosecution or other regulatory sanctions, the exceptions and safe harbors are drawn narrowly, and practices that involve remuneration intended to induce prescribing, purchases or recommendations may be subject to scrutiny if they do not qualify for an exception or safe harbor. In addition, a person or entity does not need to have actual knowledge of the statute or specific intent to violate it in order to commit a violation.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Federal civil and criminal false claims laws, including the federal civil False Claims Act, prohibit any person or entity from knowingly presenting, or causing to be presented, a false claim for payment to the federal government, or knowingly making, or causing to be made, a false statement to have a false claim paid. This includes claims made to programs where the federal government reimburses, such as Medicare and Medicaid, as well as programs where the federal government is a direct purchaser, such as when it purchases off the Federal Supply Schedule. Recently, several pharmaceutical and other healthcare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Additionally, the government may assert that a claim including items or services resulting from a violation of the federal Anti-Kickback Statute constitutes a false or fraudulent claim for purposes of the federal civil False Claims Act. Most states also have statutes or regulations similar to the federal Anti-Kickback Statute and civil False Claims Act, which apply to items and services reimbursed under Medicaid and other state programs, or, in several states, apply regardless of the payor.</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offerer or payor knows or should know is likely to influence the beneficiary to order a receive a reimbursable item or service from a particular supplier, and the additional federal criminal statutes created by the Health Insurance Portability and Accountability Act of 1996 (“HIPAA”), which prohibits,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 Similar to the federal Anti-Kickback Statute, a person or entity does not need to have actual knowledge of the statute or specific intent to violate it in order to commit a violation.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pursuant to the Patient Protection and Affordable Care Act, as amended by the Health Care and Education Reconciliation (the “Affordable Care Act” or the “ACA”), CMS has issued a final rule that requires manufacturers of prescription drugs to collect and report information on certain payments or transfers of value to physicians (defined to include doctors, dentists, optometrists, podiatrists and chiropractors), other healthcare professionals (such as physicians assistants and nurse practitioners), and teaching hospitals, as well as investment interests held by physicians and their immediate family members. The reports must be submitted on an annual basis. The reported data is made available in searchable form on a public website on an annual basis. Failure to submit required information may result in civil monetary penalties.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imposes obligations, including mandatory contractual terms, on covered entities, business associates and their covered subcontractors with respect to safeguarding the privacy, security and transmission of individually identifiable health information.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several states now require prescription drug companies to report certain expenses relating to the marketing and promotion of drug products and to report gifts and payments to individual healthcare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drug pricing information, including information pertaining to and justifying price increases. In addition, states such as California, Connecticut, Nevada and Massachusetts require pharmaceutical companies to implement compliance programs and/or marketing codes. Several additional states are considering similar proposals. Certain states and local jurisdictions also require the registration of pharmaceutical sales and medical representatives. Compliance with these laws is difficult and time consuming, and companies that do not comply with these state laws face civil penalties.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Efforts to ensure that business arrangements with third parties comply with applicable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ACA was enacted, which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substantially changed the way healthcare is financed by both governmental and private insurers, and significantly impacts the U.S. pharmaceutical industry.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have been judicial, executive brand, and Congressional challenges and amendments to certain aspects of the ACA, For example, August 16, 2022, the Inflation Reduction Act of 2022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However, it is possible that the ACA will be subject to judicial or Congressional challenges in the future. It is unclear how such challenges will impact the ACA. Tempest cannot predict the ultimate content, timing or effect of any healthcare reform legislation or the impact of potential legislation on its business.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to reduce healthcare expenditures. On August 2, 2011, the Budget Control Act of 2011, was enacted which, among other things, included aggregate reductions of Medicare payments to providers of 2% per fiscal year. These reductions went into effect on April 1, 2013 and, due to subsequent legislative amendments to the statute will remain in effect through 2032, unless additional Congressional action is taken.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Recently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the IRA, among other things, (i) directs HHS to negotiate the price of certain high-expenditure, single-source drugs covered under</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jc w:val="both"/>
        <w:spacing w:after="0" w:line="254" w:lineRule="auto"/>
        <w:rPr>
          <w:sz w:val="20"/>
          <w:szCs w:val="20"/>
          <w:color w:val="auto"/>
        </w:rPr>
      </w:pPr>
      <w:r>
        <w:rPr>
          <w:rFonts w:ascii="Times New Roman" w:cs="Times New Roman" w:eastAsia="Times New Roman" w:hAnsi="Times New Roman"/>
          <w:sz w:val="18"/>
          <w:szCs w:val="18"/>
          <w:color w:val="auto"/>
        </w:rPr>
        <w:t>Medicare that have been on the market for at least seven years, and subject drug manufacturers to civil monetary penalties and a potential excise tax by offering a price that is not equal to or less than the negotiated “maximum fair price” for such drugs and biologics under the law (the “Medicare Drug Price Negotiation Program”),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began to take effect progressively in fiscal year 2023. On August 15, 2024, HHS announced the agreed-upon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including at HHS, the FDA, the National Institutes of Health, CMS and related agencies. These actions, presently directed by executive orders or memoranda from the Office of Management and Budget, may propose policy changes that create additional uncertainty for our business. These actions may, for example, include directives to reduce agency workforce, rescinding an executive order tasking the Center for Medicare and Medicaid Innovation (“CMMI”) to consider new payment and healthcare models to limit drug spending and eliminating the Biden administration’s executive order that directed HHS to establishing an AI task force and developing a strategic plan. Further,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 Additionally, in its June 2024 decision in Loper Bright Enterprises v. Raimondo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on May 30, 2018, the Trickett Wendler, Frank Mongiello, Jordan McLinn, and Matthew Bellina Right to Try Act of 2017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products under the current federal right to try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we had 25 employees, including 24 full-time employees and 18 holding Ph.D., M.D., JD, LL.M., MBA and/or M.S. degrees. Our employees have established internal expertise in chemistry, biochemistry, molecular biology, immunology, pharmacology, toxicology, pre-clinical development, regulatory and quality, translational medicine, and early-to-late-stage clinical development, as well as finance, business development and strategic transactions. None of our employees are represented by a labor union or covered by collective bargaining agreements. We will continue to add experienced and talented scientists in areas, such as medicinal chemistry, that we believe are critical for the discovery of highly differentiated small-molecule compounds.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consider a number of measures and objectives in managing our human capital assets, including, among others, employee engagement, development and training, talent acquisition and retention, employee safety and wellness, diversity and inclusion,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jc w:val="both"/>
        <w:spacing w:after="0" w:line="256" w:lineRule="auto"/>
        <w:rPr>
          <w:sz w:val="20"/>
          <w:szCs w:val="20"/>
          <w:color w:val="auto"/>
        </w:rPr>
      </w:pPr>
      <w:r>
        <w:rPr>
          <w:rFonts w:ascii="Times New Roman" w:cs="Times New Roman" w:eastAsia="Times New Roman" w:hAnsi="Times New Roman"/>
          <w:sz w:val="18"/>
          <w:szCs w:val="18"/>
          <w:color w:val="auto"/>
        </w:rPr>
        <w:t>and compensation and pay equity. We provide our employees with salaries and bonuses intended to be competitive for our industry, opportunities for equity ownership, development programs that enable continued learning and growth and a benefits package to promote well-being across all aspects of their lives, including health care, retirement planning and paid time off. The principal purposes of our equity incentive plans are to attract, retain and motivate selected employees, consultants and directors through the granting of equity-based compensation awards and cash-based compensation awards, in order to increase stockholder value and the success of our company by motivating such individuals to perform to the best of their abilities and achieve our objectives.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a diverse workforce is important to our success and we are fundamentally committed to creating and maintaining a work environment in which employees are treated fairly, with dignity, decency, respect and in accordance with all applicable laws. We understand that varied perspectives lead to the best ideas and outcomes. We believe that by creating a workplace where every individual can feel welcome and valued, we will be better able to achieve our corporate objectives. All employees must adhere to a code of business conduct and ethics and our employee handbook, which combined, define standards for appropriate behavior. Our recruitment, hiring, development, training, compensation, and advancement is based on qualifications, performance, skills, and experience without regard to gender, gender identity, sexual orientation, race, or ethnicity. People of color and those who are part of underrepresented groups in the biotech industry are encouraged to apply for open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incorporated in Delaware in April 2011. Our corporate headquarters are located at 2000 Sierra Point Parkway, Suite 400, Brisbane, California 94005, and our telephone number is (415) 798-8589.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internet website address is www.tempesttx.com. In addition to the information about us and our subsidiaries contained in this Annual Report, information about us can be found on our website. Our website and information included in or linked to our website are not part of this Annual Report.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(“SEC”). Additionally, the SEC maintains an internet site that contains reports, proxy and information statements and other information. The address of the SEC’s website is www.sec.gov.</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some of which are described below. You should carefully consider the risks described below, together with all of the other information contained in this Annual Report, including the section entitled “Management’s Discussion and Analysis of Financial Condition and Results of Operations” and the financial statements and the related notes. Any of these events could cause the trading price of our common stock to decline, which would cause you to lose all or part of your investment.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or may make from time to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Selected Risks Associated with Our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any one of which could materially adversely affect our business, financial condition, operating results, and prospects. You should read this summary together with the more detailed description of each risk factor contained below.</w:t>
      </w:r>
    </w:p>
    <w:p>
      <w:pPr>
        <w:spacing w:after="0" w:line="162" w:lineRule="exact"/>
        <w:rPr>
          <w:sz w:val="20"/>
          <w:szCs w:val="20"/>
          <w:color w:val="auto"/>
        </w:rPr>
      </w:pPr>
    </w:p>
    <w:p>
      <w:pPr>
        <w:ind w:left="5540" w:right="1960" w:hanging="5023"/>
        <w:spacing w:after="0" w:line="407" w:lineRule="auto"/>
        <w:tabs>
          <w:tab w:leader="none" w:pos="10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funding to finance our operations, which may not be available on acceptable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ind w:left="503" w:right="60"/>
        <w:spacing w:after="0" w:line="282" w:lineRule="auto"/>
        <w:rPr>
          <w:sz w:val="20"/>
          <w:szCs w:val="20"/>
          <w:color w:val="auto"/>
        </w:rPr>
      </w:pPr>
      <w:r>
        <w:rPr>
          <w:rFonts w:ascii="Times New Roman" w:cs="Times New Roman" w:eastAsia="Times New Roman" w:hAnsi="Times New Roman"/>
          <w:sz w:val="18"/>
          <w:szCs w:val="18"/>
          <w:color w:val="auto"/>
        </w:rPr>
        <w:t>terms or at all. Failure to obtain this necessary capital when needed may force us to delay, limit or terminate our product development efforts or our operations.</w:t>
      </w:r>
    </w:p>
    <w:p>
      <w:pPr>
        <w:spacing w:after="0" w:line="162" w:lineRule="exact"/>
        <w:rPr>
          <w:sz w:val="20"/>
          <w:szCs w:val="20"/>
          <w:color w:val="auto"/>
        </w:rPr>
      </w:pPr>
    </w:p>
    <w:p>
      <w:pPr>
        <w:jc w:val="both"/>
        <w:ind w:left="503" w:right="80" w:hanging="503"/>
        <w:spacing w:after="0" w:line="266"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17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stockholders, restrict our operations or require us to relinquish proprietary rights.</w:t>
      </w:r>
    </w:p>
    <w:p>
      <w:pPr>
        <w:spacing w:after="0" w:line="225"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Loan Agreement with Oxford Finance (“Oxford”) provide Oxford with a lien against all of our assets, including our intellectual property, and contains financial covenants and other restrictions on our actions that may limit our operational flexibility or otherwise adversely affect our results of operations.</w:t>
      </w:r>
    </w:p>
    <w:p>
      <w:pPr>
        <w:spacing w:after="0" w:line="175"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development and regulatory capabilities, and as a result, we may encounter difficulties in managing our growth, which could disrupt our operations.</w:t>
      </w:r>
    </w:p>
    <w:p>
      <w:pPr>
        <w:spacing w:after="0" w:line="161" w:lineRule="exact"/>
        <w:rPr>
          <w:rFonts w:ascii="Times New Roman" w:cs="Times New Roman" w:eastAsia="Times New Roman" w:hAnsi="Times New Roman"/>
          <w:sz w:val="18"/>
          <w:szCs w:val="18"/>
          <w:color w:val="auto"/>
        </w:rPr>
      </w:pPr>
    </w:p>
    <w:p>
      <w:pPr>
        <w:ind w:left="503" w:right="80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obtain regulatory approval for and commercialize amezalpat, TPST-1495, or any of our future product candidates, or if we experience significant delays in doing so, our business will be materially harmed.</w:t>
      </w:r>
    </w:p>
    <w:p>
      <w:pPr>
        <w:spacing w:after="0" w:line="161" w:lineRule="exact"/>
        <w:rPr>
          <w:rFonts w:ascii="Times New Roman" w:cs="Times New Roman" w:eastAsia="Times New Roman" w:hAnsi="Times New Roman"/>
          <w:sz w:val="18"/>
          <w:szCs w:val="18"/>
          <w:color w:val="auto"/>
        </w:rPr>
      </w:pPr>
    </w:p>
    <w:p>
      <w:pPr>
        <w:ind w:left="503" w:right="8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6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our pipeline of product candidates and develop marketable products.</w:t>
      </w:r>
    </w:p>
    <w:p>
      <w:pPr>
        <w:spacing w:after="0" w:line="225"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 candidates, including TPST-1495 and amezalpat, will depend upon their degree of market acceptance by providers, patients, patient advocacy groups, third-party payors and the general medical community.</w:t>
      </w:r>
    </w:p>
    <w:p>
      <w:pPr>
        <w:spacing w:after="0" w:line="161" w:lineRule="exact"/>
        <w:rPr>
          <w:rFonts w:ascii="Times New Roman" w:cs="Times New Roman" w:eastAsia="Times New Roman" w:hAnsi="Times New Roman"/>
          <w:sz w:val="18"/>
          <w:szCs w:val="18"/>
          <w:color w:val="auto"/>
        </w:rPr>
      </w:pPr>
    </w:p>
    <w:p>
      <w:pPr>
        <w:ind w:left="503" w:right="24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third parties to manufacture our clinical product supplies, and we may have to rely on third parties to produce and process our product candidates, if approved.</w:t>
      </w:r>
    </w:p>
    <w:p>
      <w:pPr>
        <w:spacing w:after="0" w:line="161" w:lineRule="exact"/>
        <w:rPr>
          <w:rFonts w:ascii="Times New Roman" w:cs="Times New Roman" w:eastAsia="Times New Roman" w:hAnsi="Times New Roman"/>
          <w:sz w:val="18"/>
          <w:szCs w:val="18"/>
          <w:color w:val="auto"/>
        </w:rPr>
      </w:pPr>
    </w:p>
    <w:p>
      <w:pPr>
        <w:ind w:left="503" w:right="340" w:hanging="503"/>
        <w:spacing w:after="0" w:line="266"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an environment of rapid technological change, and it is possible that our competitors may achieve regulatory approval before us or develop therapies that are more advanced or effective than ours, which may harm our business, financial condition and ability to successfully market or commercialize TPST-1495, amezalpat, and any future product candidates.</w:t>
      </w:r>
    </w:p>
    <w:p>
      <w:pPr>
        <w:spacing w:after="0" w:line="175" w:lineRule="exact"/>
        <w:rPr>
          <w:rFonts w:ascii="Times New Roman" w:cs="Times New Roman" w:eastAsia="Times New Roman" w:hAnsi="Times New Roman"/>
          <w:sz w:val="18"/>
          <w:szCs w:val="18"/>
          <w:color w:val="auto"/>
        </w:rPr>
      </w:pPr>
    </w:p>
    <w:p>
      <w:pPr>
        <w:ind w:left="503" w:right="58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and marketing capabilities or enter into agreements with third parties to market and sell our product candidates, we may be unable to generate any revenues.</w:t>
      </w:r>
    </w:p>
    <w:p>
      <w:pPr>
        <w:spacing w:after="0" w:line="161" w:lineRule="exact"/>
        <w:rPr>
          <w:rFonts w:ascii="Times New Roman" w:cs="Times New Roman" w:eastAsia="Times New Roman" w:hAnsi="Times New Roman"/>
          <w:sz w:val="18"/>
          <w:szCs w:val="18"/>
          <w:color w:val="auto"/>
        </w:rPr>
      </w:pPr>
    </w:p>
    <w:p>
      <w:pPr>
        <w:ind w:left="503" w:right="62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finding strategic collaborators for continuing development of certain of our future product candidates or successfully commercializing or competing in the market for certain indications.</w:t>
      </w:r>
    </w:p>
    <w:p>
      <w:pPr>
        <w:spacing w:after="0" w:line="161"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regulatory approval process is lengthy and time-consuming, and we may experience significant delays in the clinical development and regulatory approval of our product candidates.</w:t>
      </w:r>
    </w:p>
    <w:p>
      <w:pPr>
        <w:spacing w:after="0" w:line="161" w:lineRule="exact"/>
        <w:rPr>
          <w:rFonts w:ascii="Times New Roman" w:cs="Times New Roman" w:eastAsia="Times New Roman" w:hAnsi="Times New Roman"/>
          <w:sz w:val="18"/>
          <w:szCs w:val="18"/>
          <w:color w:val="auto"/>
        </w:rPr>
      </w:pPr>
    </w:p>
    <w:p>
      <w:pPr>
        <w:ind w:left="503" w:right="38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54"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01" w:right="339" w:bottom="1440" w:gutter="0" w:footer="0" w:header="0"/>
        </w:sectPr>
      </w:pPr>
    </w:p>
    <w:bookmarkStart w:id="32" w:name="page33"/>
    <w:bookmarkEnd w:id="32"/>
    <w:p>
      <w:pPr>
        <w:ind w:left="1020" w:right="2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and in-licensed patents and patent applications may not provide sufficient protection of our product candidates or result in any competitive advantage.</w:t>
      </w:r>
    </w:p>
    <w:p>
      <w:pPr>
        <w:spacing w:after="0" w:line="161"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shares of our common stock has been and is likely to continue to be volatile, and purchasers of our common stock could incur substantial losses.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and economic conditions may have serious adverse consequences on our business, financial condition and share price.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is thinly traded and our stockholders may be unable to sell their shares quickly or at market price.</w:t>
      </w:r>
    </w:p>
    <w:p>
      <w:pPr>
        <w:spacing w:after="0" w:line="225"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proper and effective internal controls, our ability to produce accurate financial statements on a timely basis could be impaired.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significant additional funding to finance our operations, which may not be available on acceptable terms or at all. Failure to obtain this necessary capital when needed may force us to delay, limit or terminate our product development efforts or our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We expect our expenses to continue to increase in connection with our ongoing activities, particularly as we conduct clinical trials of, and seek marketing approval for, our product candidates, including later stage clinical trials such as our potential pivotal Phase 3 trial in first-line HCC, and advance our other programs. Developing pharmaceutical products, including conducting preclinical studies and clinical trials, is a very time-consuming, expensive and uncertain process that takes years to complete. Other unanticipated costs may also arise. Because the design and outcome of our ongoing and anticipated clinical trials are highly uncertain, we cannot reasonably estimate the actual amount of resources and funding that will be necessary to successfully complete the development and commercialization of any product candidate we develop. Moreover, we will need to obtain substantial additional funding in connection with our continuing operations and planned research and clinical development activities, including our Phase 3 pivotal trial. Our future capital requirements will depend on many factors, including:</w:t>
      </w:r>
    </w:p>
    <w:p>
      <w:pPr>
        <w:spacing w:after="0" w:line="84"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costs and results of our ongoing preclinical studies and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of other product candidates that we may pursue;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collaborations on favorable terms, if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reimbursement and distribution, for any of our product candidates for which we may receive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may receive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milestone and royalty payments with respect to any approved product candidates;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8"/>
          <w:szCs w:val="18"/>
          <w:color w:val="auto"/>
        </w:rPr>
        <w:t>We may never generate the necessary data or results required to obtain regulatory approval in order to generate revenue from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Adequate additional financing may not be available to us on acceptable terms, or at all. If we require additional capital at a time when investment in our industry or in the marketplace in general is limited, we might not be able to raise funding on favorable terms, if at all. Our ability to raise additional capital may be adversely impacted by potential worsening global economic conditions, inflation expectations, and the recent disruptions to and volatility in the credit and financial markets in the United States and worldwide resulting from public health crises and geopolitical tensions. If we are unable to raise capital when needed or on acceptable terms, we could be forced to delay, reduce, or explore other strategic options for our research and development programs or other opportunities. If we do not obtain additional financing and are required to terminate our operations, our stockholders will lose their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proprietary rights.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In June 2024, entered into a sales agreement with Jefferies LLC (“Jefferies”) for an at-the-market offering program (the “ATM Program”). Pursuant to the prospectus supplement we filed in February 2025, we may sell up to an aggregate of $14.5 million of our common stock under our ATM Program. To the extent that we raise additional capital through the sale of equity or convertible debt securities, your ownership interest may be further diluted, and the terms of these securities may include liquidation or other preferences that adversely affect your rights as a stockholder. In addition, we may issue equity or debt securities as consideration for obtaining rights to additional compounds.</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 and other operating restrictions that could negatively impact our ability to conduct our business. For example, our obligations under the Loan Agreement with Oxford are secured by a security interest in all of our assets, including our intellectual property. In addition, the Loan Agreement contains customary covenants that, subject to specific exceptions, restrict our ability to, among other things, declare dividends or redeem or repurchase equity interests, incur additional liens, make loans and investments, incur additional indebtedness, engage in mergers, acquisitions and asset sales, transact with affiliates, undergo a change in control, add or change business locations, or engage in businesses that are not related to its existing business.</w:t>
      </w:r>
    </w:p>
    <w:p>
      <w:pPr>
        <w:spacing w:after="0" w:line="19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if we raise additional capital through future collaborations, strategic alliances or third-party licensing arrangements, we may have to relinquish future revenue streams, research programs or product candidates, or grant licenses on terms that may not be favorable to us.</w:t>
      </w:r>
    </w:p>
    <w:p>
      <w:pPr>
        <w:spacing w:after="0" w:line="162"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If we are unable to raise additional capital when needed, we may be required to delay, limit, reduce or terminate our drug development or future commercialization efforts, or grant rights to develop and market product candidates that we would otherwise develop and market ourselves.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may be limited by applicable laws and regulations.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Using a shelf registration statement on Form S-3 to raise additional capital generally takes less time and is less expensive than other means, such as conducting an offering under a Form S-1 registration statement. However, our ability to raise capital using a shelf registration statement may be limited by, among other things, SEC rules and regulations. Under SEC rules and regulations, if our public float (the market value of our common stock held by non-affiliates) is less than $75.0 million, then the aggregate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18"/>
          <w:szCs w:val="18"/>
          <w:color w:val="auto"/>
        </w:rPr>
        <w:t>market value of securities sold by us or on our behalf under our Form S-3 in any 12-month period is limited to an aggregate of one-third of our public float. As our public float is currently less than $75.0 million, we are currently subject to this limitation. If our ability to utilize a Form S-3 registration statement for a primary offering of our securities continues to be limited to one-third of our public float, we may need to conduct such an offering pursuant to an exemption from registration under the Securities Act or under a Form S-1 registration statement, which would increase the cost of raising additional capital relative to utilizing a Form S-3 registration statement.</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with a limited operating history. Biotechnology product development is a highly speculative undertaking and involves a substantial degree of risk. Our operations to date have been limited primarily to organizing and staffing, business planning, raising capital, acquiring and developing product and technology rights, manufacturing, and conducting research and development activities for our product candidates. We have never generated any revenue from product sales, and we have not obtained regulatory approvals for any of our product candidates. We incurred net losses of $41.8 million and $29.5 million for the years ended December 31, 2024 and 2023, respectively. As of December 31, 2024, we had an accumulated deficit of $207.1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as we continue to conduct research and development, clinical testing, regulatory compliance activities, manufacturing activities, and, if any of our product candidates is approved, sales and marketing activities. Our prior losses, combined with our expected future losses, have had and will continue to have an adverse effect on our stockholders’ equity and working capital.</w:t>
      </w:r>
    </w:p>
    <w:p>
      <w:pPr>
        <w:spacing w:after="0" w:line="190"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terms of the Loan Agreement with Oxford provide Oxford with a lien against all of our assets, including our intellectual property, and contains financial covenants and other restrictions on our actions that may limit our operational flexibility or otherwise adversely affect our results of operations.</w:t>
      </w:r>
    </w:p>
    <w:p>
      <w:pPr>
        <w:spacing w:after="0" w:line="175"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color w:val="auto"/>
        </w:rPr>
        <w:t>In January 2021, we entered into a Loan Agreement with Oxford that provided us with up to $35.0 million of borrowing capacity across three potential tranches, which was subsequently amended in December 2022. The initial tranche of $15.0 million was funded at the closing of the Loan Agreement, of which $5.0 million was repaid in December 2022. As of December 31, 2024, the balance of the loan payable (net of debt issuance costs) was $6.4 million and a total of $10.0 million in borrowing capacity remained available at the option of Oxford. Our overall leverage and certain obligations and affirmative and negative covenants contained in the related documentation could adversely affect our financial health and business and future operations by limiting our ability to, among other things, satisfy our obligations under the Loan Agreement, refinance our debt on terms acceptable to us or at all, plan for and adjust to changing business, industry and market conditions, use our available cash flow to fund future acquisitions and make dividend payments, and obtain additional financing for working capital, to fund growth or for general corporate purposes, even when necessary to maintain adequate liquidity.</w:t>
      </w:r>
    </w:p>
    <w:p>
      <w:pPr>
        <w:spacing w:after="0" w:line="1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we default under the Loan Agreement, Oxford may accelerate all of our repayment obligations and exercise all of their rights and remedies under the Loan Agreement and applicable law, potentially requiring us to renegotiate our agreement on terms less favorable to us. In addition, since the borrowings under the Loan Agreement are secured by a lien on our assets, including our intellectual property, Oxford would be able to foreclose on our assets if we do not cure any default or pay any amounts due and payable under the Loan Agreement. Further, if we are liquidated, the lenders’ right to repayment would be senior to the rights of the holders of our common stock to receive any proceeds from the liquidation. Oxford could declare a default upon the occurrence of an event of default, including events that they interpret as a material adverse change as defined in the Loan Agreement, payment defaults or breaches of certain affirmative and negative covenants, thereby requiring us to repay the loan immediately. Any declaration by Oxford of an event of default could significantly harm our business and prospects and could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right="420"/>
        <w:spacing w:after="0" w:line="282" w:lineRule="auto"/>
        <w:rPr>
          <w:sz w:val="20"/>
          <w:szCs w:val="20"/>
          <w:color w:val="auto"/>
        </w:rPr>
      </w:pPr>
      <w:r>
        <w:rPr>
          <w:rFonts w:ascii="Times New Roman" w:cs="Times New Roman" w:eastAsia="Times New Roman" w:hAnsi="Times New Roman"/>
          <w:sz w:val="18"/>
          <w:szCs w:val="18"/>
          <w:color w:val="auto"/>
        </w:rPr>
        <w:t>cause the price of our common stock to decline. Additionally, if we raise any additional debt financing, the terms of such additional debt could further restrict our operating and financial flexibility.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to date have been limited to organizing and staffing, business planning, raising capital, acquiring our technology, identifying potential product candidates, undertaking research and preclinical studies of our product candidates, manufacturing, and establishing licensing arrangements. We have not yet demonstrated the ability to complete clinical trials of our product candidates, obtain marketing approvals, manufacture a commercial scale product or conduct sales and marketing activities necessary for successful commercialization. Consequently, any predictions you make about our future success or viability may not be as accurate as they could be if we had a longer operating history.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a new business, we may encounter unforeseen expenses, difficulties, complications, delays and other known and unknown factors. We will need to transition from a company with a licensing and research focus to a company that is also capable of supporting clinical development and commercial activities. We may not be successful in such a transition.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product candidate development, growing our capability to conduct clinical trials, and, if approved, through commercialization of our product candidates. To manage our anticipated future growth, we must continue to implement and improve our managerial, operational and financial systems, expand our facilities and continue to recruit and train additional qualified personnel, or contract with third parties to provide these capabilities.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attract and retain highly skilled employees to succeed.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results of operations and increase our capabilities to successfully commercialize our product candidates. In particular, we believe that our future success is highly dependent upon the contributions of our senior management, particularly our Chief Executive Officer and President, Stephen Brady and our Chief Medical Officer, Sam Whiting. The loss of services of Messrs. Brady or Whiting, or any of our other senior management,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or strategic alliances could disrupt our business and harm our financial condition and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187"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efforts;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as a result of product acquisitions or strategic positioning resulting from the acquisition;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225"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write-offs or charges; and</w:t>
      </w:r>
    </w:p>
    <w:p>
      <w:pPr>
        <w:spacing w:after="0" w:line="225"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tax credit carryforwards may be subject to limitations.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ability to use our federal and state net operating losses (“NOLs”) to offset potential future taxable income and related income taxes that would otherwise be due is dependent upon our generation of future taxable income, and we cannot predict with certainty when, or whether, we will generate sufficient taxable income to use all of our NOLs.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Section 382 and Section 383 of the Code and corresponding provisions of state law, if a corporation undergoes an “ownership change,” its ability to use its pre-change NOL carryforwards and other pre-change tax attributes (such as research tax credits) to offset its post-change income or taxes may be limited. A Section 382 “ownership change” is generally defined as a greater than 50 percentage point change (by value) in its equity ownership by certain stockholders over a three-year period. We may have experienced ownership changes in the past, including as a result of the merger with Millendo, and may experience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7" w:name="page38"/>
    <w:bookmarkEnd w:id="37"/>
    <w:p>
      <w:pPr>
        <w:jc w:val="both"/>
        <w:spacing w:after="0" w:line="255" w:lineRule="auto"/>
        <w:rPr>
          <w:sz w:val="20"/>
          <w:szCs w:val="20"/>
          <w:color w:val="auto"/>
        </w:rPr>
      </w:pPr>
      <w:r>
        <w:rPr>
          <w:rFonts w:ascii="Times New Roman" w:cs="Times New Roman" w:eastAsia="Times New Roman" w:hAnsi="Times New Roman"/>
          <w:sz w:val="18"/>
          <w:szCs w:val="18"/>
          <w:color w:val="auto"/>
        </w:rPr>
        <w:t>ownership changes in the future due to subsequent shifts in our stock ownership (some of which are outside of our control). Furthermore, the merger constituted an ownership change (within the meaning of Section 382 of the Code) of Millendo which may have eliminated or otherwise substantially limited our ability to use Millendo’s federal and state NOLs to offset our future taxable income. Consequently, even if we achieve profitability, we may not be able to utilize a material portion of Tempest Tx, Inc. (our predecessor), Millendo’s or our combined NOL carryforwards and other tax attributes, which could have a material adverse effect on cash flow and results of operations. Similar provisions of state tax law may also apply to limit our ability to use of accumulated state tax attributes. There is also a risk that due to regulatory changes, such as suspensions on the use of NOLs, or other unforeseen reasons, our existing NOLs could expire or otherwise be unavailable to offset future income tax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 Development and Regulatory Approval</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obtain regulatory approval for and commercialize TPST-1495, amezalpat, or any of our future product candidates, or if we experience significant delays in doing so, our business will be materially harmed.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plan to invest a substantial amount of our efforts and financial resources in our current lead product candidates, TPST-1495, a dual EP2/EP4 prostaglandin (“PGE2”) receptor antagonist, and amezalpat, a peroxisome proliferator-activated receptor alpha (“PPARα”) antagonist for the treatment of various cancers. We have initiated Phase 1 clinical trials of TPST-1495 and amezalpat for the treatment of advanced solid tumors. We received positive feedback from the FDA on our potential pivotal Phase 3 trial design for amezalpat for HCC during the third quarter of 2024. Any delay in our ability to proceed to a pivotal trial for amezalpat will add time and expense to the development pathway and adversely impact the timing and potential for profitability. Our ability to generate product revenue will depend heavily on the successful development and eventual commercialization of TPST-1495 and amezalpat and any future product candidates, which may never occur. We currently generate no revenue from sales of any product and we may never be able to develop or commercialize a marketable product.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our programs and product candidates will require further clinical and/or preclinical development, regulatory approval in multiple jurisdictions, obtaining preclinical, clinical and commercial manufacturing supply, capacity and expertise, building of a commercial organization, substantial investment and significant marketing efforts before we generate any revenue from product sales. TPST-1495 and amezalpat and any future product candidates must be authorized for marketing by the FDA, the Health Products and Food Branch of Health Canada (“HPFB”), the European Medicines Agency (“EMA”), and certain other foreign regulatory agencies before we may commercialize any of our product candidates in the United States, Canada, European Union, or other jurisdictions.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TPST-1495 and amezalpat and any future product candidates depends on multiple factors, including:</w:t>
      </w:r>
    </w:p>
    <w:p>
      <w:pPr>
        <w:spacing w:after="0" w:line="225" w:lineRule="exact"/>
        <w:rPr>
          <w:sz w:val="20"/>
          <w:szCs w:val="20"/>
          <w:color w:val="auto"/>
        </w:rPr>
      </w:pPr>
    </w:p>
    <w:p>
      <w:pPr>
        <w:jc w:val="both"/>
        <w:ind w:left="1020" w:right="1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including those compliant with Good Laboratory Practice (“GLP”), or GLP toxicology studies, biodistribution studies and minimum effective dose studies in animals, and successful enrollment and completion of clinical trials compliant with current Good Clinical Practices (“GCPs”);</w:t>
      </w:r>
    </w:p>
    <w:p>
      <w:pPr>
        <w:spacing w:after="0" w:line="175"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Investigational New Drug applications or other regulatory applications, that allow commencement of our planned clinical trials or future clinical trials for our product candidates in relevant territories;</w:t>
      </w:r>
    </w:p>
    <w:p>
      <w:pPr>
        <w:spacing w:after="0" w:line="161"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contract research organizations (“CROs”) and clinical sites for the clinical development of our product candidates, both in the United States and internationally;</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arrangements with third-party contract manufacturing organizations (“CMOs”) for key materials used in our manufacturing processes and to establish backup sources for clinical and large-scale commercial supply;</w:t>
      </w:r>
    </w:p>
    <w:p>
      <w:pPr>
        <w:spacing w:after="0" w:line="161"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our clinical programs that are supportive of safety and efficacy and provide an acceptable risk-benefit profile for our product candidates in the intended patient populations;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ind w:left="1020" w:right="5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including those necessary for pricing and reimbursement of our product candidates;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patent and trade secret protection and regulatory exclusivity for our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launch of our product candidates, if and when approved, whether alone or in collaboration with others;</w:t>
      </w:r>
    </w:p>
    <w:p>
      <w:pPr>
        <w:spacing w:after="0" w:line="225"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approved, by patients, patient advocacy groups, third-party payors and the general medical community;</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compete with developers of other therapies available in the market;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adequate reimbursement from third-party payors for our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or in-license additional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prosecution, maintenance, enforcement and defense of intellectual property rights and claims;</w:t>
      </w:r>
    </w:p>
    <w:p>
      <w:pPr>
        <w:spacing w:after="0" w:line="225"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profile of our product candidates following approval, including meeting any post-marketing commitments or requirements imposed by or agreed to with applicable regulatory authorities;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factors surrounding the approval process, such as government shutdowns; or</w:t>
      </w:r>
    </w:p>
    <w:p>
      <w:pPr>
        <w:spacing w:after="0" w:line="225"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such as the Russia-Ukraine war and the war in Israel, natural disasters including earthquakes, typhoons, floods and fires, and public health crises.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do not succeed in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Clinical development is expensive and can take many years to complete, and our outcome is inherently uncertain. Failure can occur at any time during the clinical trial process. Success in preclinical studies and early clinical trials may not be predictive of results in later-stage clinical trials, and successful results from early or small clinical trials may not be replicated or show as favorable an outcome in later-stage or larger clinical trials, even if successful. We will be required to demonstrate through adequate and well-controlled clinical trials that our product candidates are safe and effective for their intended uses before we can seek regulatory approvals for their commercial sale. The conduct of Phase 3 trials and the submission of a New Drug Application (“NDA”) is a complicated process. We have not previously completed any pivotal clinical trials, have limited experience in preparing, submitting and supporting regulatory filings, and have not previously submitted an NDA. Consequently, we may be unable to successfully and efficiently execute and complete necessary clinical trials and other requirements in a way that leads to NDA submission and approval of any product candidate we are developing.</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our clinical trials demonstrate acceptable safety and efficacy of TPST-1495 and amezalpat or any future product candidates and such product candidates receive regulatory approval, the labeling we obtain through negotiations with the FDA or foreign regulatory authorities may not include data on secondary endpoints and may not provide us with a competitive advantage over other products approved for the same or similar indications.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18"/>
          <w:szCs w:val="18"/>
          <w:color w:val="auto"/>
        </w:rPr>
        <w:t>Many companies in the biotechnology industry have suffered significant setbacks in late-stage clinical trials after achieving positive results in early-stage development, and there is a high failure rate for product candidates proceeding through clinical trials.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regulatory approval. If our study data does not consistently or sufficiently demonstrate the safety or efficacy of any of our product candidates, including TPST-1495 and amezalpat, to the satisfaction of the FDA or foreign regulatory authorities, then the regulatory approvals for such product candidates could be significantly delayed as we work to meet approval requirements, or, if we are not able to meet these requirements, such approvals could be withheld or withdrawn.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our conclusion. The enrollment of patients depends on many factors, including:</w:t>
      </w:r>
    </w:p>
    <w:p>
      <w:pPr>
        <w:spacing w:after="0" w:line="176"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our clinical trials will drop out of the trials before the infusion of our product candidates or trial completion.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Delays or failures in planned patient enrollment or retention may result in increased costs, program delays or both, which could have a harmful effect on our ability to develop our product candidates or could render further development impossible. For example, the impact of public health crises or geopolitical tensions, such as the Russia-Ukraine war and the war in Israel, may delay or prevent patients from enrolling or from receiving treatment in accordance with the protocol and the required timelines, which could delay our clinical trials, or prevent us from completing our clinical trials at all.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some of our clinical trial sites are also being used by some of our competitors, which may reduce the number of patients who are available for our clinical trials in that clinical trial site.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because our product candidates represent unproven methods for cancer treatment, potential patients and their doctors may be inclined to use existing therapies rather than enroll patients in our clinical trials.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and preliminary data from our clinical trials that we may announce or publish from time to time may change as more patient data becomes available and are subject to audit and verification procedures that could result in material changes in the final data.</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Preliminary or interim data also remain subject to audit and verification procedures that may result in the final data being materially different from the preliminary data we previously published. As a result, interim and preliminary data should be viewed with caution until the final data is available. Adverse differences between preliminary or interim data and final data could significantly harm our business prospects.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are investigating amezalpat and TPST-1495 in combination with other approved therapies, and we may in the future investigate product candidates in combination with other approved and unapproved therapies, which exposes us to additional risks.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currently investigating and may continue to investigate one or more of our product candidates in combination with one or more other approved or unapproved therapies to treat cancers.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including shortages of those products for use in our intended clinical trials.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 We also may choose to evaluate our current product candidates or any other future product candidates in combination with one or more cancer therapies that have not yet been approved for marketing by the FDA or comparable foreign regulatory authorities. We will not be able to market and sell our current product candidates or any product candidate we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products or revoke their approval of, or if safety, efficacy, quality, manufacturing or supply issues arise with, the products we choose to evaluate in combination with our product candidate we develop, we may be unable to obtain approval of or market such combination therapy.</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we cannot predict when, or if, we will obtain regulatory approval to commercialize a product candidate and the approval may be for a narrower indication than we seek.</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Prior to commercialization, TPST-1495, amezalpat and any future product candidates must be approved by the FDA pursuant to an NDA in the United States and pursuant to similar marketing applications by the HPFB,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TPST-1495, amezalpat or any future product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us from obtaining marketing approval or prevent or limit commercial use. Regulatory authorities have substantial discretion in the approval process and may refuse to accept or file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Approval of TPST-1495 and amezalpat and any future product candidates may be delayed or refused for many reasons, including:</w:t>
      </w:r>
    </w:p>
    <w:p>
      <w:pPr>
        <w:spacing w:after="0" w:line="225"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our product candidates are safe and effective for any of their proposed indications;</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populations studied in clinical trials may not be sufficiently broad or representative to assure efficacy and safety in the populations for which we seek approval;</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product candidates’ clinical and other benefits outweigh their safety risks;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comparable submission in foreign jurisdictions or to obtain regulatory approval in the United States or elsewhere;</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of third-party manufacturers with which we contract or procure certain service or raw materials, may not be adequate to support approval of our product candidates;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our product candidates meet their pre-specified safety and efficacy endpoints in clinical trials, the regulatory authorities may not complete their review processes in a timely manner and may not consider such clinical trial results sufficient to grant,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Regulatory authorities also may approve a product candidate for more limited indications than requested or they may impose significant limitations in the form of narrow indications, warnings, contraindications or Risk Evaluation and Mitigation Strategies (“REMS”). These regulatory authorities may also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adversely affect our business, financial condition, results of operations and prospects.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TPST-1495, amezalpat and any future product candidates may cause undesirable and/or unforeseen side effects or be perceived by the public as unsafe, which could delay or prevent their advancement into clinical trials or regulatory approval, limit the commercial potential or result in significant negative consequences.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As we continue developing our product candidates and initiate clinical trials of our additional product candidates, serious adverse events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jc w:val="both"/>
        <w:spacing w:after="0" w:line="253" w:lineRule="auto"/>
        <w:rPr>
          <w:sz w:val="20"/>
          <w:szCs w:val="20"/>
          <w:color w:val="auto"/>
        </w:rPr>
      </w:pPr>
      <w:r>
        <w:rPr>
          <w:rFonts w:ascii="Times New Roman" w:cs="Times New Roman" w:eastAsia="Times New Roman" w:hAnsi="Times New Roman"/>
          <w:sz w:val="18"/>
          <w:szCs w:val="18"/>
          <w:color w:val="auto"/>
        </w:rPr>
        <w:t>If any such adverse events occur, our clinical trials could be suspended or terminated and the FDA, the HPFB, the European Commission, the EMA or other regulatory authorities could order us to cease further development of, or deny approval of, our product candidates for any or all targeted indications. Even if we can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adversely affect our business, financial condition, results of operations and prospects significantly, including our ability to successfully sign collaboration or license agreements with external partners. Other treatments for cancers that utilize prostaglandin E2 antagonist or a PPARα antagonist or similar mechanism of action could also generate data that could adversely affect the clinical, regulatory or commercial perception of TPST-1495 and amezalpat and any future product candidates.</w:t>
      </w:r>
    </w:p>
    <w:p>
      <w:pPr>
        <w:spacing w:after="0" w:line="1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if any of our product candidates receives marketing approval, the FDA could require us to adopt a REMS to ensure that the benefits of the product outweigh our risks, which may include, for example, a Medication Guide outlining the risks of the product for distribution to patients and a communication plan to health care practitioners, or other elements to assure safe use of the product.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if we or others later identify undesirable side effects caused by our product candidates, several potentially significant negative consequences could result, including:</w:t>
      </w:r>
    </w:p>
    <w:p>
      <w:pPr>
        <w:spacing w:after="0" w:line="162"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product candidate;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in the product labeling;</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candidate is administered or conduct additional clinical trials;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occurrences may harm our business, financial condition, results of operations and prospects significantly.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our pipeline of product candidates and develop marketable products.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are researching or have in preclinical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develop further product candidates, we may not be able to obtain product revenue in future periods, which would adversely affect our business, prospects, financial condition and results of operations.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our pipeline includes multiple programs, we are primarily focused on our lead product candidates, TPST-1495 and amezalpat, and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jc w:val="both"/>
        <w:spacing w:after="0" w:line="258" w:lineRule="auto"/>
        <w:rPr>
          <w:sz w:val="20"/>
          <w:szCs w:val="20"/>
          <w:color w:val="auto"/>
        </w:rPr>
      </w:pPr>
      <w:r>
        <w:rPr>
          <w:rFonts w:ascii="Times New Roman" w:cs="Times New Roman" w:eastAsia="Times New Roman" w:hAnsi="Times New Roman"/>
          <w:sz w:val="18"/>
          <w:szCs w:val="18"/>
          <w:color w:val="auto"/>
        </w:rPr>
        <w:t>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 candidates, when and if any of them are approved.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current Good Manufacturing Practices (“cGMP”), quality control, quality assurance and corresponding maintenance of records and documents, including periodic inspections by the FDA and other regulatory authorities and requirements regarding the distribution of samples to providers and recordkeeping. In addition, manufacturers of drug products and their facilities are subject to continual review and periodic, unannounced inspections by the FDA and other regulatory authorities for compliance with cGMP.</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any approved product. The FDA closely regulates the post-approval marketing and promotion of drugs to ensure that they are marketed in a manner consistent with the provisions of the approved labeling. The FDA imposes stringent restrictions on manufacturers’ communications regarding use of their products. If we promote our product candidates in a manner inconsistent with FDA-approved labeling or otherwise not in compliance with FDA regulations, we may be subject to enforcement action. Violations of the FFDCA relating to the promotion of prescription drugs may lead to investigations alleging violations of federal and state healthcare fraud and abuse laws, as well as state consumer protection laws and similar laws in international jurisdictions.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 candidates, manufacturers or manufacturing processes, or failure to comply with regulatory requirements, may yield various results, including:</w:t>
      </w:r>
    </w:p>
    <w:p>
      <w:pPr>
        <w:spacing w:after="0" w:line="162"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 candidates, manufacturers or manufacturing processes;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any approved product from the market;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 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it may lose any marketing approval that we have obtained, and we may not achieve or sustain profitability.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Non-compliance with Canadian and European requirements regarding safety monitoring or pharmacovigilance, and with requirements related to the development of products for the pediatric population, can also result in significant financial penalties.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market and sell TPST-1495, amezalpat and any future product candidates in other jurisdictions, we must obtain separate marketing approvals and comply with numerous and varying regulatory requirements. The approval procedure varies among countries and can involve additional testing. The time and data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product candidates in certain countries.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and Manufacturing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 candidates, including TPST-1495 and amezalpat, will depend upon their degree of market acceptance by providers, patients, patient advocacy groups, third-party payors and the general medical community.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the requisite approvals from the FDA, the HPFB, the EMA and other regulatory authorities internationally are obtained, the commercial success of our product candidates will depend, in part, on the acceptance of providers, patients and third-party payors of drugs designed to act as a dual antagonist of EP2 and EP4 and PPARα antagonists in general, and our product candidates in particular, as medically necessary, cost-effective and safe. In addition, we may face challenges in seeking to establish and grow sales of TPST-1495 and amezalpat or any future product candidates. Any product that we commercialize may not gain acceptance by providers, patients, patient advocacy groups, third-party payors and the general medical community. If these products do not achieve an adequate level of acceptance, we may not generate significant product revenue and may not become profitable.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 if a potential product displays a favorable efficacy and safety profile in preclinical studies and clinical trials, market acceptance of the product will not be fully known until after it is launched.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pricing,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coverage and reimbursement by third-party payors will be essential for most patients to be able to afford these treatments. Accordingly, sales of our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payors, private health coverage insurers and other third-party payors. Even if coverage is provided, the established reimbursement amount may not be high enough to allow us to establish or maintain pricing sufficient to realize a sufficient return on our investment.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will be covered and reimbursed. The Medicare program covers certain individuals aged 65 or older, disabled or suffering from end-stage renal disease. The Medicaid program, which varies from state-to-state, covers certain individuals and families who have limited financial means. The Medicare and Medicaid programs increasingly are used as models for how private payors and other government payors develop their coverage and reimbursement policies for drugs. One payor’s determination to provide coverage for a drug product, however, does not assure that other payors will also provide coverage for the drug product. Further, a payor’s decision to provide coverage for a drug product does not imply that an adequate reimbursement rate will be approved.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government and private payors, professional organizations such as the American Medical Association, can influence decisions about coverage and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compared to existing alternatives. Such organizations may set guidelines that limit reimbursement or utilization of our product candidates, if approved. Even if favorable coverage and reimbursement status is attained for one or more product candidates for which our collaborators receive regulatory approval, less favorable coverage policies and reimbursement rates may be implemented in the future.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revenues and profits.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increasing efforts by government and other third-party payors, in the United States and internationally, to cap or reduce healthcare costs may cause such payors to limit both coverage and the level of reimbursement for new products approved and, as a result, they may not cover or provide adequate payment for our product candidates. We expect to experience pricing pressures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6" w:name="page47"/>
    <w:bookmarkEnd w:id="46"/>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any of our product candidates due to the trend toward managed healthcare, the increasing influence of certain third-party payors,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Recently there have been instances in which third-party payors have refused to reimburse treatments for patients for whom the treatment is indicated in the FDA-approved product labeling. Even if we are successful in obtaining FDA approval to commercialize our product candidates, we cannot guarantee that we will be able to secure reimbursement for all patients for whom treatment with our product candidates is indicated.</w:t>
      </w:r>
    </w:p>
    <w:p>
      <w:pPr>
        <w:spacing w:after="0" w:line="18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third parties on which we depend to conduct our planned preclinical studies or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third-party CROs, CMOs, consultants and others to design, conduct, supervise and monitor key activities relating to, testing, discovery, manufacturing, preclinical studies and clinical trials of our product candidates, and we intend to do the same for future activities relating to existing and future programs. Because we rely on third parties and does not have the ability to conduct all required testing,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testing, discovery, manufacturing, preclinical studies or clinical trials being delayed or unsuccessful, in whole or in part.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as well as in accordance with GLP, GCP and other applicable laws, regulations and standards. Our reliance on third parties that we do not control does not relieve us of these responsibilities and requirements. The FDA and other regulatory authorities enforce GCP through periodic inspections of trial sponsors, principal investigators and trial sites. If we or any of these third parties fails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have complied with GCP. In addition, our clinical trials must be conducted with product produced in accordance with cGMP. Our failure to comply with these regulations may require us to repeat clinical trials, which could delay or prevent the receipt of regulatory approvals. Any such event could have an adverse effect on our business, financial condition, results of operations and prospects.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change, and it is possible that our competitors may achieve regulatory approval before us or develop therapies that are more advanced or effective than our therapies, which may harm our business, financial condition and our ability to successfully market or commercialize TPST-1495, amezalpat, and any future product candidates.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biopharmaceutical industry, and the immuno-oncology industry specifically, is characterized by intense competition and rapid innovation. We are aware of other companies focused on developing cancer therapies in various indications. We may also face competition from large and specialty pharmaceutical and biotechnology companies, academic research institutions, government agencies and public and private research institutions that conduct research, seek patent protection, and establish collaborative arrangements for research, development, manufacturing and commercialization.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potential competitors, alone or with their strategic partners, may have substantially greater financial, technical and other resources than we do,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candidates that we may develop. Competitors also may obtain FDA or other regulatory approval for their products more rapidly than we may obtain approval for our products, which could result in our competitors establishing a strong market position before we are able to enter the market, if ever. Additionally, new or advanced technologies developed by our competitors may render our current or future product candidates uneconomical or obsolete, and we may not be successful in marketing our product candidates against competitors.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develop and eventually commercialize product candidates with significant market potential, which will require us to be successful in a range of challenging activities. These activities include, among other things, completing preclinical studies and initiating and completing clinical trials of our product candidates, obtaining marketing approval for these product candidates, manufacturing, marketing and selling those products that are approved and satisfying any post 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common stock and could impair our ability to raise capital, maintain our research and development efforts, expand our business or continue operations. A decline in the value of our common stock also could cause you to lose all or part of your investment.</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third parties to manufacture our clinical product supplies, and we may have to rely on third parties to produce and process our product candidates, if approved.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must currently rely on outside vendors to manufacture supplies and process our product candidates. We have not yet manufactured or processed our product candidates on a commercial scale and may not be able to achieve manufacturing and processing and may be unable to create an inventory of mass-produced, off-the-shelf product to satisfy demands for any of our product candidates.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 In addition, we anticipate reliance on a limited number of third-party manufacturers exposes us to the following risks:</w:t>
      </w:r>
    </w:p>
    <w:p>
      <w:pPr>
        <w:spacing w:after="0" w:line="72" w:lineRule="exact"/>
        <w:rPr>
          <w:sz w:val="20"/>
          <w:szCs w:val="20"/>
          <w:color w:val="auto"/>
        </w:rPr>
      </w:pPr>
    </w:p>
    <w:p>
      <w:pPr>
        <w:jc w:val="both"/>
        <w:ind w:left="1020" w:hanging="503"/>
        <w:spacing w:after="0" w:line="26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 after receipt of FDA questions, if any.</w:t>
      </w:r>
    </w:p>
    <w:p>
      <w:pPr>
        <w:spacing w:after="0" w:line="71"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might be unable to timely formulate and manufacture our product or produce the quantity and quality required to meet our clinical and commercial needs, if 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manufacturers may not be able to execute our manufacturing procedures appropriately.</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contract manufacturers may not perform as agreed or may not remain in the contract manufacturing business for the time required to supply our clinical trials or to successfully produce, store and distribute our products.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are subject to ongoing periodic unannounced inspection by the FDA, the Drug Enforcement Administration and corresponding state agencies to ensure strict compliance with cGMP and other government regulations and corresponding foreign standards. We do not have control over third-party manufacturers’ compliance with these regulations and standards.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ind w:left="1020" w:right="2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or may have to share, the intellectual property rights to any improvements made by our third-party manufacturers in the manufacturing process for our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could breach or terminate their agreement(s) with us.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contract manufacturers would also be subject to the same risks we face in developing our own manufacturing capabilities, as described above. Each of these risks could delay our clinical trials, the approval, if any, of our product candidates by the FDA or the commercialization of our product candidates or result in higher costs or deprive us of potential product revenue. In addition, we will rely on third parties to perform release tests on our product candidates prior to delivery to patients. If these tests are not appropriately done and test data are not reliable, patients could be put at risk of serious harm.</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our ability to obtain marketing approval, or our ability to provide supply of our product candidates for patients, if approved, could be delayed or stopped.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establish manufacturing relationships with a limited number of suppliers to manufacture raw materials, the drug substance and finished product of any product candidate for which we are responsible for preclinical or clinical development. Each supplier may require licenses to manufacture such components if such processes are not owned by the supplier or in the public domain. As part of any marketing approval, a manufacturer and its processes are required to be qualified by the FDA prior to regulatory approval.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process of manufacturing drugs is complex, highly regulated and subject to multiple risks.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manufacturers, such facilities may need to be closed for an extended period of time to investigate and remedy the contamination, which could delay clinical trials and adversely harm our business. Moreover, if the FDA determines that our CMOs are not in compliance with FDA laws and regulations, including those governing cGMP, the FDA may deny an NDA approval until the deficiencies are corrected or we replace the manufacturer in our NDA with a manufacturer that is in compliance.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 Furthermore, although we do not have day-to-day control over the operations of our CMOs, we are responsible for ensuring compliance with applicable laws and regulations, including cGMP.</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prospects.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we will rely upon a limited number of manufacturers for our product candidates, which may include single-source suppliers for the various steps of manufacture. This reliance on a limited number of manufacturers and the complexity of drug manufacturing and the difficulty of scaling up a manufacturing process could cause the delay of clinical trials, regulatory submissions, required approvals or commercialization of our product candidates, cause us to incur higher costs and prevent us from commercializing our product candidates successfully. Furthermore, if our suppliers fail to deliver the required commercial quantities of materials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market and sell our product candidates, we may be unable to generate any revenues.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do not have an organization for the sales, marketing and distribution of TPST-1495, amezalpat or any future product candidates, and the cost of establishing and maintaining such an organization may exceed the cost-effectiveness of doing so.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product candidates, we may enter into strategic alliances with third parties to develop and commercialize TPST-1495, amezalpat and any future product candidates, including in markets outside of the United States or for other large markets that are beyond our resources. This will reduce the revenue generated from the sales of these products.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marketing and sales force, or if our potential future strategic alliance partners do not successfully commercialize the product candidates, our ability to generate revenues from product sales will be adversely affected.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finding strategic collaborators for continuing development of certain of our future product candidates or successfully commercializing or competing in the market for certain indications.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future, we may decide to collaborate with non-profit organizations, universities and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for our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expense. If we elect to increase our expenditures to fund development or commercialization activities on our product candidates,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or any failure by our partners to perform their obligations under collaboration agreements, would adversely affect us financially and could harm our business reputation or negatively impact our ability to successfully develop, obtain regulatory approvals for and commercialize our product candidates.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regulatory approval process is lengthy and time consuming, and we may experience significant delays in the clinical development and regulatory approval of our product candidates.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Obtaining FDA approval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may approve our product candidates for a more limited indication or a narrower patient population than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also experience delays in obtaining regulatory approvals, including but not limited to:</w:t>
      </w:r>
    </w:p>
    <w:p>
      <w:pPr>
        <w:spacing w:after="0" w:line="225"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 to begin a trial, if applicable;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study protocols and need to conduct additional studies as may be required by a regulator;</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and changes in regulation or policy relating to the development and commercialization of our product candidate by the FDA or other comparable foreign regulatory authorities;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and other comparable foreign regulatory authorities;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commence and complete the planned trials;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the terms of any collaboration agreements we may choose to initiate or conclude;</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contractors, such as CROs, or investigators to comply with regulatory requirements, including GCPs;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obtaining the necessary approvals from regulators or institutional review boards (“IRBs”), in order to commence a clinical trial at a prospective trial site, or their suspension or termination of a clinical trial once commenced;</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and enroll suitable patients to participate in a trial;</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including having patients enrolled in clinical trials dropping out of the trial before the product candidate is manufactured and returned to the site, or return for post-treatment follow-up;</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having patients complete a trial or return for post-treatment follow-up;</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patient safety concerns that arise during the course of a trial;</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add new clinical trial sites; or</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the data generated from our preclinical or clinical trials;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expanding and scaling manufacturing capabilities;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manufacture, or obtain from third parties, sufficient quantities of qualified materials under cGMP, for the completion in pre-clinical and clinical studies;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biopharmaceutical product candidate storage, stability and distribution resulting in global supply chain disruptions;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 for which we may receive regulatory approval in regions where we choose to commercialize our products on our own; or</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or market fluctuations that delay our product development or clinical trials and increase our costs or expenses, such as business or operational disruptions, delays, or system failures due to malware, unauthorized access, terrorism, war, natural disasters, strikes, geopolitical conflicts (such as the Russia-Ukraine war and the war in Israel), restrictions on trade, import or export restrictions, or public health crises.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or by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jc w:val="both"/>
        <w:spacing w:after="0" w:line="255" w:lineRule="auto"/>
        <w:rPr>
          <w:sz w:val="20"/>
          <w:szCs w:val="20"/>
          <w:color w:val="auto"/>
        </w:rPr>
      </w:pPr>
      <w:r>
        <w:rPr>
          <w:rFonts w:ascii="Times New Roman" w:cs="Times New Roman" w:eastAsia="Times New Roman" w:hAnsi="Times New Roman"/>
          <w:sz w:val="18"/>
          <w:szCs w:val="18"/>
          <w:color w:val="auto"/>
        </w:rPr>
        <w:t>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the Data Safety Monitoring Committee.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the factors that cause, or lead to, a delay in the commencement or completion of clinical trials may ultimately lead to the denial of regulatory approval of our product candidates.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or Fast Track designation by the FDA for one or more of our product candidates but may not receive such designation. Even if we secure such designation, it may not lead to a faster development or regulatory review or approval process and it does not increase the likelihood that our product candidates will receive marketing approval.</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Breakthrough Therapy or Fast Track designation for some of our product candidates. In February 2025, we announced that the FDA had granted Fast Track Designation to amezalpat for the treatment of HCC. If a product candidate is intended for the treatment of a serious or life-threatening condition and clinical or preclinical data demonstrate the potential to address unmet medical needs for this condition, the product candidate may be eligible for Fast Track designation. The benefits of Fast Track designation include more frequent meetings with FDA to discuss the drug’s development plan and ensure collection of appropriate data needed to support drug approval, more frequent written communication from FDA about such things as the design of the proposed clinical trials and use of biomarkers, eligibility for Accelerated Approval and Priority Review, if relevant criteria are met, and rolling review, which means that a drug company can submit completed sections of our NDA for review by FDA, rather than waiting until every section of our NDA is completed before the entire application can be reviewed. NDA review usually does not begin until the entire application has been submitted to the FDA.</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by the FDA may be eligible for all features of Fast Track designation, intensive guidance on an efficient drug development program, beginning as early as Phase 1, and organizational commitment involving senior managers at FDA.</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has broad discretion whether or not to grant these designations, so even if we believe a particular product candidate is eligible, we cannot assure that the FDA would decide to grant the designation. Even if we obtain Fast Track designation and/or Breakthrough Therapy designation for one or more of our product candidates, it may not experience a faster development process, review or approval compared to non-expedited FDA review procedures. In addition, the FDA may withdraw Fast Track designation or Breakthrough Therapy designation if it believes that the designation is no longer supported. These designations do not guarantee qualification for the FDA’s priority review procedures or a faster review or approval process, including for amezalpat for the treatment of HCC.</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secure FDA approval of our product candidates through the accelerated approval pathway. If we are unable to obtain accelerated approval, we may be required to conduct additional preclinical studies or clinical trials beyond those that we currently contemplate, which could increase the expense of obtaining, and delay the receipt of, necessary marketing approvals.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developing certain product candidates for the treatment of serious conditions, and therefore may decide to seek approval of such product candidates under the FDA’s accelerated approval pathway. A product may be eligible for accelerated approval if it is designed to treat a serious or life-threatening disease or condition and provides a meaningful therapeutic benefit over existing treatments based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of or lack of alternative treatments. For the purposes of accelerated approval, a surrogate endpoint is a marker, such as a laboratory measurement, radiographic image, physical sign, or other measure that is thought to predict clinical benefit, but is not itself a measure of clinical benefit.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anticipated effect on irreversible morbidity or mortality or other clinical benefit. In some cases, the FDA may require that the trial be designed, initiated, and/or fully enrolled prior to approval. If the sponsor fails to conduct such studies in a timely manner, or if such post-approval studies fail to verify the drug’s predicted clinical benefit, or if other evidence demonstrates that our product candidate is not shown to be safe and effective under the conditions of use, the FDA may withdraw its approval of the drug on an expedited basis.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decide to submit an NDA seeking accelerated approval or receive an expedited regulatory designation for any of our product candidates, there can be no assurance that such submission or application will be accepted or that any expedited development, review or approval will be granted on a timely basis, or at all.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to obtain accelerated approval or any other form of expedited development, review or approval for our product candidates would result in a longer time period to commercialization of such product candidate, if any, and could increase the cost of development of such product candidate harm our competitive position in the marketplace.</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Although we have received orphan drug designation for amezalpat and may continue to seek orphan drug designation for some or all of our current or future product candidates, we may be unsuccessful in obtaining Orphan Drug Designation for our product candidates or transfer of designations obtained by others for future product candidates, and, even if we obtain such designation, we may be unable to maintain the benefits associated with Orphan Drug Designation, including the potential for market exclusivity.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2025, we received Orphan Drug Designation for amezalpat for the treatment of patients with HCC. We may continue to seek orphan drug designation for one or more of our current or future product candidates, including TPST-1495. The FDA may designate drugs intended to treat relatively small patient populations as orphan drugs. Under the Orphan Drug Act, the FDA may designate a drug as an orphan drug if it is intended to treat a rare disease or condition, which is defined as a patient population of fewer than 200,000 individuals in the United States, or a patient population greater than 200,000 in the United States when there is no reasonable expectation that the cost of developing and making available the drug in the United States will be recovered from sales in the United States for that drug. Orphan drug designation must be requested before submitting an NDA. In the United States, Orphan Drug Designation entitles a party to financial incentives such as opportunities for tax credits for qualified clinical research costs and exemption from prescription drug user fees. Generally, if a drug with an Orphan Drug Designation subsequently receives the first marketing approval for the indication for which it has such designation, the drug is entitled to a</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4" w:name="page55"/>
    <w:bookmarkEnd w:id="54"/>
    <w:p>
      <w:pPr>
        <w:jc w:val="both"/>
        <w:spacing w:after="0" w:line="258" w:lineRule="auto"/>
        <w:rPr>
          <w:sz w:val="20"/>
          <w:szCs w:val="20"/>
          <w:color w:val="auto"/>
        </w:rPr>
      </w:pPr>
      <w:r>
        <w:rPr>
          <w:rFonts w:ascii="Times New Roman" w:cs="Times New Roman" w:eastAsia="Times New Roman" w:hAnsi="Times New Roman"/>
          <w:sz w:val="18"/>
          <w:szCs w:val="18"/>
          <w:color w:val="auto"/>
        </w:rPr>
        <w:t>period of marketing exclusivity, which precludes FDA from approving another marketing application for the same drug and indication for that time period, except in limited circumstances. If a competitor is able to obtain orphan drug exclusivity prior to us for a product that constitutes the same active moiety and treats the same indications as our product candidates, we may not be able to obtain approval of our drug by the applicable regulatory authority for a significant period of time unless we are able to show that our drug is clinically superior to the approved drug. The applicable period is seven years in the United States.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seek Orphan Drug Designation for one or more of our product candidates in the United States as part of our business strategy. However, Orphan Drug Designation does not guarantee future orphan drug marketing exclusivity. Even after an orphan drug is approved, the FDA can also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legislation may increase the difficulty and cost for us to commercialize and obtain marketing approval of our product candidates and may affect the prices we may set.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of 2010, or collectively the Affordable Care Act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example, on August 16, 2022, the Inflation Reduction Act of 2022 (“IRA”) was signed into law, which among other things, extends enhanced subsidies for individuals purchasing health insurance coverage in ACA through plan year 2025. The IRA also reduces the "donut hole" under the Medicare Part D program beginning in 2025 by significantly lowering the beneficiary maximum out-of-pocket cost and through a newly established manufacturer discount program. In the future, there may be other efforts to challenge, repeal or replace the ACA. It is unclear how many such challenges and the healthcare reform measures of the second Trump administration will impact the ACA and our business. We are continuing to monitor any changes to the ACA that, in turn, may potentially impact our business in the future.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Recently, the cost of prescription pharmaceuticals has been the subject of considerable discussion in the United States at both the federal and state levels. The heightened governmental scrutiny in the United States of pharmaceutical pricing practices in light of the rising cost of prescription drugs and biologics, also has resulted in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the IRA, among other things, (1) directs HHS to negotiate the price of certain high-expenditure, single-source drugs covered under Medicare that have been on the market for at least 7 years (the “Medicare Drug Price Negotiation Program”) and (2) imposes rebates under Medicare Part B and Medicare Part D to penalize price increases that outpace inflation. These provisions began to take effect progressively in fiscal year 2023. On August 15, 2024, HHS announced the agreed-upon price of the first ten drugs that were subject to price negotiations, although the Medicare Drug Price Negotiation Program is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currently subject to legal challenges. On January 17, 2025, HHS selected fifteen additional products covered under Part D for price negotiation in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year thereafter more Part B and Part D products will become subject to the Medicare Drug Price Negotiation Program.</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current Trump administration is pursuing policies to reduce regulations and expenditures across government including at HHS, the FDA, the National Institutes of Health, CMS and related agencies. These actions, presently directed by executive orders or memoranda from the Office of Management and Budget, may propose policy changes that create additional uncertainty for our business. These actions may, for example, include directives to reduce agency workforce, rescinding a Biden administration executive order tasking the Center for Medicare and Medicaid Innovation (“CMMI”) to consider new payment and healthcare models to limit drug spending and eliminating the Biden administration’s executive order that directed HHS to establishing an AI task force and developing a strategic plan. Further, amounts allocated to federal grants and contracts may be reduced or eliminated. These reductions may also impact the ability of relevant agencies to timely review and approve research and development, manufacturing, and marketing activities, which may delay Tempest’s ability to develop, market and sell any products Tempest may develop. Additionally, in its June 2024 decision in Loper Bright Enterprises v. Raimondo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state level, legislatures and agencies are increasingly passing legislation and implementing regulations designed to control spending on and patient out-of-pocket costs for drug products. These measures include constraints on pricing, discounting and reimbursement; restrictions on certain product access and marketing; cost disclosure and transparency measures that require detailed reporting of drug pricing and marketing information both at product launch and in the event of a price increase; and, in some cases, measures designed to encourage importation from other countries and bulk purchasing.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the ACA and the IRA, as well as other healthcare reform measures that may be adopted in the future, particularly in light of the recent U.S. Presidential and Congressional elections,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FDA’s ability to review and approve new products may be hindered by a variety of factors, including budget and funding levels, ability to hire and retain key personnel, statutory, regulatory and policy changes and global health concerns.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jc w:val="both"/>
        <w:spacing w:after="0" w:line="266" w:lineRule="auto"/>
        <w:rPr>
          <w:sz w:val="20"/>
          <w:szCs w:val="20"/>
          <w:color w:val="auto"/>
        </w:rPr>
      </w:pPr>
      <w:r>
        <w:rPr>
          <w:rFonts w:ascii="Times New Roman" w:cs="Times New Roman" w:eastAsia="Times New Roman" w:hAnsi="Times New Roman"/>
          <w:sz w:val="18"/>
          <w:szCs w:val="18"/>
          <w:color w:val="auto"/>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and our (or the third parties with whom we work) actual or perceived failure to comply with them could harm our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collect, receive, store, process, generate, use, transfer, disclose, make accessible, protect, secure, dispose of, transmit, and share (collectively, “process”) a large quantity of personal data and other sensitive information, including proprietary and confidential business data, trade secrets, intellectual property, and patient health information in connection with our preclinical and clinical studies.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there are numerous federal, state, and local privacy and data security laws and regulations governing the processing of personal data, including health information privacy laws, security breach notification laws, personal data privacy laws, consumer protection laws (e.g., Section 5 of the Federal Trade Commission Act), and other similar laws (e.g., wiretapping laws). Each of these laws is subject to varying interpretations and constantly evolving. In addition, we obtain health information from third parties (including research institutions from which it obtains clinical trial data) that are subject to privacy and security requirements under HIPAA, which imposes specific requirements relating to the privacy, security, and transmission of protected health information.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states have also adopted comprehensive privacy laws and regulations that impose certain obligations on covered businesses, including providing specific disclosures in privacy notices and affording residents with certain rights concerning their personal data. For example, the California Consumer Privacy Act, as amended by the California Privacy Rights Act (collectively, the “CCPA”) gives California residents expanded rights to access and delete their personal data, opt out of certain personal data sharing, and receive detailed information about how their personal information is used. The CCPA provides for civil penalties for violations, as well as a private right of action for data breaches that is expected to increase data breach litigation. Although the CCPA and other comprehensive U.S. state privacy laws exempt some data processed in the context of clinical trials, these developments further complicate compliance efforts if we become subject to those laws, potentially increasing our legal risk and compliance costs for us, and the third parties with whom we work. Similar laws are being considered in several other states, as well as at the federal and local levels, and we expect more states to pass similar laws in the future.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For example, in Canada, the Personal Information Protection and Electronic Documents Act (“PIPEDA”) and similar provincial laws may impose obligations with respect to processing personal data, including health-related information. PIPEDA requires companies to obtain an individual’s consent when collecting, using or disclosing that individual’s personal data. Individuals have the right to access and challenge the accuracy of their personal data held by an organization, and personal data may only be used for the purposes for which it was collected. If an organization intends to use personal data for another purpose, it must again obtain that individual’s consent. Failure to comply with PIPEDA could result in significant fines and penalties.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another example, the European Union’s General Data Protection Regulation (the “EU GDPR”) and the United Kingdom’s GDPR (the “UK GDPR”, and together with the EU GDPR, the “GDPR”) also impose strict requirements for processing personal data and substantial fines for breaches and violations (for example, under the EU GDPR, up to the greater of €20 million or 4% of our annual worldwide gross revenue). Additionally, under the GDPR, companies may face temporary or definitive bans on data processing and other corrective action or private litigation related to processing of personal data brought by classes of data subjects or consumer protection organizations authorized at law to represent their interests.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jc w:val="both"/>
        <w:spacing w:after="0" w:line="254" w:lineRule="auto"/>
        <w:rPr>
          <w:sz w:val="20"/>
          <w:szCs w:val="20"/>
          <w:color w:val="auto"/>
        </w:rPr>
      </w:pPr>
      <w:r>
        <w:rPr>
          <w:rFonts w:ascii="Times New Roman" w:cs="Times New Roman" w:eastAsia="Times New Roman" w:hAnsi="Times New Roman"/>
          <w:sz w:val="18"/>
          <w:szCs w:val="18"/>
          <w:color w:val="auto"/>
        </w:rPr>
        <w:t>Further,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Regulators in the United States such as the Department of Justice are also increasingly scrutinizing certain personal data transfers and have proposed, and may enact, certain data export restrictions and localization requirements. For example, the “Preventing Access to U.S. Sensitive Personal Data and Government-Related Data by Countries of Concern or Covered Persons” rule (the “Rule”) finalized by the Department of Justice in late 2024 and enacting the Biden Administration’s executive order “Preventing Access to Americans’ Bulk Sensitive Personal Data and United States Government-Related Data by Countries of Concern,” will take effect on April 8, 2025. The Rule prohibits or restricts various categories of transactions involving bulk sensitive personal data between U.S. persons and countries of concern or covered persons. Companies subject to the Rule face the risk of non-compliance with restrictions on transferring bulk sensitive personal data to countries of concern, such as China, Russia, or Iran, or covered persons, which could lead to significant penalties, including civil and criminal charges, as well as reputational damage and operational disruptions.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industry standards adopted by industry groups and, we may become subject to such obligations in the future. We are also bound by contractual obligations related to data privacy and security, and our efforts to comply with such obligations may not be successful. We publish privacy policies, marketing materials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Compliance with these obligations is a rigorous and time-intensive process, and we may be required to put in place additional mechanisms designed to ensure compliance with these obligations. If we fail (or are perceived to have failed) to comply with any such obligations, we may face significant consequences, including without limitation government enforcement actions (e.g., investigations, fines and penalties, audits, inspections); litigation (including class-action claims) and mass arbitration demands); additional reporting requirements and/or oversight; bans or restrictions on processing personal data; orders to destroy or not use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personal data; imprisonment of company officials; or other consequences that could adversely affect our business,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with whom we work, or our data, are or were compromised, we could experience adverse consequences, including disclosure of sensitive information, damage to our reputation, and significant financial and legal exposure.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process proprietary, confidential, and sensitive data, including personal data (such as health-related data), intellectual property, trade secrets (collectively, sensitive information). Cyberattacks, malicious internet-based activity, online and offline fraud, and other similar activities threaten the confidentiality, integrity, and availability of our sensitive information and information technology systems, and those of the third parties with whom we work. These threats are increasing in their frequency, sophistication and intensity, have become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are vulnerable to a heightened risk of these attacks, including retaliatory cyberattacks, that could materially disrupt our systems and operations, supply chain, and ability to produce, sell and distribute our goods and services.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Cyberattacks could include wrongful conduct by hostile foreign governments, industrial espionage, wire fraud and other forms of cyber fraud, the deployment of harmful malware (including as a result of advanced persistent threat intrusions), denial-of-service attacks, social engineering attacks (including through deep-fakes, which are increasingly more difficult to identify as fake, and phishing attacks), malicious code (such as viruses and worms), denial-of-service attacks, credential stuffing attacks, credential harvesting, personnel misconduct or error, ransomware attacks, supply-chain attacks, software bugs, server malfunctions, software or hardware failures, loss of data, attacks enhanced or facilitated by AI or other information technology assets, fraud or other means to threaten confidentiality, integrity and availability of our sensitive information. We and the third parties with whom we work may also experience telecommunications failures, natural disasters, terrorism, war and other similar threats.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particular, severe ransomware attacks are becoming increasingly prevalent and can lead to significant interruptions in our operations, ability to provide our products or services,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more of our employees work remotely, the risk of a cybersecurity incident potentially occurring, and our investment in risk mitigations against such an incident, is increasing. For example, there has been an increase in phishing and spam emails as well as social engineering attempts from “hackers.”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rely on third parties and their technology to operate critical business systems to process sensitive information, including our CROs, CMOs and other contractors, consultants and law and accounting firms. Our ability to monitor these third parties’ information security practices is limited, and these third parties may not have adequate information security measures in place. If these third parties experience a security incident or other interruption, we could experience adverse consequences. While we may be entitled to damages if our third-party partners fail to satisfy their privacy or security-related obligations to us, any award may be insufficient to cover our damages, or we may be unable to recover such award. In addition, supply-chain attacks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jc w:val="both"/>
        <w:spacing w:after="0" w:line="282" w:lineRule="auto"/>
        <w:rPr>
          <w:sz w:val="20"/>
          <w:szCs w:val="20"/>
          <w:color w:val="auto"/>
        </w:rPr>
      </w:pPr>
      <w:r>
        <w:rPr>
          <w:rFonts w:ascii="Times New Roman" w:cs="Times New Roman" w:eastAsia="Times New Roman" w:hAnsi="Times New Roman"/>
          <w:sz w:val="18"/>
          <w:szCs w:val="18"/>
          <w:color w:val="auto"/>
        </w:rPr>
        <w:t>have increased in frequency and severity, and we cannot guarantee that third parties’ infrastructure in our supply chain or our third-party partners’ supply chains have not been compromised.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devote resources to protect our information systems, we realize that cyberattacks are a threat, and there can be no assurance that our efforts will prevent information security breaches. We take steps designed to detect, mitigate, and remediate vulnerabilities in our information systems (such as our and the third parties’ with whom we work hardware and software). We have not, and may not in the future, however, detect and remediate all such vulnerabilities including on a timely basis. Further, we have, and may in the future, experience delays in developing and deploying remedial measures and patches designed to address identified vulnerabilities. Vulnerabilities could be exploited and result in a security incident.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previously identified or similar threats have in the past and may in the future cause a security incident or other interruption that have in the past and may in the future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A security incident or other interruption could disrupt our ability (and that of third parties with whom we work) to provide our services.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expend significant resources or may have to modify our business activities (including our clinical trial activities) to try to protect against security incidents. Certain data privacy and security obligations require us to implement and maintain specific security measures or industry-standard or reasonable security measures to protect our information technology systems and sensitive information. Applicable data privacy and security obligations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requirements could lead to adverse consequences.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successful or perceived security incident experienced by us or the third parties with whom we work could cause serious negative consequences for us, including, without limitation, the disruption of operations, the misappropriation of sensitive information, disclosure of corporate strategic plans, material disruption of our development programs and our business operations, government enforcement actions (e.g., investigations, fines, penalties, audits, inspections), additional reporting requirements and/or oversight, restrictions on processing sensitive information, litigation, indemnification obligations, reputational harm, negative publicity, and other harms. For example, the loss of data from preclinical studies or clinical trials could result in significant delays in our regulatory approval efforts and significantly increase our costs to recover or reproduce the data. To the extent that any disruption or security incident were to result in a loss of, or damage to, our sensitive information or applications, or inappropriate disclosure of such information, we could incur liability, our competitive position could be harmed, and the further development and commercialization of our product candidates could be significantly delayed.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the regulations of FDA and non-U.S. regulators, to provide accurate information to the FDA and non-U.S. regulators, to comply with healthcare fraud and abuse laws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jc w:val="both"/>
        <w:spacing w:after="0" w:line="254" w:lineRule="auto"/>
        <w:rPr>
          <w:sz w:val="20"/>
          <w:szCs w:val="20"/>
          <w:color w:val="auto"/>
        </w:rPr>
      </w:pPr>
      <w:r>
        <w:rPr>
          <w:rFonts w:ascii="Times New Roman" w:cs="Times New Roman" w:eastAsia="Times New Roman" w:hAnsi="Times New Roman"/>
          <w:sz w:val="18"/>
          <w:szCs w:val="18"/>
          <w:color w:val="auto"/>
        </w:rPr>
        <w:t>and regulations in the United States and abroad,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could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or asserting our rights, those actions could have a significant impact on our business, including the imposition of significant fines or other sanctions.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relationships with future customers, providers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Healthcare providers and third-party payors will play a primary role in the recommendation and prescription of any product candidates for which we obtain marketing approval. Our future arrangements with providers, third-party payors and customers will subject us to broadly applicable fraud and abuse and other healthcare laws and regulations that may constrain the business or financial arrangements and relationships through which we market, sell and distribute any product candidates for which we obtain marketing approval.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under applicable U.S. federal and state healthcare laws and regulations include the following:</w:t>
      </w:r>
    </w:p>
    <w:p>
      <w:pPr>
        <w:spacing w:after="0" w:line="225" w:lineRule="exact"/>
        <w:rPr>
          <w:sz w:val="20"/>
          <w:szCs w:val="20"/>
          <w:color w:val="auto"/>
        </w:rPr>
      </w:pPr>
    </w:p>
    <w:p>
      <w:pPr>
        <w:jc w:val="both"/>
        <w:ind w:left="1020" w:hanging="503"/>
        <w:spacing w:after="0" w:line="258"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 criminal law that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 A person or entity does not need to have actual knowledge of the federal Anti-Kickback Statute or specific intent to violate it in order to have committed a violation. Violations of the federal Anti-Kickback Statute can result in</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ind w:left="503"/>
        <w:spacing w:after="0" w:line="282" w:lineRule="auto"/>
        <w:rPr>
          <w:sz w:val="20"/>
          <w:szCs w:val="20"/>
          <w:color w:val="auto"/>
        </w:rPr>
      </w:pPr>
      <w:r>
        <w:rPr>
          <w:rFonts w:ascii="Times New Roman" w:cs="Times New Roman" w:eastAsia="Times New Roman" w:hAnsi="Times New Roman"/>
          <w:sz w:val="18"/>
          <w:szCs w:val="18"/>
          <w:color w:val="auto"/>
        </w:rPr>
        <w:t>significant civil monetary penalties and criminal fines, as well as imprisonment and exclusion from participation in federal health care programs;</w:t>
      </w:r>
    </w:p>
    <w:p>
      <w:pPr>
        <w:spacing w:after="0" w:line="162" w:lineRule="exact"/>
        <w:rPr>
          <w:sz w:val="20"/>
          <w:szCs w:val="20"/>
          <w:color w:val="auto"/>
        </w:rPr>
      </w:pPr>
    </w:p>
    <w:p>
      <w:pPr>
        <w:jc w:val="both"/>
        <w:ind w:left="503" w:hanging="503"/>
        <w:spacing w:after="0" w:line="258" w:lineRule="auto"/>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imposes significant civil penalties and treble damages,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or services resulting from a violation of the U.S. federal Anti-Kickback Statute constitutes a false or fraudulent claim for purposes of the civil False Claims Act;</w:t>
      </w:r>
    </w:p>
    <w:p>
      <w:pPr>
        <w:spacing w:after="0" w:line="183"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Criminal Statute on False Statements Relating to Health Care Matters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179" w:lineRule="exact"/>
        <w:rPr>
          <w:rFonts w:ascii="Times New Roman" w:cs="Times New Roman" w:eastAsia="Times New Roman" w:hAnsi="Times New Roman"/>
          <w:sz w:val="18"/>
          <w:szCs w:val="18"/>
          <w:color w:val="auto"/>
        </w:rPr>
      </w:pPr>
    </w:p>
    <w:p>
      <w:pPr>
        <w:jc w:val="both"/>
        <w:ind w:left="503" w:hanging="503"/>
        <w:spacing w:after="0" w:line="258" w:lineRule="auto"/>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183"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criminal and civil liability for,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79" w:lineRule="exact"/>
        <w:rPr>
          <w:rFonts w:ascii="Times New Roman" w:cs="Times New Roman" w:eastAsia="Times New Roman" w:hAnsi="Times New Roman"/>
          <w:sz w:val="18"/>
          <w:szCs w:val="18"/>
          <w:color w:val="auto"/>
        </w:rPr>
      </w:pPr>
    </w:p>
    <w:p>
      <w:pPr>
        <w:jc w:val="both"/>
        <w:ind w:left="503" w:hanging="503"/>
        <w:spacing w:after="0" w:line="258" w:lineRule="auto"/>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requires applicable manufacturers of covered drugs, devices, biologics, and medical supplies for which payment is available under Medicare, Medicaid, or the Children’s Health Insurance Program, among others, to track and report payments and other transfers of value provided during the previous year to U.S. licensed physicians (defined to include doctors, dentists, optometrists, podiatrists, and chiropractors), other healthcare professionals (such as physician assistants and nurse practitioners), and, teaching hospitals, as well as certain ownership and investment interests held by physicians and their immediate family;</w:t>
      </w:r>
    </w:p>
    <w:p>
      <w:pPr>
        <w:spacing w:after="0" w:line="183" w:lineRule="exact"/>
        <w:rPr>
          <w:rFonts w:ascii="Times New Roman" w:cs="Times New Roman" w:eastAsia="Times New Roman" w:hAnsi="Times New Roman"/>
          <w:sz w:val="18"/>
          <w:szCs w:val="18"/>
          <w:color w:val="auto"/>
        </w:rPr>
      </w:pPr>
    </w:p>
    <w:p>
      <w:pPr>
        <w:ind w:left="503" w:right="560" w:hanging="503"/>
        <w:spacing w:after="0" w:line="266" w:lineRule="auto"/>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and</w:t>
      </w:r>
    </w:p>
    <w:p>
      <w:pPr>
        <w:spacing w:after="0" w:line="175"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w:t>
      </w:r>
    </w:p>
    <w:p>
      <w:pPr>
        <w:spacing w:after="0" w:line="175" w:lineRule="exact"/>
        <w:rPr>
          <w:rFonts w:ascii="Times New Roman" w:cs="Times New Roman" w:eastAsia="Times New Roman" w:hAnsi="Times New Roman"/>
          <w:sz w:val="18"/>
          <w:szCs w:val="18"/>
          <w:color w:val="auto"/>
        </w:rPr>
      </w:pPr>
    </w:p>
    <w:p>
      <w:pPr>
        <w:jc w:val="both"/>
        <w:ind w:left="503" w:hanging="503"/>
        <w:spacing w:after="0" w:line="258" w:lineRule="auto"/>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w:t>
      </w:r>
    </w:p>
    <w:p>
      <w:pPr>
        <w:spacing w:after="0" w:line="75"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01" w:right="339" w:bottom="1440" w:gutter="0" w:footer="0" w:header="0"/>
        </w:sectPr>
      </w:pPr>
    </w:p>
    <w:bookmarkStart w:id="62" w:name="page63"/>
    <w:bookmarkEnd w:id="62"/>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such as Medicare and Medicaid, disgorgement, contractual damages, reputational harm, diminished profits and future earnings, and the curtailment or restructuring of our operations. If any of the physicians or other healthcare providers or entities with whom we expect to do business is found to be not in compliance with applicable laws, it may be costly to us in terms of money, time and resources, and we may be subject to criminal, civil or administrative sanctions, including exclusion from government-funded healthcare programs.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for costs and expenses, we may incur due to injuries to our employees resulting from the use of hazardous materials, this insurance may not provide adequate coverage against potential liabilities.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materially adversely affect 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Act, enacted many significant changes to the U.S. tax laws, including changes in corporate tax rates, the utilization of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(the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our business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commercial success will depend in large part on obtaining and maintaining patent, trademark, trade secret and other intellectual property protection of our proprietary technologies and product candidates, which include TPST-1495, amezalpat and any future product candidates we have in development, their respective components, formulations, combination therapies, methods used to manufacture them and methods of treatment, as well as successfully defending our patents and other intellectual property rights against third-party challenges. Our ability to stop unauthorized third parties from making, using, selling, offering to sell, importing or otherwise commercializing our product candidates is dependent upon the extent to which we have rights under valid and enforceable patents or trade secrets that cover these activities. If we are unable to secure and maintain patent</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jc w:val="both"/>
        <w:spacing w:after="0" w:line="266" w:lineRule="auto"/>
        <w:rPr>
          <w:sz w:val="20"/>
          <w:szCs w:val="20"/>
          <w:color w:val="auto"/>
        </w:rPr>
      </w:pPr>
      <w:r>
        <w:rPr>
          <w:rFonts w:ascii="Times New Roman" w:cs="Times New Roman" w:eastAsia="Times New Roman" w:hAnsi="Times New Roman"/>
          <w:sz w:val="18"/>
          <w:szCs w:val="18"/>
          <w:color w:val="auto"/>
        </w:rPr>
        <w:t>protection for any product or technology we develop, or if the scope of the patent protection secured is not sufficiently broad, our competitors could develop and commercialize products and technology similar or identical to our, and our ability to commercialize any product candidates we may develop may be adversely affected.</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patenting process is expensive and time-consuming, and we may not be able to file and prosecute all necessary or desirable patent applications at a reasonable cost or in a timely manner. Additionally, recent reforms and changes at government agencies of the United States and those of non-U.S. jurisdictions could increase the uncertainties and costs surrounding the prosecution or maintenance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 In addition, we may not pursue or obtain patent protection in all relevant markets. It is also possible that we will fail to identify patentable aspects of our research and development activities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may be reliant on our licensors or licensees to do so. Our pending and future patent applications may not result in issued patents.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in-licenses may be challenged, narrowed, circumvented or invalidated by third parties. Consequently, we do not know whether any of our platform advances and product candidates will be protectable or remain protected by valid and enforceable patents. In addition, our existing patents and any future patents we obtain may not be sufficiently broad to prevent others from using our technology or from developing competing products and technologies.</w:t>
      </w:r>
    </w:p>
    <w:p>
      <w:pPr>
        <w:spacing w:after="0" w:line="1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and may in the future depend on intellectual property licensed from third parties, and our current or future licensors may not always act in our best interest. If we fail to comply with our obligations under our intellectual property licenses, if the licenses are terminated, or if disputes regarding these licenses arise, we could lose significant rights that may be important to our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license intellectual property from the Regents of the University of California and may in the future depend on patents, know-how and proprietary technology licensed from third parties. Our licenses to such patents, know-how and proprietary technology may not provide exclusive rights in all relevant fields of use and in all territories in which we may wish to develop or commercialize our products in the future. The agreements under which we license patents, know-how and proprietary technology from others may be complex, and certain provisions in such agreements may be susceptible to multiple interpretations.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in the future need to obtain licenses from third parties to advance our research or allow commercialization of product candidates Tempest may develop. It is possible that we may be unable to obtain any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or product candidates.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jc w:val="both"/>
        <w:spacing w:after="0" w:line="256" w:lineRule="auto"/>
        <w:rPr>
          <w:sz w:val="20"/>
          <w:szCs w:val="20"/>
          <w:color w:val="auto"/>
        </w:rPr>
      </w:pPr>
      <w:r>
        <w:rPr>
          <w:rFonts w:ascii="Times New Roman" w:cs="Times New Roman" w:eastAsia="Times New Roman" w:hAnsi="Times New Roman"/>
          <w:sz w:val="18"/>
          <w:szCs w:val="18"/>
          <w:color w:val="auto"/>
        </w:rPr>
        <w:t>If our current or future licensors fail to adequately protect our licensed intellectual property, our ability to commercialize product candidates could suffer. We may not have complete control over the maintenance, prosecution and litigation of our current or future in-licensed patents and patent applications. For example, we cannot be certain that activities such as the maintenance and prosecution by our current or future licensors have been or will be conducted in compliance with applicable laws and regulations or will result in valid and enforceable patents and other intellectual property rights. It is possible that our current or future licensors’ infringement proceedings or defense activities may be less vigorous than had we conducted them ourselves or may not be conducted in accordance with our best interests.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resolution of any contract interpretation disagreement that may arise could narrow what we might believe to be the scope of our rights to the relevant patents, know-how and proprietary technology, or increase what we believe to be our financial or other obligations under the relevant agreement. Disputes that may arise between us and our current or future licensors regarding intellectual property subject to a license agreement could include disputes regarding:</w:t>
      </w:r>
    </w:p>
    <w:p>
      <w:pPr>
        <w:spacing w:after="0" w:line="180"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milestone or other payment obligations that may result from the advancement or commercial sale of any of our product candidates; and</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currently license or may license in the future prevent or impair our ability to maintain our licensing arrangements on acceptable terms, we may be unable to successfully develop and commercialize the affected technology or product candidates.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owned and in-licensed patents and patent applications may not provide sufficient protection of our product candidates or result in any competitive advantage.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been the subject of much litigation.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U.S. Patent and Trademark Office (the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An adverse determination in any such submission, proceeding or litigation may result in loss of patent rights, loss of exclusivity, patent term adjustment being jeopardized, patent term being reduced, or in patent claims being narrowed, invalidated or held unenforceable, which could limit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Moreover, some of our owned and in-licensed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 or eliminated.</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Since patent applications in the United States and other countries are confidential for a period of time after filing or until issuance, at any moment in time, we cannot be certain that it was in the past or will be in the future the first to file any patent application related to our product candidates. In addition, some patent applications in the United States may be maintained in secrecy until the patents are issued. As a result, there may be prior art of which we are not aware that may affect the validity or enforceability of a patent claim, and we may be subject to priority disputes. We may be required to disclaim part or all of the term of certain patents or all of the term of certain patent applications.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 products and technology. Those patent applications may have priority over our owned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patents that we have had issued that cover our product candidates or their use. Likewise, our currently owned patents and patent applications, if issued as patents, directed to our proprietary technologies and our product candidates are expected to expire from 2033 through 2045, without taking into account any possible patent term adjustments or extensions. Our earliest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62" w:lineRule="exact"/>
        <w:rPr>
          <w:sz w:val="20"/>
          <w:szCs w:val="20"/>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compounds that are similar to the active compositions of our product candidates but that are not covered by the claims of our patents;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APIs in our current product candidates will eventually become commercially available in generic drug products, and no patent protection may be available with regard to formulation or method of use;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as the case may be, may fail to meet our or our obligations to the U.S. government regarding any patents and patent applications funded by U.S. government grants, leading to the loss or unenforceability of patent rights;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as the case may be, might not have been the first to file patent applications for certain inventions;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22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owned or in-licensed patents, as the case may be, or parts of our owned or in-licensed patents;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or our current or future licensors’, as the case may be, proprietary rights to the same extent as the laws of the United States;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adequately cover our product candidates;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may omit individual(s) that should be listed as inventor(s) or include individual(s) that should not be listed as inventor(s), which may cause these patents or patents issuing from these patent applications to be held invalid or unenforceable or such omitted individuals may grant licenses to third parties;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product candidates or diagnostic tests we develop may be covered by third parties’ patents or other exclusive rights; or</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conditions,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strategy of obtaining rights to key technologies through in-licenses may not be successful.</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jc w:val="both"/>
        <w:spacing w:after="0" w:line="266" w:lineRule="auto"/>
        <w:rPr>
          <w:sz w:val="20"/>
          <w:szCs w:val="20"/>
          <w:color w:val="auto"/>
        </w:rPr>
      </w:pPr>
      <w:r>
        <w:rPr>
          <w:rFonts w:ascii="Times New Roman" w:cs="Times New Roman" w:eastAsia="Times New Roman" w:hAnsi="Times New Roman"/>
          <w:sz w:val="18"/>
          <w:szCs w:val="18"/>
          <w:color w:val="auto"/>
        </w:rPr>
        <w:t>The future growth of our business may depend in part on our ability to in-license or otherwise acquire the rights to additional product candidates and technologies. We cannot assure you that we will be able to in-license or acquire the rights to any product candidates or technologies from third parties on acceptable terms or at all.</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our agreements with certain of our third-party research partners provide that improvements developed in the course of our relationship may be owned solely by either we or our third-party research partner, or jointly between us and the third party. If we determine that exclusive rights to such improvements owned solely by a research partner or other third party with whom we collaborate are necessary to commercialize our drug candidates or maintain our competitive advantage, we may need to obtain an exclusive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opportunity to access technology that is important to our business. We also may need the cooperation of any co-owners of our intellectual property in order to enforce such intellectual property against third parties, and such cooperation may not be provided to us.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in-licensing and acquisition of these technologies is a highly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and prospects could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are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(or as otherwise permitted by applicable law),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We have also adopted policies and conducts training that provides guidance on our expectations, and our advice for best practices, in protecting our trade secrets. Despite these efforts, any of these parties may breach the agreements and disclose our proprietary information, including our trade secrets, and we may not be able to obtain adequate remedies for such breaches.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through other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us from receiving legal recourse. If any of our confidential or proprietary information, such as our trade secrets, were to be disclosed or</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jc w:val="both"/>
        <w:spacing w:after="0" w:line="261" w:lineRule="auto"/>
        <w:rPr>
          <w:sz w:val="20"/>
          <w:szCs w:val="20"/>
          <w:color w:val="auto"/>
        </w:rPr>
      </w:pPr>
      <w:r>
        <w:rPr>
          <w:rFonts w:ascii="Times New Roman" w:cs="Times New Roman" w:eastAsia="Times New Roman" w:hAnsi="Times New Roman"/>
          <w:sz w:val="18"/>
          <w:szCs w:val="18"/>
          <w:color w:val="auto"/>
        </w:rPr>
        <w:t>misappropriated, such as through a security incident, or if any of that information was independently developed by a competitor, our competitive position could be harmed. Additionally, certain trade secret and proprietary information may be required to be disclosed in submissions to regulatory authorities. If such authorities do not maintain the confidential basis of such information or disclose it as part of the basis of regulatory approval, our competitive position could be adversely affected.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courts outside the United States are sometimes less willing to protect trade secrets. If we choose to go to court to stop a third party from using any of our trade secrets, we may incur substantial costs. Even if we are successful, these types of lawsuits may result in substantial cost and require significant time from our scientists and management. Although we take steps to protect our proprietary information and trade secrets, third parties may independently develop substantially equivalent proprietary information and techniques or otherwise gain access to our trade secrets or disclose our technology, through legal or illegal means. As a result, we may not be able to meaningfully protect our trade secrets. Any of the foregoing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delay or otherwise interfere with our product discovery and development efforts.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to develop, manufacture, market and sell our product candidates and use our proprietary technologies without infringing, misappropriating or otherwise violating the intellectual property or other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misappropriate or otherwise violate their intellectual property rights. Numerous U.S. and foreign issued patents and pending patent applications that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 third parties may allege they have patent rights encompassing our product candidates, technologies or methods.</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their intellectual property rights, we may face a number of issues, including, but not limited to:</w:t>
      </w:r>
    </w:p>
    <w:p>
      <w:pPr>
        <w:spacing w:after="0" w:line="162" w:lineRule="exact"/>
        <w:rPr>
          <w:sz w:val="20"/>
          <w:szCs w:val="20"/>
          <w:color w:val="auto"/>
        </w:rPr>
      </w:pPr>
    </w:p>
    <w:p>
      <w:pPr>
        <w:ind w:left="1020" w:right="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that, regardless of merit, may be expensive and time-consuming to litigate and may divert our management’s attention from our core business;</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plus the patent owner’s attorneys’ fees;</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from using our proprietary technologies, unless the third-party licenses our product rights or proprietary technology to us, which it is not required to do, on commercially reasonable terms or at all;</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 candidates;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redesign our product candidates or processes so they do not infringe, which may not be possible or may require substantial monetary expenditures and time; and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including by enforcing our patents against us by filing a patent infringement lawsuit against us. In this regard, patents issued in the United States by law enjoy a presumption of validity that can be rebutted only with evidence that is “clear and convincing,” a heightened standard of proof.</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may be third-party patents of which we are currently unaware of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 upon these patents.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third-party patents were held by a court of competent jurisdiction to cover the manufacturing process of our product candidates, or materials used in or formed during the manufacturing process, or any final product itself, the holders of those patents may be able to block our ability to commercialize our product candidate unless we obtain a license under the applicable patents, or until those patents were to expire or those patents are finally determined to be invalid or unenforceable. Similarly, if any third-party patent were held by a court of competent jurisdiction to cover aspects of our formulations, processes for manufacture or methods of use, including combination therapy or patient selection methods, the holders of that patent may be able to block our ability to develop and commercialize the product candidate unless we obtain a license or until such patent 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product candidates may be impaired or delayed, which could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 advance our research or allow commercialization of our product candidates and we may fail to obtain any of these licenses at a reasonable cost or on reasonable terms, if at all.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that event, we would be unable to further develop and commercialize our product candidates, which could significantly harm our business.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 and could result in a finding that such patents are unenforceable or invalid.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patent litigation in the United States, defendant counterclaims alleging invalidity and/or unenforceability are commonplace, and there are numerous grounds upon which a third party can assert invalidity or unenforceability of a patent.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These types of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Defense of these types of claims, regardless of their merit, would involve substantial litigation expense and would be a substantial diversion of employee resources from our business.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Conversely, we may choose to challenge the patentability of claims in a third party’s U.S. patent by requesting that the USPTO review the patent claims in re-examination, post-grant review, inter partes review, interference proceedings, derivation proceedings, and equivalent proceedings in foreign jurisdictions (e.g., opposition proceedings), or we may choose to challenge a third party’s patent in patent opposition proceedings in the Canadian Intellectual Property Office (“CIPO”), the European Patent Office (“EPO”), or another foreign patent office. The outcome following legal assertions of invalidity is unpredictable. Additionally, we may be subject to claims of patent infringement during those proceedings, and delays caused by the federal agencies may increase the time period that we are subject to such claims. For example, administrative changes, including reduced staff and budgets experienced by the Patent and Trial Appeal Board, could further delay our ability to timely challenge any such patents. Even if successful, the costs of these opposition proceedings could be substantial, and may consume our time or other resources. If we fail to obtain a favorable result at the USPTO, CIPO, EPO or other patent office then we may be exposed to litigation by a third party alleging that the patent may be infringed by our product candidates or proprietary technologies.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 the price of our common stock. Any of the foregoing could have a material adverse effect on our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For example, patents covering methods-of-use are not available in certain foreign countries. Consequently, we may not be able to prevent third parties from practicing our inventions in all countries outside the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1" w:name="page72"/>
    <w:bookmarkEnd w:id="71"/>
    <w:p>
      <w:pPr>
        <w:jc w:val="both"/>
        <w:spacing w:after="0" w:line="258" w:lineRule="auto"/>
        <w:rPr>
          <w:sz w:val="20"/>
          <w:szCs w:val="20"/>
          <w:color w:val="auto"/>
        </w:rPr>
      </w:pPr>
      <w:r>
        <w:rPr>
          <w:rFonts w:ascii="Times New Roman" w:cs="Times New Roman" w:eastAsia="Times New Roman" w:hAnsi="Times New Roman"/>
          <w:sz w:val="18"/>
          <w:szCs w:val="18"/>
          <w:color w:val="auto"/>
        </w:rPr>
        <w:t>United States, or from selling or importing products made using our inventions in and into the United States or other jurisdictions. Competitors may use our technologies in jurisdictions where we do not have or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in jurisdictions where we do not have any issued patents and our patent claims or other intellectual property rights may not be effective or sufficient to prevent them from competing.</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management’s efforts and attention from other aspects of our business. Proceedings to enforce our patent rights in foreign jurisdictions could result in substantial costs and divert management’s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the Russia-Ukraine war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or consultants have wrongfully used or disclosed confidential information or misappropriated trade secrets.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who were previously employed at universities or other biopharmaceutical or pharmaceutical companies, including our competitors or potential competitors. Although we try to ensure that our employees and consultants do not use the proprietary information or know-how of others in their work for us, we may be subject to claims that our employees, consultants or independent contractors have inadvertently or otherwise used or disclosed intellectual property, including trade secrets or other proprietary information, of a former employer or other third parties. We may then have to pursue litigation to defend against these claims. If we fail in defending any claims of this nature, in addition to paying monetary damages, we may lose valuable intellectual property rights or personnel. Even if we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jc w:val="both"/>
        <w:spacing w:after="0" w:line="254" w:lineRule="auto"/>
        <w:rPr>
          <w:sz w:val="20"/>
          <w:szCs w:val="20"/>
          <w:color w:val="auto"/>
        </w:rPr>
      </w:pPr>
      <w:r>
        <w:rPr>
          <w:rFonts w:ascii="Times New Roman" w:cs="Times New Roman" w:eastAsia="Times New Roman" w:hAnsi="Times New Roman"/>
          <w:sz w:val="18"/>
          <w:szCs w:val="18"/>
          <w:color w:val="auto"/>
        </w:rPr>
        <w:t>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patent agencies also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laws and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Were a noncompliance event to occur, our competitors might be able to enter the market, which would have a material adverse effect on our business financial condition, results of operations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in non-U.S. jurisdictions could diminish the value of patents in general, thereby impairing our ability to protect our product candidates.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Past or future patent reform legislation could increase the uncertainties and costs surrounding the prosecution of our patent applications and the enforcement or defense of our issued patents. For example, in March 2013, under the Leahy-Smith America Invents Act (“America Invents Act”), the United States moved from a “first to invent” to a “first-to-file” patent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continue to evolve as the USPTO continues to promulgate new regulations and procedures in connection with the America Invents Act. In addition, the courts have yet to address many of these provisions and the applicability of the act and new regulations on the specific patents discussed in this filing have not been determined and would need to be reviewed. Moreover, the America Invents Act and our implementation could increase the uncertainties and costs surrounding the prosecution of our patent applications and the enforcement or defense of our issued patents.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by the federal courts, the U.S. Congress or the USPTO may impact the value of our patent rights. For example, the Federal Circuit recently issued a decision involving the interaction of patent term adjustment (PTA),</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jc w:val="both"/>
        <w:spacing w:after="0" w:line="258" w:lineRule="auto"/>
        <w:rPr>
          <w:sz w:val="20"/>
          <w:szCs w:val="20"/>
          <w:color w:val="auto"/>
        </w:rPr>
      </w:pPr>
      <w:r>
        <w:rPr>
          <w:rFonts w:ascii="Times New Roman" w:cs="Times New Roman" w:eastAsia="Times New Roman" w:hAnsi="Times New Roman"/>
          <w:sz w:val="18"/>
          <w:szCs w:val="18"/>
          <w:color w:val="auto"/>
        </w:rPr>
        <w:t>terminal disclaimers, and obviousness-type double patenting. This decision creates uncertainty to the patent terms of certain U.S. patents that share the same priority claim where on expires later than another due to accrued PTA. Depending on decisions by the U.S. Congress, the federal courts and the USPTO, the laws and regulations governing patents could change in unpredictable ways that would weaken our ability to obtain new patents or to enforce our existing patents and patents that we might obtain or license in the future. For example, in the case, Assoc. for Molecular Pathology v. Myriad Genetics, Inc., the U.S. Supreme Court held that certain claims to DNA molecules are not patent-eligible.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Similarly, other cases by the U.S. Supreme Court have held that certain methods of treatment or diagnosis are not patent-eligible. U.S. law regarding patent-eligibility continues to evolve. While we do not believe that any of our patents will be found invalid based on these changes to U.S. patent law, we cannot predict how future decisions by the courts, the U.S. Congress or the USPTO may impact the value of our patents and patent applications. Any similar adverse changes in the patent laws of other jurisdictions could also have a material adverse effect on our business, financial condition, results of operations and prospects.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further example, as of June 1, 2023, European patent applications and patents may be subjected to the jurisdiction of the Unified Patent Court (UPC). In 2012, the European Union Patent Package (The “EU Patent Package”) regulations were passed with the goal of providing a single pan-European Unitary Patent and a new European UPC for litigation involving European patents. The EU Patent Package was implemented on June 1, 2023. As a result, all European patents, including those issued prior to ratification of the EU Patent Package, now by default automatically fall under the jurisdiction of the UPC. European patent applications will have the option, upon grant of a patent, of becoming a Unitary Patent, which will be subject to the jurisdiction of the UPC. The UPC and Unitary Patent are significant changes in European patent practice.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As the UPC is a new court system, there is no precedent for the court, increasing the uncertainty of any litigation in the UPC. As a single court system can invalidate a European patent, we, where applicable, may opt out of the UPC and as such, each European patent would need to be challenged in each individual country. We may decide to opt out future European patents from the UPC, but doing so may preclude us from realizing the benefits of the UPC. Moreover, if we do not meet all of the opt-out formalities and requirements under the UPC, our future European patents could remain under the jurisdiction of the UPC. The UPC will provide our competitors with a new forum to centrally revoke our European patents, and allow for the possibility of a competitor to obtain pan-European injunctions. Such a loss of patent protection could have a material adverse impact on our business and our ability to commercialize our technology and product candidates due to increased competition and, resultantly, on our financial condition, prospects and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any product candidates we may develop, our business may be materially harmed.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(the “Hatch-Waxman Amendments”). The Hatch-Waxman Amendments permit a patent extension term of up to five years as compensation for patent term lost during clinical trials and the FDA regulatory review process. A patent term extension cannot extend the remaining term of a patent beyond a total of 14 years from the date of product approval, only one patent per product may be extended and only those claims covering the approved drug, a method for using it, or a method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jc w:val="both"/>
        <w:spacing w:after="0" w:line="253" w:lineRule="auto"/>
        <w:rPr>
          <w:sz w:val="20"/>
          <w:szCs w:val="20"/>
          <w:color w:val="auto"/>
        </w:rPr>
      </w:pPr>
      <w:r>
        <w:rPr>
          <w:rFonts w:ascii="Times New Roman" w:cs="Times New Roman" w:eastAsia="Times New Roman" w:hAnsi="Times New Roman"/>
          <w:sz w:val="18"/>
          <w:szCs w:val="18"/>
          <w:color w:val="auto"/>
        </w:rPr>
        <w:t>for manufacturing it may be extended. U.S. and ex-U.S. law concerning patent term extensions and foreign equivalents continue to evolve. Even if we were to seek a patent term extension,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Additionally, administrative changes at the USPTO or other applicable patent authorities, such as reduced hiring and/or funding, may result in delays in issuance of a patent or in accrual of patent term extension, thereby reducing the amount of patent term extension that could otherwise be received. Administrative changes (e.g., at the FDA or USPTO) may also lead to delays in review and analysis of requests for patent term extension, which could result in a patent term extension not being timely granted (e.g., before the expiration of the patent). Moreover, the applicable time period of extension or the scope of patent protection afforded could be less than we project or request. If we are unable to obtain patent term extension or term of any such extension is less than we project or request, our competitors may obtain approval of competing products following our patent expiration sooner than expected, and our business, financial condition, results of operations and prospects could be materially harmed.</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Intellectual property discovered through government funded programs may be subject to federal regulations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march-in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rights, certain reporting requirements and a preference for U.S.-based companies. Compliance with such regulations may limit our exclusive rights and limit our ability to contract with non-U.S. manufacturers.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patent application in-licensed from the Regents of the University of California has been supported through the use of U.S. government funding awarded by the National Institutes of Health. Although we do not currently own issued patents or pending patent applications that have been generated through the use of U.S. government funding, we may acquire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Recently, the government released a draft framework that may be used by an agency when deciding to exercise its march-in rights for public comments, and as such, the framework for deciding when march-in rights are exercised may change. If the U.S. government exercised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Other General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has been and is likely to continue to be volatile, and purchasers of our common stock could incur substantial losses.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jc w:val="both"/>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has been and is likely to continue to be volatile. For example, during 2024, the closing price of our common stock on The Nasdaq Capital Market ranged from $0.70 per share to $5.44 per share. Some of the factors that may cause the market price of our common stock to fluctuate include:</w:t>
      </w:r>
    </w:p>
    <w:p>
      <w:pPr>
        <w:spacing w:after="0" w:line="176"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existing or future collaborators;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securityholders in the future;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and continued development of our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 services;</w:t>
      </w:r>
    </w:p>
    <w:p>
      <w:pPr>
        <w:spacing w:after="0" w:line="22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bank failures, public health crises or geopolitical tensions, such as the Russia-Ukraine war and the armed conflict in Israel and the Gaza Strip; and</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jc w:val="both"/>
        <w:spacing w:after="0" w:line="26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share price.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macroeconomic uncertainty and volatile business environment have resulted in ongoing inflation, volatility in the capital markets, significantly reduced liquidity and credit availability, decreases in consumer demand and confidence, declines in economic growth, increases in unemployment rates and uncertainty about economic stability. Our general business strategy may be materially or adversely impacted by if these unpredictable and unstable market conditions continue. Additionally, the recent bank closures and geopolitical tensions, like the Russia-Ukraine war and the war in Israel, has created extreme volatility in the global capital markets and is expected to have further global economic consequences, including disruptions of the global supply chain and energy markets. Any such volatility and disruptions may have adverse consequences for us or the third parties on whom we rely. If the equity and credit markets deteriorate, including as a result of future bank closures or political unrest or war, it may make any necessary debt or equity financing more difficult to obtain in a timely manner or on favorable terms, more costly or more dilutive. Inflation can adversely affect us by increasing our costs, including salary costs. Any significant increases in inflation and related increase in interest rates could have a material adverse effect on our business, results of operations and financial condition. A weak or declining economy could also strain our suppliers and manufacturers, possibly resulting in supply and clinical trial disruption. Any of the foregoing could harm our business and we cannot anticipate all of the ways in which the current economic climate and financial market conditions could adversely impact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is thinly traded and our stockholders may be unable to sell their shares quickly or at market price.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have had periods of high-volume daily trading in our common stock, generally our stock is thinly traded. As a consequence of this lack of liquidity, the trading of relatively small quantities of shares by our stockholders may disproportionately influence the price of those shares in either direction. Our common stock price could, for example, decline significantly as a result of sales of a large number of shares of our common stock on the market without commensurate demand, as compared to a seasoned issuer that could better absorb those sales without adverse impact on its share price, or from the perception that these sales could occur.</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reporting requirements applicable to smaller reporting companies may make our common stock less attractive to investors.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as defined in Section 12 of the Exchange Act. For as long as we continue to be a smaller reporting company, we may take advantage of exemptions from various reporting requirements that are applicable to other public companies that are not smaller reporting companies, including not being required to comply with the auditor attestation requirements of Section 404 of Sarbanes-Oxley Act of 2002, reduced disclosure obligations regarding executive compensation in our periodic reports and proxy statements,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Risks Related to Our Status as a Public Company and Other General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incur increased costs as a result of operating as a public company, and our management is required to devote substantial time to compliance with our public company responsibilities and corporate governance practices.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continue to incur significant legal, accounting and other expenses. The Sarbanes-Oxley Act, the Dodd-Frank Wall Street Reform and Consumer Protection Act, the listing requirements of the Nasdaq Stock Market (Nasdaq)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will make some activities more time-consuming and costly. For example, in September 2023, we received a notice from Nasdaq notifying us that for the previous 30 consecutive business days, the bid price of our common stock had closed below $1.00 per share, the minimum closing bid price required by the continued listing requirements of Nasdaq Listing Rule 5550(a)(2). We were able to achieve compliance within the 180 calendar day compliance period, but there can be no assurance that we will remain in compliance with the requirements for listing our common stock on Nasdaq. Delisting could adversely affect our ability to raise additional capital through the public or private sale of equity securities, would significantly affect the ability of investors to trade our securities and would negatively affect the value and liquidity of our common shares. Delisting could also have other negative results, including the potential loss of confidence by employees, the loss of institutional investor interest and fewer business development opportunities. Also, we expect that these rules and regulations may make it more difficult and more expensive for us to obtain directors’ and officers’ liability insurance, compared to when we were a private company, which could make it more difficult for us to attract and retain qualified members of our board of directors. We cannot predict or estimate the amount of additional costs we will continue to incur as a public company or the timing of such costs. Once we are no longer a smaller reporting company or otherwise no longer qualifies for applicable exemptions, we will be subject to additional laws and regulations affecting public companies that will increase our costs and the demands on management and could harm our operating results.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(the “Exchange Act”), The Sarbanes-Oxley Act, the Dodd-Frank Wall Street Reform and Consumer Protection Act, and the rules and regulations of the stock market on which our common stock is listed. The Sarbanes-Oxley Act requires, among other things, that we maintain effective disclosure controls and procedures and internal control over financial reporting and a report by management on, among other things, the effectiveness of our internal control over financial reporting. We will not be required to have our auditors formally attest to the effectiveness of our internal control over financial reporting until we cease to be a smaller reporting company.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We cannot assure you that there will not be material weaknesses or significant deficiencies in the internal control over financial reporting in the future.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accurately report our financial condition, results of operations or cash flows.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conclude that our internal control over financial reporting is effective, or if our independent registered public accounting firm determines we have a material weakness or significant deficiency in our internal control over financial reporting</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8" w:name="page79"/>
    <w:bookmarkEnd w:id="78"/>
    <w:p>
      <w:pPr>
        <w:jc w:val="both"/>
        <w:spacing w:after="0" w:line="261" w:lineRule="auto"/>
        <w:rPr>
          <w:sz w:val="20"/>
          <w:szCs w:val="20"/>
          <w:color w:val="auto"/>
        </w:rPr>
      </w:pPr>
      <w:r>
        <w:rPr>
          <w:rFonts w:ascii="Times New Roman" w:cs="Times New Roman" w:eastAsia="Times New Roman" w:hAnsi="Times New Roman"/>
          <w:sz w:val="18"/>
          <w:szCs w:val="18"/>
          <w:color w:val="auto"/>
        </w:rPr>
        <w:t>once that firm begins its reporting on internal control over financial reporting, investors may lose confidence in the accuracy and completeness of our financial reports, the market price of our common stock could decline, and we could be subject to sanctions or investigations by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other calamities, including public health crises, and our business continuity and disaster recovery plans may not adequately protect us from a serious disaster.</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have a material adverse effect on our business, results of operations, financial condition and prospects. If a natural disaster, fire, hurricane, power outage or other event occurred that prevented us from using all or a significant portion of our headquarters, that damaged critical infrastructure, such as our suppliers’ manufacturing facilities, or that otherwise disrupted operations, such as data storage, it may be difficult or, in certain cases, impossible for us to continue our business for a substantial period of time.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Occurrences of epidemics or pandemics, depending on their scale, may cause different degrees of damage to the national and local economies within our geographic focus. Global economic conditions may be disrupted by widespread outbreaks of infectious or contagious diseases, and such disruption may adversely affect clinical development plans.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face an inherent risk of product liability exposure related to the testing of our product candidates in clinical trials and will face an even greater risk if we commercialize any of our product candidates. Any such product liability claims may include allegations of defects in manufacturing, defects in design, a failure to warn of dangers inherent in a product, negligence, strict liability or breach of warranty. Claims could also be asserted under U.S. state consumer protection acts. If we cannot successfully defend against claims that our product candidates caused injuries, we could incur substantial liabilities. Regardless of merit or eventual outcome, liability claims may result in:</w:t>
      </w:r>
    </w:p>
    <w:p>
      <w:pPr>
        <w:spacing w:after="0" w:line="183"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that we may develop;</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our collaboration relationships or disputes with our collaborators;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product recalls, withdrawals or labeling restrictions;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candidates that we may develop.</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9" w:name="page80"/>
    <w:bookmarkEnd w:id="79"/>
    <w:p>
      <w:pPr>
        <w:jc w:val="both"/>
        <w:spacing w:after="0" w:line="258" w:lineRule="auto"/>
        <w:rPr>
          <w:sz w:val="20"/>
          <w:szCs w:val="20"/>
          <w:color w:val="auto"/>
        </w:rPr>
      </w:pPr>
      <w:r>
        <w:rPr>
          <w:rFonts w:ascii="Times New Roman" w:cs="Times New Roman" w:eastAsia="Times New Roman" w:hAnsi="Times New Roman"/>
          <w:sz w:val="18"/>
          <w:szCs w:val="18"/>
          <w:color w:val="auto"/>
        </w:rPr>
        <w:t>While we currently have insurance that we believe is appropriate for our stage of development, we may need to obtain higher levels prior to clinical development or marketing any of our future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under Delaware law could make an acquisition of us, which may be beneficial to our stockholders, more difficult and may prevent attempts by our stockholders to replace or remove our current management.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7"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members of the board are elected at one time;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22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for nominations to our board of directors;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actions by our stockholders by written consent;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be effected at a duly called stockholders meeting;</w:t>
      </w:r>
    </w:p>
    <w:p>
      <w:pPr>
        <w:spacing w:after="0" w:line="22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October 2023, we implemented a stockholder rights plan (the “Rights Plan”), also called a “poison pill,” that may have the effect of discouraging or preventing a change of control by, among other things, making it uneconomical for a third party to acquire us without the consent of our board of directors. We amended the Rights Plan on October 9, 2024 and on December 5, 2024. As a result of the amendments, the rights will expire immediately following our 2025 Annual Meeting of Stockholders, or, if our stockholders approve the Rights Plan, on October 10, 2026, unless the rights are earlier redeemed or exchanged by us.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15% or more of our outstanding voting stock from merging or combining</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p>
      <w:pPr>
        <w:jc w:val="both"/>
        <w:spacing w:after="0" w:line="282" w:lineRule="auto"/>
        <w:rPr>
          <w:sz w:val="20"/>
          <w:szCs w:val="20"/>
          <w:color w:val="auto"/>
        </w:rPr>
      </w:pPr>
      <w:r>
        <w:rPr>
          <w:rFonts w:ascii="Times New Roman" w:cs="Times New Roman" w:eastAsia="Times New Roman" w:hAnsi="Times New Roman"/>
          <w:sz w:val="18"/>
          <w:szCs w:val="18"/>
          <w:color w:val="auto"/>
        </w:rPr>
        <w:t>with us for a period of three years after the date of the transaction in which the person acquired 15% or more of our outstanding voting stock, unless the merger or combination is approved in a manner prescribed by the statute.</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if any, to fund our growth as opposed to paying dividends. As a result, capital appreciation, if any, of our common stock will be your sole source of gain, if any, for the foreseeable future.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We have no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or fails to publish reports on us regularly, demand for our common stock could decrease, which in turn could cause our stock price or trading volume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data related to our clinical trials and employees (“Information Systems and Data”).</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information security function is led by our Chief Financial Officer &amp; Head of Corporate Strategy (“IT Lead”), who reports to our CEO and is supported by our third party security provider, and it helps identify, assess and manage the Company’s cybersecurity threats and risks. The information security function identifies and assesses risks from cybersecurity threats by monitoring and evaluating our threat environment using various methods including, for example analyzing report of threats and threat actors and conducting periodic vulnerability assessments for certain systems. Our assessment and management of material risks from cybersecurity threats are considered as part of our risk management processes. For example, our IT Lead and certain management, including our CEO, evaluate identified material risks from cybersecurity threats against our overall business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objectives and our IT Lead periodically reports to the audit committee of the board of directors, which evaluates our overall enterprise risk.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Depending on the environment, systems, and data, we implement and maintain various technical, physical, and organizational measures, processes, standards and policies designed to manage and mitigate material risks from cybersecurity threats to our Information Systems and Data, including, for example: risk assessments for certain systems, systems monitoring for certain systems, access controls, asset management, and employee training. We use third-party service providers to assist us from time to time to identify, assess, and manage material risks from cybersecurity threats, including for example our managed security provider and professional services firms, including legal counsel.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the Company and how they may do so, see our risk factors under Part 1. Item 1A. Risk Factors in this Annual Report on Form 10-K, including that if our information technology systems or those of third parties upon which we rely, or our data, are or were compromised, we could experience adverse consequences, including disclosure of sensitive information, damage to our reputation, and significant financial and legal exposure.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addresses the Company’s cybersecurity risk management as part of its general oversight function. The board of directors’ audit committee is responsible for overseeing Company’s cybersecurity risk management processes, including oversight and mitigation of risks from cybersecurity threats.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the IT Lead.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 Lead has 4 years of experience in roles that include oversight of cybersecurity risk management programs.</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IT Lead is responsible for hiring appropriate personnel, helping to integrate cybersecurity risk considerations into the Company’s overall risk management strategy, communicating key priorities to relevant personnel, helping prepare for cybersecurity incidents, approving cybersecurity processes, and reviewing security assessments and other security-related reports.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cybersecurity incident response processes are designed to escalate certain cybersecurity incidents to members of management depending on the circumstances, including the CEO, who help the Company mitigate and remediate cybersecurity incidents of which they are notified. In addition, the Company’s incident response processes include reporting to the audit committee for certain cybersecurity incidents.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receives periodic reports from our IT Lead concerning cybersecurity issues, including certain threats and risks and the processes the Company has implemented to address them, as applicable. The audit committee also has access to various reports, summaries or presentations related to cybersecurity threats, risk and mitigation.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January 2022, we entered into an agreement to lease approximately 20,116 square feet of laboratory and office space at 2000 Sierra Point Parkway, Brisbane, California 94005, which we occupied and began operating as our new headquarters beginning in December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existing facilities are sufficient for our needs for the foreseeable future. To meet the future needs of our business, we may lease additional or alternative space, and we believe suitable additional or alternative space will be available in the future on commercially reasonable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2" w:name="page83"/>
    <w:bookmarkEnd w:id="82"/>
    <w:p>
      <w:pPr>
        <w:jc w:val="both"/>
        <w:spacing w:after="0" w:line="266"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Stock Market under the ticker symbol “TPST.”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21, 2025, we had 45,483,384 shares of common stock outstanding held by 69 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future earnings, if any, to fund the development and expansion of our business, and we do not anticipate paying any cash dividends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financial statements and the related notes to those statements included later in this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these forward-looking statements. Factors that could cause or contribute to these differences include those discussed below and elsewhere in this Annual Report, particularly in Item 1A. “Risk Factors” and “Special Note Regarding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clinical-stage biotechnology company moving towards late-stage development with a diverse portfolio of targeted and immune-mediated product candidates with the potential to be first-in-class to treat a wide range of cancers. Our novel programs range from early research to the lead program, amezalpat (previously known as TPST-1120), that is poised to begin a pivotal study in first-line hepatocellular carcinoma (“HCC”). In addition to amezalpat, our second clinical-stage therapeutic product candidate is TPST-1495, which we expect to start a Phase 2 study in Familial Adenomatous Polyposis (“FAP”) in 2025. We believe both amezalpat and TPST-1495 are the first clinical-stage molecules designed to inhibit their respective targets.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philosophy is to build a company based upon not only good ideas and creative science, but also upon the efficient translation of those ideas into therapies that will improve patients’ lives. Each of our programs are designed to provide different and independent approaches to fighting cancer, providing a portfolio of truly diversified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Amezalpat (TPST-1120) Clinical Update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Amezalpat is an oral, small molecule, selective antagonist of peroxisome proliferator-activated receptor alpha (“PPARα”) being developed for the treatment of first-line unresectable or metastatic HCC.</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20, 2024, we unveiled positive survival data from the ongoing global randomized Phase 1b/2 clinical study demonstrating that amezalpat delivered a six-month improvement in median overall survival (“OS”) with a hazard ratio (“HR”) of 0.65 when combined with atezolizumab and bevacizumab in comparison to atezolizumab and bevacizumab alone, the standard of care, in the first-line treatment of patients with unresectable or metastatic HCC. Additionally, the survival benefit was preserved across key subpopulations, including patients with PD-L1 negative disease and β-catenin mutated disease, consistent with amezalpat’s proposed mechanism of action targeting both tumor cells directly and the patient’s immune system.</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15, 2024, we announced the successful completion of our end-of-Phase 2 meeting with the U.S. Food and Drug Administration (“FDA”) regarding the development of amezalpat for the treatment of first-line unresectable or metastatic HCC. The FDA provided positive feedback on the pivotal Phase 3 clinical trial design, which closely mirrors the positive randomized Phase 2 study. The planned Phase 3 trial is designed to use the current, Phase 2 amezalpat dose and schedule in combination with atezolizumab and bevacizumab and will be compared to atezolizumab and bevacizumab alone, the standard of care. The primary endpoint of the trial will be OS. Additionally, the FDA agreed to a pre-specified early efficacy analysis, which, if met, would potentially reduce the time to primary read-out by up to eight months.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we received a “Study May Proceed” letter from the FDA, authorizing the initiation of our pivotal Phase 3 trial. In January 2025, the FDA granted Orphan Drug Designation (“ODD”) for amezalpat for the treatment of patients with HCC. In February 2025, the FDA granted Fast Track Designation (“FTD”), underscoring the agency’s recognition of the urgent need for new treatment options for HCC. These designations provide potential regulatory benefits, including increased engagement with the FDA, eligibility for accelerated approval and priority review, and, for ODD, potential market exclusivity upon approval. We continue to advance amezalpat’s clinical development in alignment with both the FDA and the European Medicines Agency (“EMA”) and are actively preparing for the initiation of our pivotal Phase 3 study.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TPST-1495</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5" w:name="page86"/>
    <w:bookmarkEnd w:id="85"/>
    <w:p>
      <w:pPr>
        <w:jc w:val="both"/>
        <w:spacing w:after="0" w:line="261" w:lineRule="auto"/>
        <w:rPr>
          <w:sz w:val="20"/>
          <w:szCs w:val="20"/>
          <w:color w:val="auto"/>
        </w:rPr>
      </w:pPr>
      <w:r>
        <w:rPr>
          <w:rFonts w:ascii="Times New Roman" w:cs="Times New Roman" w:eastAsia="Times New Roman" w:hAnsi="Times New Roman"/>
          <w:sz w:val="18"/>
          <w:szCs w:val="18"/>
          <w:color w:val="auto"/>
        </w:rPr>
        <w:t>Our second clinical program, TPST-1495, is a novel, small-molecule dual antagonist of the EP2 and EP4 receptors of prostaglandin E2 (“PGE2”), a pathway implicated in multiple cancers. Our development strategy for TPST-1495 includes evaluation in FAP, a rare genetic disorder that significantly increases the risk of gastrointestinal cancers and for which there are no approved systemic therapies. Given that prostaglandin signaling is also implicated in FAP and based on positive preclinical data in a relevant mouse model, we believe there is strong mechanistic support for this approach.</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2025, the Cancer Prevention Clinical Trials Network (“CP-CTNet”) received a “Study May Proceed” letter from the FDA, authorizing the initiation of a National Cancer Institute (“NCI”)-funded Phase 2 clinical trial evaluating TPST-1495 in patients with FAP. This trial, run by CP-CTNet and financially supported by the NCI’s Division of Cancer Prevention, underscores the urgent need for innovative cancer prevention strategies in high-risk patient populations. The Phase 2 study is expected to begin in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Future Milestones</w:t>
      </w:r>
    </w:p>
    <w:p>
      <w:pPr>
        <w:spacing w:after="0" w:line="229" w:lineRule="exact"/>
        <w:rPr>
          <w:sz w:val="20"/>
          <w:szCs w:val="20"/>
          <w:color w:val="auto"/>
        </w:rPr>
      </w:pPr>
    </w:p>
    <w:p>
      <w:pPr>
        <w:jc w:val="both"/>
        <w:ind w:left="1000" w:right="520" w:hanging="483"/>
        <w:spacing w:after="0" w:line="261"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amezalpat into a pivotal Phase 3 study in first-line HCC patients where amezalpat will be studied in a combination treatment and compared to a standard-of-care therapy. We believe the continued positive results from the ongoing randomized Phase 1b/2 study provides strategic opportunities for us, and we received positive feedback from the FDA and EMA on the pivotal Phase 3 clinical trial design. We are also evaluating further development in RCC and CCA based on the Phase 1 data presented at ASCO 2022.</w:t>
      </w:r>
    </w:p>
    <w:p>
      <w:pPr>
        <w:spacing w:after="0" w:line="179" w:lineRule="exact"/>
        <w:rPr>
          <w:rFonts w:ascii="Times New Roman" w:cs="Times New Roman" w:eastAsia="Times New Roman" w:hAnsi="Times New Roman"/>
          <w:sz w:val="18"/>
          <w:szCs w:val="18"/>
          <w:color w:val="auto"/>
        </w:rPr>
      </w:pPr>
    </w:p>
    <w:p>
      <w:pPr>
        <w:ind w:left="1000" w:hanging="483"/>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TPST-1495 in a Phase 2 study in patients with FAP with the CP-CTNet in 2025.</w:t>
      </w:r>
    </w:p>
    <w:p>
      <w:pPr>
        <w:spacing w:after="0" w:line="225" w:lineRule="exact"/>
        <w:rPr>
          <w:rFonts w:ascii="Times New Roman" w:cs="Times New Roman" w:eastAsia="Times New Roman" w:hAnsi="Times New Roman"/>
          <w:sz w:val="18"/>
          <w:szCs w:val="18"/>
          <w:color w:val="auto"/>
        </w:rPr>
      </w:pPr>
    </w:p>
    <w:p>
      <w:pPr>
        <w:jc w:val="both"/>
        <w:ind w:left="1000" w:right="520" w:hanging="483"/>
        <w:spacing w:after="0" w:line="255"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pipeline by identifying novel oncology targets and in-licensing opportunities. Although we believe we have a robust pipeline, we continue to evaluate and pursue novel targets and product candidates for acquisition and in-licensing to supplement our internal research efforts and further build our pipeline of targeted molecules for oncology. Through our team’s focus and expertise in oncology and immunology, as well as established relationships with oncology and immunology thought leaders, we believe we are positioning the company as a partner of choice for innovative oncology drug candidate development. Continued advances in the biological understanding of diseases should provide opportunities to further expand our portfolio with preclinical and/or clinical product candidates.</w:t>
      </w:r>
    </w:p>
    <w:p>
      <w:pPr>
        <w:spacing w:after="0" w:line="188" w:lineRule="exact"/>
        <w:rPr>
          <w:rFonts w:ascii="Times New Roman" w:cs="Times New Roman" w:eastAsia="Times New Roman" w:hAnsi="Times New Roman"/>
          <w:sz w:val="18"/>
          <w:szCs w:val="18"/>
          <w:color w:val="auto"/>
        </w:rPr>
      </w:pPr>
    </w:p>
    <w:p>
      <w:pPr>
        <w:jc w:val="both"/>
        <w:ind w:left="1000" w:right="520" w:hanging="483"/>
        <w:spacing w:after="0" w:line="258"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business development opportunities to maximize the potential of our pipeline and extend financial resources. We believe that our pipeline has broad potential reach and partnerships that bring in additional expertise and/or geographic presence could be important to increase the likelihood of success. We currently own all rights to our programs. We intend to become a fully integrated biopharmaceutical company and build a targeted sales force in the United States to support the commercialization of our drug candidates, if approved.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Roche Master Clinical Supply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2024, we entered into a master clinical supply agreement (“Roche Supply Agreement”) with F. Hoffmann-La Roche Ltd. (“Roche”), pursuant to which Roche will supply Roche’s atezolizumab (TECENTRIQ) for use in one or more clinical studies conducted by us involving amezalpat in combination with atezolizumab, in each case, in accordance with the applicable study protocol prepared by us and reviewed by Roche. Under the Roche Supply Agreement, the parties may execute one or more clinical supply agreement supplements (each, a “CSA Supplement”) that will set forth the study to be conducted by us, the quantities of atezolizumab to be supplied by Roche for such study, and the delivery timeline for such quantities of atezolizumab.</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2024, we entered into a CSA Supplement for Roche to supply atezolizumab to us, free of charge, for use in our planned phase 3 trial.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Rights Plan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6" w:name="page87"/>
    <w:bookmarkEnd w:id="86"/>
    <w:p>
      <w:pPr>
        <w:jc w:val="both"/>
        <w:spacing w:after="0" w:line="255" w:lineRule="auto"/>
        <w:rPr>
          <w:sz w:val="20"/>
          <w:szCs w:val="20"/>
          <w:color w:val="auto"/>
        </w:rPr>
      </w:pPr>
      <w:r>
        <w:rPr>
          <w:rFonts w:ascii="Times New Roman" w:cs="Times New Roman" w:eastAsia="Times New Roman" w:hAnsi="Times New Roman"/>
          <w:sz w:val="18"/>
          <w:szCs w:val="18"/>
          <w:color w:val="auto"/>
        </w:rPr>
        <w:t>We amended our stockholder rights plan on October 9, 2024 and on December 5, 2024 to, among other things, extend the final expiration date until immediately following our 2025 Annual Meeting of Stockholders or, if our stockholders approve the rights plan at or prior to such meeting, to October 10, 2026, unless the rights are earlier redeemed or exchanged by the Company. We do not have any obligation under the rights plan to seek stockholder approval. The rights plan otherwise remains unmodified and in full force and effect in accordance with its original terms. The rights plan is intended to reduce the likelihood that any person or group gains control of Tempest through open market accumulation without paying stockholders an appropriate control premium or without providing the Board sufficient time to make informed judgments and take actions that are in the best interests of all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 From inception to December 31, 2024, we have raised $232.1 million, through sales of our capital securities.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been profitable and have incurred operating losses in each period since inception. Our net losses were $41.8 million and $29.5 million for the years ended December 31, 2024 and 2023, respectively. As of December 31, 2024, we had an accumulated deficit of $207.1 million. Substantially all of the operating losses resulted from expenses incurred in connection with our research and development programs and from general and administrative costs associated with our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incur significant expenses and increasing operating losses for at least the next several years as we initiate and continue the clinical development of, and seek regulatory approval for, our product candidates and add personnel necessary to advance our pipeline of clinical-stage product candidates. In addition, operating as a publicly traded company involves the hiring of additional financial and other personnel, upgrading our financial information and other systems, and incurring substantial costs associated with operating as a public company. We expect our operating losses will fluctuate significantly from quarter to quarter and year to year due to timing of clinical development programs and efforts to achieve regulatory approval.</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on our business strategy, our existing cash and cash equivalents of $30.3 million as of December 31, 2024, will be sufficient to fund our operations through at least the next 12 months from the date our consolidated financial statements were available to be issued. However, our ability to fund continued development, including our Phase 3 clinical trial for amezalpat, will require significant additional capital. Adequate additional financing may not be available to us on acceptable terms, or at all. If additional capital is not available to us on a timely basis, or at all, we will be required to take additional actions, including exploring potential merger opportunities and other strategic options, such as partnerships or collaborations for our programs, or we may need to reduce operating expenses or delay, reduce the scope of, discontinue or alter our research and development activities, or may be forced to wind down its operations. For additional information, see “—Liquidity and Capital Resources”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represent costs incurred to conduct research and development, such as the development of our product candidates.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all research and development costs as they are incurred. Research and development expenses consist primarily of the following:</w:t>
      </w:r>
    </w:p>
    <w:p>
      <w:pPr>
        <w:spacing w:after="0" w:line="225" w:lineRule="exact"/>
        <w:rPr>
          <w:sz w:val="20"/>
          <w:szCs w:val="20"/>
          <w:color w:val="auto"/>
        </w:rPr>
      </w:pPr>
    </w:p>
    <w:p>
      <w:pPr>
        <w:ind w:left="1500" w:hanging="369"/>
        <w:spacing w:after="0"/>
        <w:tabs>
          <w:tab w:leader="none" w:pos="1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stock-based compensation;</w:t>
      </w:r>
    </w:p>
    <w:p>
      <w:pPr>
        <w:spacing w:after="0" w:line="22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costs;</w:t>
      </w:r>
    </w:p>
    <w:p>
      <w:pPr>
        <w:spacing w:after="0" w:line="22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occupancy;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7" w:name="page88"/>
    <w:bookmarkEnd w:id="87"/>
    <w:p>
      <w:pPr>
        <w:ind w:left="1500" w:hanging="369"/>
        <w:spacing w:after="0"/>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and supplies;</w:t>
      </w:r>
    </w:p>
    <w:p>
      <w:pPr>
        <w:spacing w:after="0" w:line="22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contracted research and manufacturing;</w:t>
      </w:r>
    </w:p>
    <w:p>
      <w:pPr>
        <w:spacing w:after="0" w:line="22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arrangements; and</w:t>
      </w:r>
    </w:p>
    <w:p>
      <w:pPr>
        <w:spacing w:after="0" w:line="22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incurred to advance our research and development activities.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largest component of our operating expenses has historically been the investment in research and development activities. We expect research and development expenses will increase in the future as we advance our product candidates into and through clinical trials and pursues regulatory approvals, which will require a significant investment in costs of clinical trials, regulatory support and contract manufacturing and inventory build-up. In addition, we continue to evaluate opportunities to acquire or in-license other product candidates and technologies, which may result in higher research and development expenses due to license fee and/or milestone payments, as well as added clinical development costs.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process of conducting clinical trials necessary to obtain regulatory approval is costly and time consuming. We may never succeed in timely developing and achieving regulatory approval for our product candidates. The probability of success of our product candidates may be affected by numerous factors, including clinical data, competition, manufacturing capability and commercial viability. As a result, we are unable to determine the duration and completion costs of our development projects or when and to what extent we will generate revenue from the commercialization and sale of any of our product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of employee-related expenses, including salaries, benefits, travel and non-cash stock-based compensation, for our personnel in executive, finance and accounting, and other administrative functions, as well as fees paid for legal, accounting and tax services, consulting fees and facilities costs not otherwise included in research and development expenses. Legal costs include general corporate legal fees and patent costs. We expect to continue to incur expenses as a result of being a public company, including expenses related to compliance with the rules and regulations of the SEC and Nasdaq, additional insurance, investor relations and other administrative expenses and professional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income, net consists primarily of interest expense, interest income, and various income or expense items of a non-recurring nature.</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summarizes our operating results for the years ended December 31, 2024 and 2023:</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Increase/</w:t>
            </w:r>
          </w:p>
        </w:tc>
        <w:tc>
          <w:tcPr>
            <w:tcW w:w="0" w:type="dxa"/>
            <w:vAlign w:val="bottom"/>
          </w:tcPr>
          <w:p>
            <w:pPr>
              <w:spacing w:after="0"/>
              <w:rPr>
                <w:sz w:val="1"/>
                <w:szCs w:val="1"/>
                <w:color w:val="auto"/>
              </w:rPr>
            </w:pPr>
          </w:p>
        </w:tc>
      </w:tr>
      <w:tr>
        <w:trPr>
          <w:trHeight w:val="255"/>
        </w:trPr>
        <w:tc>
          <w:tcPr>
            <w:tcW w:w="5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0" w:type="dxa"/>
            <w:vAlign w:val="bottom"/>
          </w:tcPr>
          <w:p>
            <w:pPr>
              <w:spacing w:after="0"/>
              <w:rPr>
                <w:sz w:val="1"/>
                <w:szCs w:val="1"/>
                <w:color w:val="auto"/>
              </w:rPr>
            </w:pPr>
          </w:p>
        </w:tc>
      </w:tr>
      <w:tr>
        <w:trPr>
          <w:trHeight w:val="177"/>
        </w:trPr>
        <w:tc>
          <w:tcPr>
            <w:tcW w:w="5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3"/>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xce</w:t>
            </w:r>
          </w:p>
        </w:tc>
        <w:tc>
          <w:tcPr>
            <w:tcW w:w="12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0" w:type="dxa"/>
            <w:vAlign w:val="bottom"/>
          </w:tcPr>
          <w:p>
            <w:pPr>
              <w:spacing w:after="0"/>
              <w:rPr>
                <w:sz w:val="1"/>
                <w:szCs w:val="1"/>
                <w:color w:val="auto"/>
              </w:rPr>
            </w:pPr>
          </w:p>
        </w:tc>
      </w:tr>
      <w:tr>
        <w:trPr>
          <w:trHeight w:val="210"/>
        </w:trPr>
        <w:tc>
          <w:tcPr>
            <w:tcW w:w="548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(in thousands, e</w:t>
            </w:r>
          </w:p>
        </w:tc>
        <w:tc>
          <w:tcPr>
            <w:tcW w:w="260" w:type="dxa"/>
            <w:vAlign w:val="bottom"/>
            <w:tcBorders>
              <w:bottom w:val="single" w:sz="8" w:color="CFF0FC"/>
            </w:tcBorders>
            <w:vMerge w:val="continue"/>
          </w:tcPr>
          <w:p>
            <w:pPr>
              <w:spacing w:after="0"/>
              <w:rPr>
                <w:sz w:val="18"/>
                <w:szCs w:val="18"/>
                <w:color w:val="auto"/>
              </w:rPr>
            </w:pPr>
          </w:p>
        </w:tc>
        <w:tc>
          <w:tcPr>
            <w:tcW w:w="12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pt percentages)</w:t>
            </w:r>
          </w:p>
        </w:tc>
        <w:tc>
          <w:tcPr>
            <w:tcW w:w="200" w:type="dxa"/>
            <w:vAlign w:val="bottom"/>
            <w:tcBorders>
              <w:bottom w:val="single" w:sz="8" w:color="CFF0FC"/>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28,476</w:t>
            </w:r>
          </w:p>
        </w:tc>
        <w:tc>
          <w:tcPr>
            <w:tcW w:w="26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26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10,978</w:t>
            </w:r>
          </w:p>
        </w:tc>
        <w:tc>
          <w:tcPr>
            <w:tcW w:w="2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13,550</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
        </w:trPr>
        <w:tc>
          <w:tcPr>
            <w:tcW w:w="54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(42,026 )</w:t>
            </w:r>
          </w:p>
        </w:tc>
        <w:tc>
          <w:tcPr>
            <w:tcW w:w="36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(29,157 )</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2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(1,316 )</w:t>
            </w: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(1,449 )</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(133 )</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0"/>
        </w:trPr>
        <w:tc>
          <w:tcPr>
            <w:tcW w:w="54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(41,843 )</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(29,491 )</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12,352</w:t>
            </w:r>
          </w:p>
        </w:tc>
        <w:tc>
          <w:tcPr>
            <w:tcW w:w="2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-1148080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-1148080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-1148080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-1293495</wp:posOffset>
            </wp:positionV>
            <wp:extent cx="154305"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-728345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-728345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-728345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-728345</wp:posOffset>
            </wp:positionV>
            <wp:extent cx="1543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-170815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-170815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-170815</wp:posOffset>
            </wp:positionV>
            <wp:extent cx="1543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for the years ended December 31, 2024 and 2023 were primarily incurred in connection with our most advanced product candidates, amezalpat and TPST-1495. We typically have various early-stage research and drug discovery projects, as well as various potential product candidates undergoing clinical trials. Our internal resources, employees and infrastructure are not directly tied to any one research and drug discovery project and our resources are typically deployed across multiple projects. The following table shows our research and development expenses by program for the years ended December 31, 2024 and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8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Increase/</w:t>
            </w:r>
          </w:p>
        </w:tc>
        <w:tc>
          <w:tcPr>
            <w:tcW w:w="0" w:type="dxa"/>
            <w:vAlign w:val="bottom"/>
          </w:tcPr>
          <w:p>
            <w:pPr>
              <w:spacing w:after="0"/>
              <w:rPr>
                <w:sz w:val="1"/>
                <w:szCs w:val="1"/>
                <w:color w:val="auto"/>
              </w:rPr>
            </w:pPr>
          </w:p>
        </w:tc>
      </w:tr>
      <w:tr>
        <w:trPr>
          <w:trHeight w:val="255"/>
        </w:trPr>
        <w:tc>
          <w:tcPr>
            <w:tcW w:w="5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gridSpan w:val="4"/>
          </w:tcPr>
          <w:p>
            <w:pPr>
              <w:jc w:val="center"/>
              <w:ind w:left="47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177"/>
        </w:trPr>
        <w:tc>
          <w:tcPr>
            <w:tcW w:w="5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4"/>
          </w:tcPr>
          <w:p>
            <w:pPr>
              <w:jc w:val="center"/>
              <w:ind w:left="4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200" w:type="dxa"/>
            <w:vAlign w:val="bottom"/>
            <w:gridSpan w:val="2"/>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(in</w:t>
            </w:r>
          </w:p>
        </w:tc>
        <w:tc>
          <w:tcPr>
            <w:tcW w:w="1440" w:type="dxa"/>
            <w:vAlign w:val="bottom"/>
            <w:gridSpan w:val="4"/>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80"/>
              </w:rPr>
              <w:t>thousands)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Amezalpat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14,206</w:t>
            </w:r>
          </w:p>
        </w:tc>
        <w:tc>
          <w:tcPr>
            <w:tcW w:w="6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&gt;100%</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TPST-1495</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(1,218 )</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Preclinical and other</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(1,119 )</w:t>
            </w: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candidate-specific research costs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and other costs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12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6"/>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 and depreciation</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&gt;100%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-590550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-590550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-590550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-590550</wp:posOffset>
            </wp:positionV>
            <wp:extent cx="1543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1543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years ended December 31, 2024 and 2023:</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Research and development outside services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47154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71545"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Consulting and professional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471545" cy="145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71545"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Other expenses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Increase/</w:t>
            </w: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540" w:type="dxa"/>
            <w:vAlign w:val="bottom"/>
            <w:gridSpan w:val="4"/>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177"/>
        </w:trPr>
        <w:tc>
          <w:tcPr>
            <w:tcW w:w="260" w:type="dxa"/>
            <w:vAlign w:val="bottom"/>
          </w:tcPr>
          <w:p>
            <w:pPr>
              <w:spacing w:after="0"/>
              <w:rPr>
                <w:sz w:val="15"/>
                <w:szCs w:val="15"/>
                <w:color w:val="auto"/>
              </w:rPr>
            </w:pPr>
          </w:p>
        </w:tc>
        <w:tc>
          <w:tcPr>
            <w:tcW w:w="1540" w:type="dxa"/>
            <w:vAlign w:val="bottom"/>
            <w:gridSpan w:val="4"/>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60" w:type="dxa"/>
            <w:vAlign w:val="bottom"/>
          </w:tcPr>
          <w:p>
            <w:pPr>
              <w:spacing w:after="0"/>
              <w:rPr>
                <w:sz w:val="16"/>
                <w:szCs w:val="16"/>
                <w:color w:val="auto"/>
              </w:rPr>
            </w:pPr>
          </w:p>
        </w:tc>
        <w:tc>
          <w:tcPr>
            <w:tcW w:w="920" w:type="dxa"/>
            <w:vAlign w:val="bottom"/>
          </w:tcPr>
          <w:p>
            <w:pPr>
              <w:jc w:val="right"/>
              <w:ind w:right="114"/>
              <w:spacing w:after="0" w:line="191" w:lineRule="exact"/>
              <w:rPr>
                <w:sz w:val="20"/>
                <w:szCs w:val="20"/>
                <w:color w:val="auto"/>
              </w:rPr>
            </w:pPr>
            <w:r>
              <w:rPr>
                <w:rFonts w:ascii="Times New Roman" w:cs="Times New Roman" w:eastAsia="Times New Roman" w:hAnsi="Times New Roman"/>
                <w:sz w:val="18"/>
                <w:szCs w:val="18"/>
                <w:b w:val="1"/>
                <w:bCs w:val="1"/>
                <w:color w:val="auto"/>
              </w:rPr>
              <w:t>(in</w:t>
            </w:r>
          </w:p>
        </w:tc>
        <w:tc>
          <w:tcPr>
            <w:tcW w:w="1440" w:type="dxa"/>
            <w:vAlign w:val="bottom"/>
            <w:gridSpan w:val="4"/>
          </w:tcPr>
          <w:p>
            <w:pPr>
              <w:jc w:val="center"/>
              <w:ind w:right="670"/>
              <w:spacing w:after="0" w:line="191" w:lineRule="exact"/>
              <w:rPr>
                <w:sz w:val="20"/>
                <w:szCs w:val="20"/>
                <w:color w:val="auto"/>
              </w:rPr>
            </w:pPr>
            <w:r>
              <w:rPr>
                <w:rFonts w:ascii="Times New Roman" w:cs="Times New Roman" w:eastAsia="Times New Roman" w:hAnsi="Times New Roman"/>
                <w:sz w:val="18"/>
                <w:szCs w:val="18"/>
                <w:b w:val="1"/>
                <w:bCs w:val="1"/>
                <w:color w:val="auto"/>
                <w:w w:val="80"/>
              </w:rPr>
              <w:t>thousands)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16,501</w:t>
            </w: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2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00" w:type="dxa"/>
            <w:vAlign w:val="bottom"/>
          </w:tcPr>
          <w:p>
            <w:pPr>
              <w:spacing w:after="0"/>
              <w:rPr>
                <w:sz w:val="20"/>
                <w:szCs w:val="20"/>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2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&gt;100%</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2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2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(280 )</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10,978</w:t>
            </w:r>
          </w:p>
        </w:tc>
        <w:tc>
          <w:tcPr>
            <w:tcW w:w="2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-856615</wp:posOffset>
            </wp:positionV>
            <wp:extent cx="71323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-170815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-170815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-170815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3503295</wp:posOffset>
            </wp:positionH>
            <wp:positionV relativeFrom="paragraph">
              <wp:posOffset>-170815</wp:posOffset>
            </wp:positionV>
            <wp:extent cx="1543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760" w:space="720"/>
            <w:col w:w="5760"/>
          </w:cols>
          <w:pgMar w:left="320" w:top="981" w:right="339" w:bottom="1440" w:gutter="0" w:footer="0" w:header="0"/>
        </w:sect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$11.0 million to $28.5 million for the year ended December 31, 2024, which was primarily attributable to an increase in costs incurred from engaging contract research and manufacturing organizations in preparation for our pivotal Phase 3 trial of amezalpat for the treatment of first-line HCC.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$1.9 million to $13.6 million for the year ended December 31, 2024. The increase was primarily due to an increase in stock-based compensation expense due to increased headcount as well as an increase in expenses related to legal and consulting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interest income and other income (expense), net consisted of total interest expense of $1.3 million and $1.4 million, respectively, related to the Oxford Loan, and interest income of $1.5 million and $1.1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inception through December 31, 2024, our operations have been financed primarily by net cash proceeds from the sale of our common stock, convertible preferred stock and issuance of debt. As of December 31, 2024, we had $30.3 million in cash and cash equivalents and an accumulated deficit of $207.1 million. We expect that our research and development and general and administrative expenses will increase, and, as a result, we anticipate that we will continue to incur increasing losses in the foreseeable future.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our cash and cash equivalents as of December 31, 2024 will fund our ongoing working capital, investing, and financing requirements for at least the next 12 months from the date our consolidated financial statements were available to be issued. However, our ability to fund continued development, including our Phase 3 clinical trial for amezalpat, will require significant additional capital. Adequate additional financing may not be available to us on acceptable terms, or at all. If additional capital is not available to us on a timely basis, or at all, we will be required to take additional actions, including exploring potential merger opportunities and other strategic options, such as partnerships or collaborations for our programs, or we may need to reduce operating expenses or delay, reduce the scope of, discontinue or alter our research and development activities, or we may be forced to wind down our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 with Oxford Finance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15, 2021, we entered into a loan and security agreement with Oxford Finance LLC (“Oxford”) to borrow a term loan amount of $35.0 million to be funded in three tranches (the “Loan Agreement”). Tranche A of $15.0 million was funded on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January 15, 2021. Tranche B of $10.0 million expired on March 31, 2022. Tranche C of $10.0 million is available at Oxford’s option.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23, 2022, the Company entered into a First Amendment to the Loan Agreement. The amendment modified the agreement as follows: (i) each of the Company and Millendo Therapeutics US, Inc., a Delaware corporation and wholly owned subsidiary of the Company (“Millendo”), were joined as co-borrowers under the Loan Agreement, (ii) the interest-only repayment period was extended through December 31, 2023 (which interest-only period may be further extended through June 30, 2024 under certain circumstances), and (iii) a security interest in the property of the Company, TempestTx and Millendo, including any intellectual property, was granted to the Lender. In addition, the Lender permitted a one-time prepayment in the amount of $5.0 million which the Company paid on December 23, 2022.</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2023, the Company achieved the circumstances necessary to extend the interest-only repayment period through June 30, 2024. As of December 31, 2024, the balance of the loan payable (net of debt issuance costs) was $6.4 million and a total of $10.0 million in borrowing capacity remained available at the option of Oxford.</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term loan matures on August 1, 2025 and has an annual floating interest rate of 7.15% which is an Index Rate plus 7.10%. Index Rate is the greater of (i) 1-Month CME Term SOFR or (ii) 0.05%.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2024, we entered into a sales agreement with Jefferies LLC, pursuant to which we may sell, from time to time at our sole discretion through Jefferies, as our sales agent, shares of our common stock (the “ATM Program”). Any shares of our common stock sold will be issued pursuant to our shelf registration statement on Form S-3 (File No. 333-280918). We will pay Jefferies a commission up to 3.0% of the gross sales proceeds of any shares of our common stock sold through Jefferies under the ATM Program and also have provided Jefferies with indemnification and contribution rights. As of December 31, 2024, we have sold an aggregate of 21,626,191 shares of our common stock for gross proceeds of approximately $29.6 million, or $28.8 million after deducting commissions and offering expenses, pursuant to the ATM Program. Between January 1, 2025 and March 21, 2025, we sold 1,464,321 shares of our common stock for gross and net proceeds of $1.3 million, pursuant to the ATM Program. As of March 21, 2025, we have approximately $13.4 million available for sale under the ATM Program.</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Form 10-K, our public float was less than $75.0 million. As a result, we are subject to the limitations of General Instruction I.B.6 to Form S-3 until such time as our public float exceeds $75 million, which means we only have the capacity to sell shares up to one-third of our public float under the S-3 Registration Statement, including the ATM program, in any twelve-month period. We will remain constrained by the limitations of General Instruction I.B.6 to Form S-3 until such time as our public float exceeds $75 million, at which time the number of securities we may sell under a Form S-3 registration statement will no longer be limited by limitations of General Instruction I.B.6 to Form S-3.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3060" w:type="dxa"/>
            <w:vAlign w:val="bottom"/>
            <w:gridSpan w:val="2"/>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60" w:type="dxa"/>
            <w:vAlign w:val="bottom"/>
            <w:tcBorders>
              <w:bottom w:val="single" w:sz="8" w:color="CCEEFF"/>
            </w:tcBorders>
          </w:tcPr>
          <w:p>
            <w:pPr>
              <w:spacing w:after="0"/>
              <w:rPr>
                <w:sz w:val="18"/>
                <w:szCs w:val="18"/>
                <w:color w:val="auto"/>
              </w:rPr>
            </w:pPr>
          </w:p>
        </w:tc>
        <w:tc>
          <w:tcPr>
            <w:tcW w:w="2880" w:type="dxa"/>
            <w:vAlign w:val="bottom"/>
            <w:tcBorders>
              <w:bottom w:val="single" w:sz="8" w:color="CCEEFF"/>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w:t>
            </w: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83"/>
              </w:rPr>
              <w:t>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4040" w:type="dxa"/>
            <w:vAlign w:val="bottom"/>
            <w:gridSpan w:val="3"/>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(33,027 )</w:t>
            </w:r>
          </w:p>
        </w:tc>
        <w:tc>
          <w:tcPr>
            <w:tcW w:w="68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(27,357 )</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16"/>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8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24,500</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35,602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04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(8,962 )</w:t>
            </w: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880" w:type="dxa"/>
            <w:vAlign w:val="bottom"/>
            <w:vMerge w:val="restart"/>
          </w:tcPr>
          <w:p>
            <w:pPr>
              <w:jc w:val="right"/>
              <w:ind w:right="1730"/>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66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-1010920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2024 was $33.0 million, consisting of a net loss of $41.8 million, add back of non-cash adjustments for depreciation, stock-based compensation, non-cash operating lease expense and other non-cash items totaling $7.2 million, plus changes in operating assets and liabilities of $1.6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2023 was $27.4 million, consisting of a net loss of $29.5 million, add back of non-cash adjustments for depreciation, stock-based compensation, non-cash operating lease expense and other non-cash items totaling $4.8 million, plus changes in operating assets and liabilities of $2.7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years ended December 31, 2024 and 2023 was related to purchases of property and equipment, primarily related to office, laboratory and computer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2024 was related to proceeds from the issuance of common stock of $28.9 million, offset by Oxford loan principle payments of $4.4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financing activities for the year ended December 31, 2023 was related to proceeds from the issuance of common stock of $35.6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available cash and cash equivalents are sufficient to fund existing and planned cash requirements for the next 12 months from the date our consolidated financial statements were available to be issued. 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the following:</w:t>
      </w:r>
    </w:p>
    <w:p>
      <w:pPr>
        <w:spacing w:after="0" w:line="225" w:lineRule="exact"/>
        <w:rPr>
          <w:sz w:val="20"/>
          <w:szCs w:val="20"/>
          <w:color w:val="auto"/>
        </w:rPr>
      </w:pPr>
    </w:p>
    <w:p>
      <w:pPr>
        <w:ind w:left="1020" w:right="3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 pivotal Phase 3 study for amezalpat in first-line HCC patients, as well as other costs associated with the scope, progress and results of discovery, preclinical development, laboratory testing and clinical trials for our product candidates;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manufacturing of our product candidates;</w:t>
      </w:r>
    </w:p>
    <w:p>
      <w:pPr>
        <w:spacing w:after="0" w:line="225"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the extent to which we enter into partnerships or other arrangements with third parties to further develop our product candidates;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the discovery, acquisition or in-license of product candidates or technologies;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collaborations on favorable terms, if at all;</w:t>
      </w:r>
    </w:p>
    <w:p>
      <w:pPr>
        <w:spacing w:after="0" w:line="225"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if any, including product sales, marketing, manufacturing and distribution, for any of our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sales of our product candidates, should any of our product candidates receive marketing approval; and</w:t>
      </w:r>
    </w:p>
    <w:p>
      <w:pPr>
        <w:spacing w:after="0" w:line="161"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92" w:name="page93"/>
    <w:bookmarkEnd w:id="92"/>
    <w:p>
      <w:pPr>
        <w:jc w:val="both"/>
        <w:spacing w:after="0" w:line="261"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product candidate could mean a significant change in the costs and timing associated with the development of that product candidate.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we can generate a sufficient amount of product revenue to finance our cash requirements, if ever, we expect to finance our future cash needs, including those set forth above, primarily through the issuance of additional equity, borrowings and strategic alliances with partner companies. To the extent that we raise additional capital through the issuance of additional equity or convertible debt securities, the ownership interest of our stockholders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 If we raise additional funds through marketing and distribution arrangements or other collaborations, strategic alliances or licensing arrangements with third parties, we may have to relinquish valuable rights to our technologies, future revenue streams, research programs or product candidates or grant licenses on terms that may not be favorable to us. If additional capital is not available to us on a timely basis, or at all, we will be required to take additional actions, including exploring potential merger opportunities and other strategic options, such as partnerships or collaborations for our programs, or we may need to reduce operating expenses or delay, reduce the scope of, discontinue or alter our research and development activities, or we may be forced to wind down our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material cash requirements primarily relate to the maturities of the principal obligations under our long-term debt, operating leases for office space, trade payables, and accrued expenses. As of December 31, 2024, we have $14.2 million payable within 12 months, including the current loan payable (net of discount and issuance costs) of $6.4 million due to Oxford and $0.9 million related to the Brisbane Lease. Refer to Notes 5 and 6 to our Consolidated Financial Statements for additional information.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disclosed above, we have no long-term debt and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determinable.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financial statements, which have been prepared in accordance with U.S. generally accepted accounting principles (“US GAAP”). The preparation of these financial statements requires us to make estimates and judgments that affect the reported amounts of assets, liabilities and expenses. On an ongoing basis, we evaluate these estimates and judgments. We base our estimates on historical experience and on various assumptions that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We believe that the accounting policies discussed below are critical to understanding our historical and future performance, as these policies relate to the more significant areas involving management’s judgments and estimates.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Our significant accounting policies are more fully described in Note 2 to our Consolidated Financial Statements located elsewhere in this Annual Report. We have listed below our critical accounting policies and estimates that we believe to have the greatest potential impact on our Consolidated Financial Statements. Historically, our assumptions, judgments and estimates relative to our critical accounting estimates have not differed materially from actual results and no significant assumptions used have a high degree of subjectivity.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 accrued expenses for estimated costs of our research and development activities conducted by third-party service providers, which include the conduct of preclinical studies and clinical trials and contract manufacturing activities. We record the estimated costs of research and development activities based upon the estimated amount of services provided but not yet invoiced, and we include these costs in accrued liabilities in the consolidated balance sheets and within research and development expense in the consolidated statements of operations. These costs are a significant component of our research and development expenses. We record accrued expenses for these costs based on the estimated amount of work completed and in accordance with agreements established with these third parties.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balance in each reporting period, which includes gathering information from multiple sources. In certain circumstances, the determination of the nature and level of services that have been received during the reporting period requires judgment because the timing and pattern of vendor invoicing did not correspond to the level of services provided and invoicing from clinical study sites and other vendors may not yet be available to us. As actual costs become known, we adjust our accrued estimates. Although we do not expect our estimates to be materially different from amounts actually incurred, our understanding of the status and timing of services performed, the number of patients enrolled and the rate of patient enrollment may vary from our estimates and could result in us reporting amounts that are too high or too low in any particular period. Our accrued expenses are dependent, in part, upon the receipt of timely and accurate reporting from clinical research organizations and other third-party service providers.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noncash stock-based compensation expense related to stock-based awards to employees, non-employees and directors, including stock options, based on the fair value on the grant date using the Black-Scholes option pricing model. The related stock-based compensation is recognized as expense on a straight line-basis over the employee’s, non-employee’s or director’s requisite service period (generally the vesting period). Noncash stock compensation expense is based on awards ultimately expected to vest and is reduced by any forfeitures as they occur.</w:t>
      </w:r>
    </w:p>
    <w:p>
      <w:pPr>
        <w:spacing w:after="0" w:line="1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stock options, we use the Black-Scholes option-pricing model. The Black-Scholes model requires the input of subjective assumptions, including expected volatility, expected dividend yield, expected term, risk-free rate of return, and the fair value of the underlying common stock on the date of grant, and generally requires significant judgment to determine.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our Consolidated Financial Statements for a description of recent accounting pronouncements applicable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 and a Non-Accelerated Filer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Securities Exchange Act of 1934, or the Exchange Act,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for which audited financial statements are available as of the determination date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If investors consider our common stock less attractive as a result of our election to use the scaled-back disclosure permitted for smaller reporting companies, there may be a less active trading market for our common stock and our share price may be more volatile.</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94" w:name="page95"/>
    <w:bookmarkEnd w:id="94"/>
    <w:p>
      <w:pPr>
        <w:spacing w:after="0" w:line="282" w:lineRule="auto"/>
        <w:rPr>
          <w:sz w:val="20"/>
          <w:szCs w:val="20"/>
          <w:color w:val="auto"/>
        </w:rPr>
      </w:pPr>
      <w:r>
        <w:rPr>
          <w:rFonts w:ascii="Times New Roman" w:cs="Times New Roman" w:eastAsia="Times New Roman" w:hAnsi="Times New Roman"/>
          <w:sz w:val="18"/>
          <w:szCs w:val="18"/>
          <w:color w:val="auto"/>
        </w:rPr>
        <w:t>Additionally, as a non-accelerated filer, we may continue to take advantage of the exception from compliance with the auditor attestation requirements of Section 404 of the Sarbanes-Oxley Act of 2002, as amended.</w:t>
      </w:r>
    </w:p>
    <w:p>
      <w:pPr>
        <w:spacing w:after="0" w:line="158" w:lineRule="exact"/>
        <w:rPr>
          <w:sz w:val="20"/>
          <w:szCs w:val="20"/>
          <w:color w:val="auto"/>
        </w:rPr>
      </w:pPr>
    </w:p>
    <w:p>
      <w:pPr>
        <w:ind w:right="388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ITEM 7A. QUANTITATIVE AND QUALITATIVE DISCLOSURES ABOUT MARKET RISK </w:t>
      </w:r>
      <w:r>
        <w:rPr>
          <w:rFonts w:ascii="Times New Roman" w:cs="Times New Roman" w:eastAsia="Times New Roman" w:hAnsi="Times New Roman"/>
          <w:sz w:val="18"/>
          <w:szCs w:val="18"/>
          <w:color w:val="auto"/>
        </w:rPr>
        <w:t>Not required for smaller reporting companies.</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8"/>
        </w:trPr>
        <w:tc>
          <w:tcPr>
            <w:tcW w:w="94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780" w:type="dxa"/>
            <w:vAlign w:val="bottom"/>
          </w:tcPr>
          <w:p>
            <w:pPr>
              <w:spacing w:after="0"/>
              <w:rPr>
                <w:sz w:val="20"/>
                <w:szCs w:val="20"/>
                <w:color w:val="auto"/>
              </w:rPr>
            </w:pPr>
          </w:p>
        </w:tc>
      </w:tr>
      <w:tr>
        <w:trPr>
          <w:trHeight w:val="410"/>
        </w:trPr>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20" w:type="dxa"/>
            <w:vAlign w:val="bottom"/>
            <w:gridSpan w:val="2"/>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c>
          <w:tcPr>
            <w:tcW w:w="1780" w:type="dxa"/>
            <w:vAlign w:val="bottom"/>
          </w:tcPr>
          <w:p>
            <w:pPr>
              <w:spacing w:after="0"/>
              <w:rPr>
                <w:sz w:val="24"/>
                <w:szCs w:val="24"/>
                <w:color w:val="auto"/>
              </w:rPr>
            </w:pPr>
          </w:p>
        </w:tc>
      </w:tr>
      <w:tr>
        <w:trPr>
          <w:trHeight w:val="238"/>
        </w:trPr>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6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780" w:type="dxa"/>
            <w:vAlign w:val="bottom"/>
          </w:tcPr>
          <w:p>
            <w:pPr>
              <w:spacing w:after="0"/>
              <w:rPr>
                <w:sz w:val="20"/>
                <w:szCs w:val="20"/>
                <w:color w:val="auto"/>
              </w:rPr>
            </w:pPr>
          </w:p>
        </w:tc>
      </w:tr>
      <w:tr>
        <w:trPr>
          <w:trHeight w:val="459"/>
        </w:trPr>
        <w:tc>
          <w:tcPr>
            <w:tcW w:w="80" w:type="dxa"/>
            <w:vAlign w:val="bottom"/>
          </w:tcPr>
          <w:p>
            <w:pPr>
              <w:spacing w:after="0"/>
              <w:rPr>
                <w:sz w:val="24"/>
                <w:szCs w:val="24"/>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42)</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91"/>
        </w:trPr>
        <w:tc>
          <w:tcPr>
            <w:tcW w:w="80" w:type="dxa"/>
            <w:vAlign w:val="bottom"/>
          </w:tcPr>
          <w:p>
            <w:pPr>
              <w:spacing w:after="0"/>
              <w:rPr>
                <w:sz w:val="24"/>
                <w:szCs w:val="24"/>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90"/>
        </w:trPr>
        <w:tc>
          <w:tcPr>
            <w:tcW w:w="80" w:type="dxa"/>
            <w:vAlign w:val="bottom"/>
          </w:tcPr>
          <w:p>
            <w:pPr>
              <w:spacing w:after="0"/>
              <w:rPr>
                <w:sz w:val="24"/>
                <w:szCs w:val="24"/>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208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91"/>
        </w:trPr>
        <w:tc>
          <w:tcPr>
            <w:tcW w:w="80" w:type="dxa"/>
            <w:vAlign w:val="bottom"/>
          </w:tcPr>
          <w:p>
            <w:pPr>
              <w:spacing w:after="0"/>
              <w:rPr>
                <w:sz w:val="24"/>
                <w:szCs w:val="24"/>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91"/>
        </w:trPr>
        <w:tc>
          <w:tcPr>
            <w:tcW w:w="80" w:type="dxa"/>
            <w:vAlign w:val="bottom"/>
          </w:tcPr>
          <w:p>
            <w:pPr>
              <w:spacing w:after="0"/>
              <w:rPr>
                <w:sz w:val="24"/>
                <w:szCs w:val="24"/>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6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90"/>
        </w:trPr>
        <w:tc>
          <w:tcPr>
            <w:tcW w:w="80" w:type="dxa"/>
            <w:vAlign w:val="bottom"/>
          </w:tcPr>
          <w:p>
            <w:pPr>
              <w:spacing w:after="0"/>
              <w:rPr>
                <w:sz w:val="24"/>
                <w:szCs w:val="24"/>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803"/>
        </w:trPr>
        <w:tc>
          <w:tcPr>
            <w:tcW w:w="80" w:type="dxa"/>
            <w:vAlign w:val="bottom"/>
          </w:tcPr>
          <w:p>
            <w:pPr>
              <w:spacing w:after="0"/>
              <w:rPr>
                <w:sz w:val="24"/>
                <w:szCs w:val="24"/>
                <w:color w:val="auto"/>
              </w:rPr>
            </w:pPr>
          </w:p>
        </w:tc>
        <w:tc>
          <w:tcPr>
            <w:tcW w:w="3120" w:type="dxa"/>
            <w:vAlign w:val="bottom"/>
            <w:tcBorders>
              <w:top w:val="single" w:sz="8" w:color="0000FF"/>
            </w:tcBorders>
            <w:gridSpan w:val="3"/>
          </w:tcPr>
          <w:p>
            <w:pPr>
              <w:spacing w:after="0"/>
              <w:rPr>
                <w:sz w:val="24"/>
                <w:szCs w:val="24"/>
                <w:color w:val="auto"/>
              </w:rPr>
            </w:pPr>
          </w:p>
        </w:tc>
        <w:tc>
          <w:tcPr>
            <w:tcW w:w="626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color w:val="auto"/>
                <w:w w:val="99"/>
              </w:rPr>
              <w:t>93</w:t>
            </w:r>
          </w:p>
        </w:tc>
        <w:tc>
          <w:tcPr>
            <w:tcW w:w="1780" w:type="dxa"/>
            <w:vAlign w:val="bottom"/>
          </w:tcPr>
          <w:p>
            <w:pPr>
              <w:spacing w:after="0"/>
              <w:rPr>
                <w:sz w:val="24"/>
                <w:szCs w:val="24"/>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6" w:name="page97"/>
    <w:bookmarkEnd w:id="96"/>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Tempest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Tempest Therapeutics, Inc. (the Company) as of December 31, 2024 and 2023, the related consolidated statements of operations, stockholders'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7" w:name="page98"/>
    <w:bookmarkEnd w:id="97"/>
    <w:p>
      <w:pPr>
        <w:ind w:left="1680"/>
        <w:spacing w:after="0"/>
        <w:rPr>
          <w:sz w:val="20"/>
          <w:szCs w:val="20"/>
          <w:color w:val="auto"/>
        </w:rPr>
      </w:pPr>
      <w:r>
        <w:rPr>
          <w:rFonts w:ascii="Times New Roman" w:cs="Times New Roman" w:eastAsia="Times New Roman" w:hAnsi="Times New Roman"/>
          <w:sz w:val="17"/>
          <w:szCs w:val="17"/>
          <w:b w:val="1"/>
          <w:bCs w:val="1"/>
          <w:i w:val="1"/>
          <w:iCs w:val="1"/>
          <w:color w:val="auto"/>
        </w:rPr>
        <w:t>Accrued research and development expenses</w:t>
      </w:r>
    </w:p>
    <w:p>
      <w:pPr>
        <w:sectPr>
          <w:pgSz w:w="11900" w:h="16838" w:orient="portrait"/>
          <w:cols w:equalWidth="0" w:num="1">
            <w:col w:w="11140"/>
          </w:cols>
          <w:pgMar w:left="320" w:top="1265" w:right="439" w:bottom="1440" w:gutter="0" w:footer="0" w:header="0"/>
        </w:sectPr>
      </w:pPr>
    </w:p>
    <w:p>
      <w:pPr>
        <w:spacing w:after="0" w:line="225"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 2 to the financial statements under the caption “Research and development expenses and accrued research and development”, the Company records the cost of research and development activities as they are incurred. The Company estimates preclinical studies and clinical trial expenses based on the services performed pursuant to contracts with research institutions and clinical research organizations that conduct and manage preclinical studies and clinical trials on the Company’s behalf. Service fees are accrued based on the Company’s estimates of the time period over which services will be performed and the level of effort to be expended in each period. These estimates are based on communications with the third-party service providers, the Company’s estimates of accrued expenses and on information available at each balance sheet date. As of December 31, 2024, the Company’s accrued clinical trial liability was $1.4 million.</w:t>
      </w:r>
    </w:p>
    <w:p>
      <w:pPr>
        <w:spacing w:after="0" w:line="192" w:lineRule="exact"/>
        <w:rPr>
          <w:sz w:val="20"/>
          <w:szCs w:val="20"/>
          <w:color w:val="auto"/>
        </w:rPr>
      </w:pPr>
    </w:p>
    <w:p>
      <w:pPr>
        <w:sectPr>
          <w:pgSz w:w="11900" w:h="16838" w:orient="portrait"/>
          <w:cols w:equalWidth="0" w:num="2">
            <w:col w:w="1420" w:space="260"/>
            <w:col w:w="9460"/>
          </w:cols>
          <w:pgMar w:left="320" w:top="1265" w:right="439" w:bottom="1440" w:gutter="0" w:footer="0" w:header="0"/>
          <w:type w:val="continuous"/>
        </w:sectPr>
      </w:pPr>
    </w:p>
    <w:p>
      <w:pPr>
        <w:jc w:val="both"/>
        <w:ind w:left="1680"/>
        <w:spacing w:after="0" w:line="258" w:lineRule="auto"/>
        <w:rPr>
          <w:sz w:val="20"/>
          <w:szCs w:val="20"/>
          <w:color w:val="auto"/>
        </w:rPr>
      </w:pPr>
      <w:r>
        <w:rPr>
          <w:rFonts w:ascii="Times New Roman" w:cs="Times New Roman" w:eastAsia="Times New Roman" w:hAnsi="Times New Roman"/>
          <w:sz w:val="18"/>
          <w:szCs w:val="18"/>
          <w:color w:val="auto"/>
        </w:rPr>
        <w:t>Auditing the Company’s accrual for research and development expenses was challenging because of the significant volume of transactions and the use of third-party data involved in determining the accrual balance, which was accumulated from multiple sources. In certain circumstances, the determination of the nature and level of services that have been received during the reporting period requires judgment because the timing and pattern of vendor invoicing did not correspond to the level of services provided and invoicing from clinical study sites and other vendors may not yet be available to management.</w:t>
      </w:r>
    </w:p>
    <w:p>
      <w:pPr>
        <w:sectPr>
          <w:pgSz w:w="11900" w:h="16838" w:orient="portrait"/>
          <w:cols w:equalWidth="0" w:num="1">
            <w:col w:w="11140"/>
          </w:cols>
          <w:pgMar w:left="320" w:top="1265" w:right="439" w:bottom="1440" w:gutter="0" w:footer="0" w:header="0"/>
          <w:type w:val="continuous"/>
        </w:sectPr>
      </w:pPr>
    </w:p>
    <w:p>
      <w:pPr>
        <w:spacing w:after="0" w:line="6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test the accrued research and development expenses, our audit procedures included, among others, testing the completeness and accuracy of the underlying data used in the estimate, including, but not limited to, estimated project duration, research and manufacturing services incurred to date and terms of contractual arrangements. To assess the reasonableness of the data, we corroborated the progress of the clinical trials with Company research and development personnel and obtained third-party evidence supporting the activities performed to date. We recalculated the accrual based on executed contracts with the clinical research organizations, contract manufacturing organizations, and clinical study sites. We also tested subsequent invoicing received from third parties to assess the impact to the accrual at the balance sheet date and compared that to the Company’s estimates.</w:t>
      </w:r>
    </w:p>
    <w:p>
      <w:pPr>
        <w:spacing w:after="0" w:line="200" w:lineRule="exact"/>
        <w:rPr>
          <w:sz w:val="20"/>
          <w:szCs w:val="20"/>
          <w:color w:val="auto"/>
        </w:rPr>
      </w:pPr>
    </w:p>
    <w:p>
      <w:pPr>
        <w:sectPr>
          <w:pgSz w:w="11900" w:h="16838" w:orient="portrait"/>
          <w:cols w:equalWidth="0" w:num="2">
            <w:col w:w="1120" w:space="560"/>
            <w:col w:w="9460"/>
          </w:cols>
          <w:pgMar w:left="320" w:top="1265" w:right="439"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0" w:lineRule="exact"/>
        <w:rPr>
          <w:sz w:val="20"/>
          <w:szCs w:val="20"/>
          <w:color w:val="auto"/>
        </w:rPr>
      </w:pPr>
    </w:p>
    <w:p>
      <w:pPr>
        <w:spacing w:after="0" w:line="3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65" w:right="439" w:bottom="1440" w:gutter="0" w:footer="0" w:header="0"/>
          <w:type w:val="continuous"/>
        </w:sectPr>
      </w:pPr>
    </w:p>
    <w:bookmarkStart w:id="98" w:name="page99"/>
    <w:bookmarkEnd w:id="98"/>
    <w:p>
      <w:pPr>
        <w:ind w:left="458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1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4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09"/>
        </w:trPr>
        <w:tc>
          <w:tcPr>
            <w:tcW w:w="77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30,268</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39,230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31,474</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40,363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8"/>
                <w:szCs w:val="18"/>
                <w:color w:val="auto"/>
              </w:rPr>
            </w:pPr>
          </w:p>
        </w:tc>
      </w:tr>
      <w:tr>
        <w:trPr>
          <w:trHeight w:val="249"/>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41,488</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loan payable (net of discount and issuance costs of $74 and $112, respectively)</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payable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 payable (net of discount and issuance costs of nil and $164, respectively)</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9,160</w:t>
            </w:r>
          </w:p>
        </w:tc>
        <w:tc>
          <w:tcPr>
            <w:tcW w:w="100" w:type="dxa"/>
            <w:vAlign w:val="bottom"/>
          </w:tcPr>
          <w:p>
            <w:pPr>
              <w:spacing w:after="0"/>
              <w:rPr>
                <w:sz w:val="18"/>
                <w:szCs w:val="18"/>
                <w:color w:val="auto"/>
              </w:rPr>
            </w:pPr>
          </w:p>
        </w:tc>
      </w:tr>
      <w:tr>
        <w:trPr>
          <w:trHeight w:val="210"/>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22,362</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 shares authorized; 43,971,622 and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22,045,255 shares issued and outstanding at December 31, 2024 and December 31, 2023,</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226,188</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192,009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(207,106 )</w:t>
            </w: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(165,263 )</w:t>
            </w:r>
          </w:p>
        </w:tc>
      </w:tr>
      <w:tr>
        <w:trPr>
          <w:trHeight w:val="209"/>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19,126</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41,488</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51,603</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-2973705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-2956560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-2956560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-1851025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-1285240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76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loss</w:t>
            </w:r>
          </w:p>
        </w:tc>
        <w:tc>
          <w:tcPr>
            <w:tcW w:w="3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(42,026 )</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(29,157 )</w:t>
            </w: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(1,316 )</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(1,449 )</w:t>
            </w:r>
          </w:p>
        </w:tc>
      </w:tr>
      <w:tr>
        <w:trPr>
          <w:trHeight w:val="216"/>
        </w:trPr>
        <w:tc>
          <w:tcPr>
            <w:tcW w:w="7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(334 )</w:t>
            </w:r>
          </w:p>
        </w:tc>
      </w:tr>
      <w:tr>
        <w:trPr>
          <w:trHeight w:val="20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(41,843 )</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(29,491 )</w:t>
            </w:r>
          </w:p>
        </w:tc>
      </w:tr>
      <w:tr>
        <w:trPr>
          <w:trHeight w:val="20"/>
        </w:trPr>
        <w:tc>
          <w:tcPr>
            <w:tcW w:w="7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of common stock and pre-funded warrants, basic and diluted</w:t>
            </w:r>
          </w:p>
        </w:tc>
        <w:tc>
          <w:tcPr>
            <w:tcW w:w="36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5"/>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and pre-funded warrants outstanding, basic and diluted</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27,901,739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15,416,203</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-1330960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-1330960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-774065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-774065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-482600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-482600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-173990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-156845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-173990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080" w:type="dxa"/>
            <w:vAlign w:val="bottom"/>
            <w:gridSpan w:val="3"/>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120" w:type="dxa"/>
            <w:vAlign w:val="bottom"/>
          </w:tcPr>
          <w:p>
            <w:pPr>
              <w:spacing w:after="0"/>
              <w:rPr>
                <w:sz w:val="13"/>
                <w:szCs w:val="13"/>
                <w:color w:val="auto"/>
              </w:rPr>
            </w:pPr>
          </w:p>
        </w:tc>
        <w:tc>
          <w:tcPr>
            <w:tcW w:w="208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0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06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104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 December 31, 2022</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10,518,539</w:t>
            </w:r>
          </w:p>
        </w:tc>
        <w:tc>
          <w:tcPr>
            <w:tcW w:w="1020" w:type="dxa"/>
            <w:vAlign w:val="bottom"/>
            <w:gridSpan w:val="2"/>
            <w:shd w:val="clear" w:color="auto" w:fill="CFF0FC"/>
          </w:tcPr>
          <w:p>
            <w:pPr>
              <w:jc w:val="right"/>
              <w:ind w:right="6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153,872</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(135,772 )</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18,111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713</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common stock for cash, net of issuance cost of $1,105</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8,323,218</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35,590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35,598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Exercise of pre-funded warrants</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3,202,785</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2,546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2,546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(29,491 )</w:t>
            </w:r>
          </w:p>
        </w:tc>
        <w:tc>
          <w:tcPr>
            <w:tcW w:w="10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(29,491 )</w:t>
            </w:r>
          </w:p>
        </w:tc>
        <w:tc>
          <w:tcPr>
            <w:tcW w:w="0" w:type="dxa"/>
            <w:vAlign w:val="bottom"/>
          </w:tcPr>
          <w:p>
            <w:pPr>
              <w:spacing w:after="0"/>
              <w:rPr>
                <w:sz w:val="1"/>
                <w:szCs w:val="1"/>
                <w:color w:val="auto"/>
              </w:rPr>
            </w:pPr>
          </w:p>
        </w:tc>
      </w:tr>
      <w:tr>
        <w:trPr>
          <w:trHeight w:val="182"/>
        </w:trPr>
        <w:tc>
          <w:tcPr>
            <w:tcW w:w="512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 December 31, 2023</w:t>
            </w:r>
          </w:p>
        </w:tc>
        <w:tc>
          <w:tcPr>
            <w:tcW w:w="10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22,045,255</w:t>
            </w:r>
          </w:p>
        </w:tc>
        <w:tc>
          <w:tcPr>
            <w:tcW w:w="2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ind w:right="6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22</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192,009</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(165,263</w:t>
            </w:r>
          </w:p>
        </w:tc>
        <w:tc>
          <w:tcPr>
            <w:tcW w:w="220" w:type="dxa"/>
            <w:vAlign w:val="bottom"/>
            <w:tcBorders>
              <w:bottom w:val="single" w:sz="8" w:color="CFF0FC"/>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26,768</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1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Issuance of common stock for cash, net of issuance cost of $1,056</w:t>
            </w:r>
          </w:p>
        </w:tc>
        <w:tc>
          <w:tcPr>
            <w:tcW w:w="10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21,626,191</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28,569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28,591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5,303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5,303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equity plan awards</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300,176</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(41,843 )</w:t>
            </w: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(41,843 )</w:t>
            </w:r>
          </w:p>
        </w:tc>
        <w:tc>
          <w:tcPr>
            <w:tcW w:w="0" w:type="dxa"/>
            <w:vAlign w:val="bottom"/>
          </w:tcPr>
          <w:p>
            <w:pPr>
              <w:spacing w:after="0"/>
              <w:rPr>
                <w:sz w:val="1"/>
                <w:szCs w:val="1"/>
                <w:color w:val="auto"/>
              </w:rPr>
            </w:pPr>
          </w:p>
        </w:tc>
      </w:tr>
      <w:tr>
        <w:trPr>
          <w:trHeight w:val="142"/>
        </w:trPr>
        <w:tc>
          <w:tcPr>
            <w:tcW w:w="5120" w:type="dxa"/>
            <w:vAlign w:val="bottom"/>
            <w:tcBorders>
              <w:top w:val="single" w:sz="8" w:color="CFF0FC"/>
              <w:bottom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 December 31, 2024</w:t>
            </w: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43,971,622</w:t>
            </w:r>
          </w:p>
        </w:tc>
        <w:tc>
          <w:tcPr>
            <w:tcW w:w="220" w:type="dxa"/>
            <w:vAlign w:val="bottom"/>
            <w:tcBorders>
              <w:top w:val="single" w:sz="8" w:color="CFF0FC"/>
              <w:bottom w:val="single" w:sz="8" w:color="CFF0FC"/>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6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44</w:t>
            </w:r>
          </w:p>
        </w:tc>
        <w:tc>
          <w:tcPr>
            <w:tcW w:w="220" w:type="dxa"/>
            <w:vAlign w:val="bottom"/>
            <w:tcBorders>
              <w:top w:val="single" w:sz="8" w:color="CFF0FC"/>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226,188</w:t>
            </w:r>
          </w:p>
        </w:tc>
        <w:tc>
          <w:tcPr>
            <w:tcW w:w="22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(207,106</w:t>
            </w:r>
          </w:p>
        </w:tc>
        <w:tc>
          <w:tcPr>
            <w:tcW w:w="220" w:type="dxa"/>
            <w:vAlign w:val="bottom"/>
            <w:tcBorders>
              <w:top w:val="single" w:sz="8" w:color="CFF0FC"/>
              <w:bottom w:val="single" w:sz="8" w:color="CFF0FC"/>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19,126</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-530860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-513715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-530860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-513715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-530860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-513715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-530860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-513715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-530860</wp:posOffset>
            </wp:positionV>
            <wp:extent cx="774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-513715</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-128270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-128270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-128270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-128270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1" w:name="page102"/>
    <w:bookmarkEnd w:id="10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278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6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(41,843 )</w:t>
            </w:r>
          </w:p>
        </w:tc>
        <w:tc>
          <w:tcPr>
            <w:tcW w:w="16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(29,491 )</w:t>
            </w: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Noncash interest and other expense, net</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(263 )</w:t>
            </w:r>
          </w:p>
        </w:tc>
      </w:tr>
      <w:tr>
        <w:trPr>
          <w:trHeight w:val="216"/>
        </w:trPr>
        <w:tc>
          <w:tcPr>
            <w:tcW w:w="76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(992 )</w:t>
            </w:r>
          </w:p>
        </w:tc>
      </w:tr>
      <w:tr>
        <w:trPr>
          <w:trHeight w:val="216"/>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payable</w:t>
            </w:r>
          </w:p>
        </w:tc>
        <w:tc>
          <w:tcPr>
            <w:tcW w:w="9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(1,101 )</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(1,631 )</w:t>
            </w:r>
          </w:p>
        </w:tc>
      </w:tr>
      <w:tr>
        <w:trPr>
          <w:trHeight w:val="20"/>
        </w:trPr>
        <w:tc>
          <w:tcPr>
            <w:tcW w:w="76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9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(33,027 )</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(27,357 )</w:t>
            </w: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(170 )</w:t>
            </w:r>
          </w:p>
        </w:tc>
      </w:tr>
      <w:tr>
        <w:trPr>
          <w:trHeight w:val="20"/>
        </w:trPr>
        <w:tc>
          <w:tcPr>
            <w:tcW w:w="76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6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(170 )</w:t>
            </w:r>
          </w:p>
        </w:tc>
      </w:tr>
      <w:tr>
        <w:trPr>
          <w:trHeight w:val="210"/>
        </w:trPr>
        <w:tc>
          <w:tcPr>
            <w:tcW w:w="7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198"/>
        </w:trPr>
        <w:tc>
          <w:tcPr>
            <w:tcW w:w="76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Proceeds from the issuance of common stock in connection with at the market offering, net of</w:t>
            </w:r>
          </w:p>
        </w:tc>
        <w:tc>
          <w:tcPr>
            <w:tcW w:w="9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9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28,591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35,602</w:t>
            </w:r>
          </w:p>
        </w:tc>
        <w:tc>
          <w:tcPr>
            <w:tcW w:w="100" w:type="dxa"/>
            <w:vAlign w:val="bottom"/>
            <w:shd w:val="clear" w:color="auto" w:fill="CFF0FC"/>
          </w:tcPr>
          <w:p>
            <w:pPr>
              <w:spacing w:after="0"/>
              <w:rPr>
                <w:sz w:val="20"/>
                <w:szCs w:val="20"/>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w:t>
            </w:r>
          </w:p>
        </w:tc>
        <w:tc>
          <w:tcPr>
            <w:tcW w:w="9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(4,398 )</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the issuance of common stock under equity plan awards</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40" w:type="dxa"/>
            <w:vAlign w:val="bottom"/>
            <w:tcBorders>
              <w:top w:val="single" w:sz="8" w:color="CFF0FC"/>
            </w:tcBorders>
          </w:tcPr>
          <w:p>
            <w:pPr>
              <w:ind w:left="54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9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24,500</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35,602</w:t>
            </w:r>
          </w:p>
        </w:tc>
        <w:tc>
          <w:tcPr>
            <w:tcW w:w="100" w:type="dxa"/>
            <w:vAlign w:val="bottom"/>
            <w:tcBorders>
              <w:top w:val="single" w:sz="8" w:color="CFF0FC"/>
            </w:tcBorders>
          </w:tcPr>
          <w:p>
            <w:pPr>
              <w:spacing w:after="0"/>
              <w:rPr>
                <w:sz w:val="18"/>
                <w:szCs w:val="18"/>
                <w:color w:val="auto"/>
              </w:rPr>
            </w:pP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w:t>
            </w: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31,598</w:t>
            </w:r>
          </w:p>
        </w:tc>
        <w:tc>
          <w:tcPr>
            <w:tcW w:w="100" w:type="dxa"/>
            <w:vAlign w:val="bottom"/>
          </w:tcPr>
          <w:p>
            <w:pPr>
              <w:spacing w:after="0"/>
              <w:rPr>
                <w:sz w:val="18"/>
                <w:szCs w:val="18"/>
                <w:color w:val="auto"/>
              </w:rPr>
            </w:pPr>
          </w:p>
        </w:tc>
      </w:tr>
      <w:tr>
        <w:trPr>
          <w:trHeight w:val="249"/>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76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76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64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Cash paid for business taxes</w:t>
            </w:r>
          </w:p>
        </w:tc>
        <w:tc>
          <w:tcPr>
            <w:tcW w:w="960" w:type="dxa"/>
            <w:vAlign w:val="bottom"/>
            <w:tcBorders>
              <w:bottom w:val="single" w:sz="8" w:color="auto"/>
            </w:tcBorders>
          </w:tcPr>
          <w:p>
            <w:pPr>
              <w:jc w:val="right"/>
              <w:ind w:right="7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ind w:right="7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7"/>
                <w:szCs w:val="17"/>
                <w:color w:val="auto"/>
              </w:rPr>
            </w:pPr>
          </w:p>
        </w:tc>
      </w:tr>
      <w:tr>
        <w:trPr>
          <w:trHeight w:val="20"/>
        </w:trPr>
        <w:tc>
          <w:tcPr>
            <w:tcW w:w="7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6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Non-cash investing activities: </w:t>
            </w:r>
            <w:r>
              <w:rPr>
                <w:rFonts w:ascii="Times New Roman" w:cs="Times New Roman" w:eastAsia="Times New Roman" w:hAnsi="Times New Roman"/>
                <w:sz w:val="18"/>
                <w:szCs w:val="18"/>
                <w:color w:val="auto"/>
              </w:rPr>
              <w:t>Property and equipment in accounts payable</w:t>
            </w:r>
          </w:p>
        </w:tc>
        <w:tc>
          <w:tcPr>
            <w:tcW w:w="960" w:type="dxa"/>
            <w:vAlign w:val="bottom"/>
            <w:tcBorders>
              <w:bottom w:val="single" w:sz="8" w:color="auto"/>
            </w:tcBorders>
            <w:shd w:val="clear" w:color="auto" w:fill="CFF0FC"/>
          </w:tcPr>
          <w:p>
            <w:pPr>
              <w:jc w:val="right"/>
              <w:ind w:right="7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gridSpan w:val="2"/>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7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5835015</wp:posOffset>
            </wp:positionH>
            <wp:positionV relativeFrom="paragraph">
              <wp:posOffset>-2502535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-2502535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5835015</wp:posOffset>
            </wp:positionH>
            <wp:positionV relativeFrom="paragraph">
              <wp:posOffset>-1928495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-1928495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5835015</wp:posOffset>
            </wp:positionH>
            <wp:positionV relativeFrom="paragraph">
              <wp:posOffset>-1233805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-1233805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5835015</wp:posOffset>
            </wp:positionH>
            <wp:positionV relativeFrom="paragraph">
              <wp:posOffset>-659765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5835015</wp:posOffset>
            </wp:positionH>
            <wp:positionV relativeFrom="paragraph">
              <wp:posOffset>-642620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-659765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-642620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5835015</wp:posOffset>
            </wp:positionH>
            <wp:positionV relativeFrom="paragraph">
              <wp:posOffset>-350520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5835015</wp:posOffset>
            </wp:positionH>
            <wp:positionV relativeFrom="paragraph">
              <wp:posOffset>-334010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-350520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-334010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5835015</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5835015</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981" w:right="39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2024 and 2023</w:t>
      </w:r>
    </w:p>
    <w:p>
      <w:pPr>
        <w:spacing w:after="0" w:line="2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Tempest Therapeutics, Inc. (“Tempest” or the “Company”) is a clinical-stage biotechnology company moving into late-stage development with a diverse portfolio of targeted and immune-mediated product candidates with the potential to be first-in-class treatments for a wide range of cancers. Tempest’s novel programs range from early research to the lead program, amezalpat (previously known as TPST-1120), that is poised to begin a pivotal study in first-line liver cancer. Tempest is also developing other potential product candidates in its Discovery Research group. The Company is headquartered in Brisbane, California.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 Plans</w:t>
      </w:r>
    </w:p>
    <w:p>
      <w:pPr>
        <w:spacing w:after="0" w:line="22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The Company has incurred operating losses since inception. As of December 31, 2024, the Company had cash and cash equivalents of $30.3 million, which is sufficient to fund operations beyond 12 months from the issuance of the financial statements.</w:t>
      </w:r>
    </w:p>
    <w:p>
      <w:pPr>
        <w:spacing w:after="0" w:line="176" w:lineRule="exact"/>
        <w:rPr>
          <w:sz w:val="20"/>
          <w:szCs w:val="20"/>
          <w:color w:val="auto"/>
        </w:rPr>
      </w:pPr>
    </w:p>
    <w:p>
      <w:pPr>
        <w:jc w:val="both"/>
        <w:ind w:right="380"/>
        <w:spacing w:after="0" w:line="254" w:lineRule="auto"/>
        <w:rPr>
          <w:sz w:val="20"/>
          <w:szCs w:val="20"/>
          <w:color w:val="auto"/>
        </w:rPr>
      </w:pPr>
      <w:r>
        <w:rPr>
          <w:rFonts w:ascii="Times New Roman" w:cs="Times New Roman" w:eastAsia="Times New Roman" w:hAnsi="Times New Roman"/>
          <w:sz w:val="18"/>
          <w:szCs w:val="18"/>
          <w:color w:val="auto"/>
        </w:rPr>
        <w:t>The Company’s ability to fund continued development, including its Phase 3 clinical trial for amezalpat, will require significant additional capital. The Company intends to focus its short-term efforts on raising such capital through the issuance of additional equity or debt. Adequate additional financing may not be available to us on acceptable terms, or at all. If additional capital is not available to us on a timely basis, or at all, the Company will be required to take additional actions, including exploring potential merger opportunities and other strategic options, such as partnerships or collaborations for our programs, or may need to reduce operating expenses or delay, reduce the scope of, discontinue or alter the Company’s research and development activities, or may be forced to wind down its operations. The Company’s ability to continue as a going concern in the absence of additional capital is dependent upon its ability to control its expenses over the next 12 months, which include de-prioritizing R&amp;D programs, a reduction in its workforce, and controlling variable spend, while management secures sources of capital or another strategic opportunity.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229" w:lineRule="exact"/>
        <w:rPr>
          <w:sz w:val="20"/>
          <w:szCs w:val="20"/>
          <w:color w:val="auto"/>
        </w:rPr>
      </w:pPr>
    </w:p>
    <w:p>
      <w:pPr>
        <w:jc w:val="both"/>
        <w:ind w:right="380"/>
        <w:spacing w:after="0" w:line="253" w:lineRule="auto"/>
        <w:rPr>
          <w:sz w:val="20"/>
          <w:szCs w:val="20"/>
          <w:color w:val="auto"/>
        </w:rPr>
      </w:pPr>
      <w:r>
        <w:rPr>
          <w:rFonts w:ascii="Times New Roman" w:cs="Times New Roman" w:eastAsia="Times New Roman" w:hAnsi="Times New Roman"/>
          <w:sz w:val="18"/>
          <w:szCs w:val="18"/>
          <w:color w:val="auto"/>
        </w:rPr>
        <w:t>On July 23, 2021, the Company entered into a sales agreement with Jefferies LLC (“Jefferies”), pursuant to which the Company may sell, from time to time at its sole discretion through Jefferies, as its sales agent, shares of its common stock having, up to an aggregate sales price of $100.0 million of its common stock through Jefferies (the “Prior ATM Program”). As of June 20, 2024, the Company had sold an aggregate 9,017,110 shares of its common stock for gross proceeds of approximately $42.7 million ($41.5 million net of commissions and estimated expenses) under the Prior ATM Program. On June 20, 2024, the Company and Jefferies terminated the Prior ATM Program and entered a new Open Market Sale Agreement (the “Sales Agreement”) to sell shares of common stock from time to time through Jefferies acting as sales agent (the “ATM Program”). The Company will pay Jefferies a commission up to 3.0% of the gross sales proceeds of any shares of its common stock sold through Jefferies under the ATM Program and also has provided Jefferies with indemnification and contribution rights. Pursuant to the prospectus supplement dated June 20, 2024 filed by the Company with the U.S. Securities and Exchange Commission (“SEC”), the Company was able to offer and sell up to $205,000,000 of its shares of common stock pursuant to the Sales Agreement. As of December 31, 2024, the Company has sold an aggregate of 21,626,191 shares of its common stock for gross proceeds of approximately $29.6 million, or $28.8 million after deducting commissions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3" w:name="page104"/>
    <w:bookmarkEnd w:id="103"/>
    <w:p>
      <w:pPr>
        <w:jc w:val="both"/>
        <w:ind w:right="380"/>
        <w:spacing w:after="0" w:line="282" w:lineRule="auto"/>
        <w:rPr>
          <w:sz w:val="20"/>
          <w:szCs w:val="20"/>
          <w:color w:val="auto"/>
        </w:rPr>
      </w:pPr>
      <w:r>
        <w:rPr>
          <w:rFonts w:ascii="Times New Roman" w:cs="Times New Roman" w:eastAsia="Times New Roman" w:hAnsi="Times New Roman"/>
          <w:sz w:val="18"/>
          <w:szCs w:val="18"/>
          <w:color w:val="auto"/>
        </w:rPr>
        <w:t>and offering expenses, pursuant to the ATM Program. As of December 31, 2024, approximately $175.4 million remained available for sale under the ATM Program.</w:t>
      </w:r>
    </w:p>
    <w:p>
      <w:pPr>
        <w:spacing w:after="0" w:line="162"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Under current SEC regulations, if at any time the Company's public float is less than $75.0 million, and for so long as the Company’s public float remains less than $75.0 million, the amount the Company can raise through primary public offerings of securities in any 12-month period using shelf registration statements is limited to an aggregate of one-third of the Company's public float, which is referred to as the baby shelf rules. On February 6, 2025, the Company filed a prospectus supplement with the SEC limiting the availability under the ATM Program to $14.5 million.</w:t>
      </w:r>
    </w:p>
    <w:p>
      <w:pPr>
        <w:spacing w:after="0" w:line="180" w:lineRule="exact"/>
        <w:rPr>
          <w:sz w:val="20"/>
          <w:szCs w:val="20"/>
          <w:color w:val="auto"/>
        </w:rPr>
      </w:pPr>
    </w:p>
    <w:p>
      <w:pPr>
        <w:jc w:val="both"/>
        <w:ind w:right="380"/>
        <w:spacing w:after="0" w:line="282" w:lineRule="auto"/>
        <w:rPr>
          <w:sz w:val="20"/>
          <w:szCs w:val="20"/>
          <w:color w:val="auto"/>
        </w:rPr>
      </w:pPr>
      <w:r>
        <w:rPr>
          <w:rFonts w:ascii="Times New Roman" w:cs="Times New Roman" w:eastAsia="Times New Roman" w:hAnsi="Times New Roman"/>
          <w:sz w:val="18"/>
          <w:szCs w:val="18"/>
          <w:color w:val="auto"/>
        </w:rPr>
        <w:t>Between January 1, 2025 and March 21, 2025, we sold 1,464,321 shares of our common stock for gross and net proceeds of $1.3 million, pursuant to the ATM Program. As of March 21, 2025, we have approximately $13.4 million available for sale under the ATM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Financing</w:t>
      </w:r>
    </w:p>
    <w:p>
      <w:pPr>
        <w:spacing w:after="0" w:line="229" w:lineRule="exact"/>
        <w:rPr>
          <w:sz w:val="20"/>
          <w:szCs w:val="20"/>
          <w:color w:val="auto"/>
        </w:rPr>
      </w:pPr>
    </w:p>
    <w:p>
      <w:pPr>
        <w:jc w:val="both"/>
        <w:ind w:right="380"/>
        <w:spacing w:after="0" w:line="255" w:lineRule="auto"/>
        <w:rPr>
          <w:sz w:val="20"/>
          <w:szCs w:val="20"/>
          <w:color w:val="auto"/>
        </w:rPr>
      </w:pPr>
      <w:r>
        <w:rPr>
          <w:rFonts w:ascii="Times New Roman" w:cs="Times New Roman" w:eastAsia="Times New Roman" w:hAnsi="Times New Roman"/>
          <w:sz w:val="18"/>
          <w:szCs w:val="18"/>
          <w:color w:val="auto"/>
        </w:rPr>
        <w:t>On April 29, 2022, the Company completed a private investment in public equity (“PIPE”) financing from the sale of 3,149,912 shares of its common stock at a price per share of $2.36 and, in lieu of shares of common stock, pre-funded warrants to purchase up to 3,206,020 shares of its common stock at a price per pre-funded warrant of $2.359 to EcoR1 Capital, LLC and Versant Venture Capital (the “PIPE Investors”). Net proceeds from the PIPE financings totaled approximately $14.5 million, after deducting offering expenses. The Company entered into a registration rights agreement with the PIPE Investors pursuant to which the Company filed a registration statement with the SEC registering the resale of the 3,149,912 shares common stock and the 3,206,020 shares of common stock underlying the pre-funded warrants issued in the PIPE financing. As of December 31, 2024, all pre-funded warrants had been exercised.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Basis of Presentation</w:t>
      </w:r>
      <w:r>
        <w:rPr>
          <w:rFonts w:ascii="Times New Roman" w:cs="Times New Roman" w:eastAsia="Times New Roman" w:hAnsi="Times New Roman"/>
          <w:sz w:val="18"/>
          <w:szCs w:val="18"/>
          <w:color w:val="auto"/>
        </w:rPr>
        <w:t>—The accompanying Consolidated Financial Statements have been prepared in accordance with US generally accepted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principles ("GAAP") and necessarily include amounts based on estimates and assumptions by management.</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Use of Estimates</w:t>
      </w: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accruals, recoverability of long-lived assets, right-of-use assets, lease obligations, stock-based compensation and income taxes uncertainties and valuation allowances.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Segment Information</w:t>
      </w:r>
      <w:r>
        <w:rPr>
          <w:rFonts w:ascii="Times New Roman" w:cs="Times New Roman" w:eastAsia="Times New Roman" w:hAnsi="Times New Roman"/>
          <w:sz w:val="18"/>
          <w:szCs w:val="18"/>
          <w:color w:val="auto"/>
        </w:rPr>
        <w:t>—The Company operates and manages its business as one reportable and operating segment, which is the business of discovery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of small molecule drugs to treat cancers. All assets and operations are in the U.S. The Company’s Chief Executive Officer, who is the chief operating decision maker (“CODM”), reviews financial information on an aggregate basis for purposes of allocating resources and evaluating financial performance. For additional segment information, see Note 12, Segment Reporting.</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Risks and Uncertainties</w:t>
      </w:r>
      <w:r>
        <w:rPr>
          <w:rFonts w:ascii="Times New Roman" w:cs="Times New Roman" w:eastAsia="Times New Roman" w:hAnsi="Times New Roman"/>
          <w:sz w:val="18"/>
          <w:szCs w:val="18"/>
          <w:color w:val="auto"/>
        </w:rPr>
        <w:t>—The Company is subject to risks and uncertainties common to early-stage companies in the biotechnology industry,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but not limited to, development by competitors of new technological innovations, protection of proprietary technology, dependence on key personnel, reliance on single-source vendors, availability of raw materials, patentability of the Company’s products and processes and clinical efficacy and safety of the Company’s products under development, compliance with government regulations and the need to obtain additional financing to fund operations. Product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4" w:name="page105"/>
    <w:bookmarkEnd w:id="104"/>
    <w:p>
      <w:pPr>
        <w:jc w:val="both"/>
        <w:spacing w:after="0" w:line="254" w:lineRule="auto"/>
        <w:rPr>
          <w:sz w:val="20"/>
          <w:szCs w:val="20"/>
          <w:color w:val="auto"/>
        </w:rPr>
      </w:pPr>
      <w:r>
        <w:rPr>
          <w:rFonts w:ascii="Times New Roman" w:cs="Times New Roman" w:eastAsia="Times New Roman" w:hAnsi="Times New Roman"/>
          <w:sz w:val="18"/>
          <w:szCs w:val="18"/>
          <w:color w:val="auto"/>
        </w:rPr>
        <w:t>candidates currently under development will require significant additional research and development efforts, including extensive preclinical studies, clinical trials and regulatory approval, prior to commercialization. These efforts will require significant amounts of additional capital, adequate personnel infrastructure and extensive compliance and reporting. The Company’s product candidates are still in development and, to date, none of the Company’s product candidates have been approved for sale and, therefore, the Company has not generated any revenue from product sales.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revenue from product sales. The Company operates in an environment of rapid technological change and substantial competition from other pharmaceutical and biotechnology companies. In addition, the Company is dependent upon the services of its employees, consultants and other third parties.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r>
        <w:rPr>
          <w:rFonts w:ascii="Times New Roman" w:cs="Times New Roman" w:eastAsia="Times New Roman" w:hAnsi="Times New Roman"/>
          <w:sz w:val="18"/>
          <w:szCs w:val="18"/>
          <w:color w:val="auto"/>
        </w:rPr>
        <w:t>—Financial instruments, which potentially subject the Company to concentration of risk, consist principally of cash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money market fund. All of the Company’s cash and money market fund are deposited in accounts with a major financial institution in excess of federally insured limits. The Company is exposed to credit risk in the event of default by the financial institutions holding its cash and cash equivalents to the extent recorded in the balance sheets. While the Company has not experienced any losses in such accounts, the recent failure of Silicon Valley Bank (“SVB”), at which the Company held cash and cash equivalents in multiple accounts, exposed the Company to significant credit risk prior to the completion by the Federal Deposit Insurance Corporation of the resolution of SVB in a manner that fully protected all depositors. The Company had subsequently transferred its accounts to one or more alternate depository institutions. The Company has no off-balance sheet concentrations of credit risk, such as foreign currency exchange contracts, option contracts or other hedging arrangements.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Cash and Cash Equivalents</w:t>
      </w:r>
      <w:r>
        <w:rPr>
          <w:rFonts w:ascii="Times New Roman" w:cs="Times New Roman" w:eastAsia="Times New Roman" w:hAnsi="Times New Roman"/>
          <w:sz w:val="18"/>
          <w:szCs w:val="18"/>
          <w:color w:val="auto"/>
        </w:rPr>
        <w:t>—The Company considers all highly liquid investments purchased with original maturities of 90 days or less at acquisitions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cash equivalents. As of December 31, 2024 and 2023, the Company’s cash and cash equivalents consisted of bank deposits and money market funds.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Leases</w:t>
      </w:r>
      <w:r>
        <w:rPr>
          <w:rFonts w:ascii="Times New Roman" w:cs="Times New Roman" w:eastAsia="Times New Roman" w:hAnsi="Times New Roman"/>
          <w:sz w:val="18"/>
          <w:szCs w:val="18"/>
          <w:color w:val="auto"/>
        </w:rPr>
        <w:t>—The Company determines if an arrangement is a lease at contract inception. A lease exists when a contract conveys to the customer the right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liabilities are initially and subsequently measured at the present value of the unpaid lease payments at the lease commencement date. When readily determinable, the Company uses the implicit rate in determining the present value of lease payments. When leases do not provide an implicit rate, the Company uses its incremental borrowing rate based on the information available at the lease commencement date, including the lease term.</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ROU asset is initially measured at cost, which comprises the initial amount of the lease liability adjusted for lease payments made at or before the lease commencement date, plus any initial direct costs incurred less any lease incentives received. For operating leases, the ROU asset is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Property and Equipment</w:t>
      </w:r>
      <w:r>
        <w:rPr>
          <w:rFonts w:ascii="Times New Roman" w:cs="Times New Roman" w:eastAsia="Times New Roman" w:hAnsi="Times New Roman"/>
          <w:sz w:val="18"/>
          <w:szCs w:val="18"/>
          <w:color w:val="auto"/>
        </w:rPr>
        <w:t>—Property and equipment is recorded at cost and depreciated over the estimated useful lives of the related assets using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straight-line method. Upon disposal of an asset, the related cost and accumulated depreciation are removed from the asset accounts and any resulting gain or loss is included in the consolidated statements of operations. Repair and maintenance costs are expensed as incurred, whereas major improvements are capitalized as additions to property and equipment. The estimated useful lives of the Company’s respective assets are as follows: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5" w:name="page106"/>
    <w:bookmarkEnd w:id="105"/>
    <w:tbl>
      <w:tblPr>
        <w:tblLayout w:type="fixed"/>
        <w:tblInd w:w="6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584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rPr>
              <w:t>3 years</w:t>
            </w:r>
          </w:p>
        </w:tc>
      </w:tr>
      <w:tr>
        <w:trPr>
          <w:trHeight w:val="31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84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rPr>
              <w:t>7 years</w:t>
            </w:r>
          </w:p>
        </w:tc>
      </w:tr>
      <w:tr>
        <w:trPr>
          <w:trHeight w:val="311"/>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584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rPr>
              <w:t>5 years</w:t>
            </w:r>
          </w:p>
        </w:tc>
      </w:tr>
      <w:tr>
        <w:trPr>
          <w:trHeight w:val="31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84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Shorter of the useful life of the asset or the life of the lease</w:t>
            </w:r>
          </w:p>
        </w:tc>
      </w:tr>
    </w:tbl>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r>
        <w:rPr>
          <w:rFonts w:ascii="Times New Roman" w:cs="Times New Roman" w:eastAsia="Times New Roman" w:hAnsi="Times New Roman"/>
          <w:sz w:val="18"/>
          <w:szCs w:val="18"/>
          <w:color w:val="auto"/>
        </w:rPr>
        <w:t>—Long-lived assets are reviewed for impairment if events or circumstances indicate the carrying amount of these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not be recoverable. If this review indicates that these assets will not be recoverable, based on the forecasted undiscounted future operating cash flows expected to result from the use of long-lived assets and their eventual disposition, the Company’s carrying value of the long-lived assets is reduced to fair value based on a discounted future cash flow approach or quoted market values.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and Accrued Research and Development</w:t>
      </w:r>
      <w:r>
        <w:rPr>
          <w:rFonts w:ascii="Times New Roman" w:cs="Times New Roman" w:eastAsia="Times New Roman" w:hAnsi="Times New Roman"/>
          <w:sz w:val="18"/>
          <w:szCs w:val="18"/>
          <w:color w:val="auto"/>
        </w:rPr>
        <w:t>—Research and development expenses are charged to expense as incurred.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and development expenses include certain payroll and personnel expenses including stock-based compensation, laboratory supplies, consulting costs, external contract research and development expenses and facility or lease expenses. In-licensing fees and other costs to acquire technologies that are utilized in research and development, and that are not expected to have alternative future use, are expensed when incurred. Advance payments for goods or services for future research and development activities are deferred and expensed as the goods are delivered or the related services are performed.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estimates preclinical studies and clinical trial expenses based on the services performed pursuant to contracts with research institutions and clinical research organizations that conduct and manage preclinical studies and clinical trials on the Company’s behalf. In accruing service fees, the Company estimates the time period over which services will be performed and the level of effort to be expended in each period. These estimates are based on communications with the third-party service providers, the Company’s estimates of accrued expenses and on information available at each balance sheet date. If the actual timing of the performance of services or the level of effort varies from the estimate, the Company will adjust the accrual accordingly. The estimates are trued up to reflect the best information available at the time of the financial statement issuance. Although the Company does not expect its estimates to be materially different from amounts actually incurred, the Company’s estimate of the status and timing of services performed relative to the actual status and timing of services performed may vary.</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Costs</w:t>
      </w:r>
      <w:r>
        <w:rPr>
          <w:rFonts w:ascii="Times New Roman" w:cs="Times New Roman" w:eastAsia="Times New Roman" w:hAnsi="Times New Roman"/>
          <w:sz w:val="18"/>
          <w:szCs w:val="18"/>
          <w:color w:val="auto"/>
        </w:rPr>
        <w:t>—Costs related to filing and pursuing patent applications are expensed as incurred, as recoverability of such expenditures is uncertain.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patent-related legal costs are reported as a component of general and administrative expenses.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r>
        <w:rPr>
          <w:rFonts w:ascii="Times New Roman" w:cs="Times New Roman" w:eastAsia="Times New Roman" w:hAnsi="Times New Roman"/>
          <w:sz w:val="18"/>
          <w:szCs w:val="18"/>
          <w:color w:val="auto"/>
        </w:rPr>
        <w:t>—General and administrative costs are expensed as incurred and include employee-related expenses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salaries, benefits, travel and stock-based compensation for the Company’s personnel in executive, finance and accounting, and other administrative functions, as well as fees paid for legal, accounting and tax services, consulting fees and facilities costs not otherwise included in research and development expenses. Legal costs include general corporate legal fees and patent costs.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Fair Value Measurements</w:t>
      </w: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market participants at the measurement date. As such, fair value is a market-based measurement that should be determined based on assumptions that market participants would use in pricing an asset or liability. The carrying amounts of the Company’s financial instruments approximate fair value due to their short-term maturities.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r>
        <w:rPr>
          <w:rFonts w:ascii="Times New Roman" w:cs="Times New Roman" w:eastAsia="Times New Roman" w:hAnsi="Times New Roman"/>
          <w:sz w:val="18"/>
          <w:szCs w:val="18"/>
          <w:color w:val="auto"/>
        </w:rPr>
        <w:t>—The Company accounts for stock-based compensation by measuring and recognizing compensation expense for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share-based payments made to employees, directors and non-employees based on estimated grant-date fair values. The Company uses the straight-line method to allocate compensation cost to reporting periods over each optionee’s requisite service period, which is generally the vesting period.</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06" w:name="page107"/>
    <w:bookmarkEnd w:id="106"/>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estimates the fair value of stock options to employees, directors and non-employees using the Black-Scholes option-valuation model. The Black-Scholes model requires the input of subjective assumptions, including expected volatility, expected dividend yield, expected term, risk-free rate of return, and the fair value of the underlying common stock on the date of grant. Due to the lack of company-specific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life science industry. The Company uses the simplified method to calculate the expected term for options granted to employees as it does not have sufficient historical exercise data to provide a reasonable basis upon which to estimate the expected term. The simplified method is based on the vesting period and the contractual term for each grant, or for each vesting 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r>
        <w:rPr>
          <w:rFonts w:ascii="Times New Roman" w:cs="Times New Roman" w:eastAsia="Times New Roman" w:hAnsi="Times New Roman"/>
          <w:sz w:val="18"/>
          <w:szCs w:val="18"/>
          <w:color w:val="auto"/>
        </w:rPr>
        <w:t>—The Company follows the two-class method when computing net loss per share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diluted net loss attributable to common stockholders by the weighted average number of common shares outstanding for the period, including potential dilutive common shares. For purpose of this calculation, outstanding stock options, convertible preferred stock and warrants to purchase shares of convertible preferred stock are considered potential dilutive common shares.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—The Company accounts for income taxes using the asset and liability method. The Company recognizes deferred tax assets and liabilities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when such determination is made. As of December 31, 2024 and 2023, the Company has recorded a full valuation allowance on its deferred tax assets.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Tax benefits related to uncertain tax positions are recognized when it is more likely than not that a tax position will be sustained during an audit. Interest and penalties related to unrecognized tax benefits are included within the provision for income tax.</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7" w:name="page108"/>
    <w:bookmarkEnd w:id="107"/>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r>
        <w:rPr>
          <w:rFonts w:ascii="Times New Roman" w:cs="Times New Roman" w:eastAsia="Times New Roman" w:hAnsi="Times New Roman"/>
          <w:sz w:val="18"/>
          <w:szCs w:val="18"/>
          <w:color w:val="auto"/>
        </w:rPr>
        <w:t>—In November 2023, the FASB issued ASU 2023-07, Segment Reporting: Improvements to Reportable Segment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Disclosures, which amends guidance in ASC 280, Segment Reporting. The amendments in this ASU expand segment disclosure requirements, including new segment disclosure requirements for entities with a single reportable segment, among other disclosure requirements. The ASU’s amendments are effective for public business entities for annual periods beginning after December 15, 2023. The Company adopted ASU 2023-07 for the year ended December 31, 2024 and the application of ASU 2023-07 did not have a material impact on the Company’s Consolidated Financial Statements. The adoption did result in enhanced disclosures as included in Note 12, Segment Reporting.</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fair value hierarchy for assets and liabilities measured at fair value on a recurring basis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1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30,268</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30,268</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30,268</w:t>
            </w:r>
          </w:p>
        </w:tc>
        <w:tc>
          <w:tcPr>
            <w:tcW w:w="12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9"/>
        </w:trPr>
        <w:tc>
          <w:tcPr>
            <w:tcW w:w="58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5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1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39,230</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39,230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39,230</w:t>
            </w:r>
          </w:p>
        </w:tc>
        <w:tc>
          <w:tcPr>
            <w:tcW w:w="12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-890905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-890905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-890905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-890905</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-170815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BALANCE SHEET ITEMS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 consist of the following as of December 31, 2024 and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6"/>
              </w:rPr>
              <w:t>642</w:t>
            </w:r>
          </w:p>
        </w:tc>
        <w:tc>
          <w:tcPr>
            <w:tcW w:w="160" w:type="dxa"/>
            <w:vAlign w:val="bottom"/>
            <w:tcBorders>
              <w:right w:val="single" w:sz="8" w:color="CFF0FC"/>
            </w:tcBorders>
            <w:shd w:val="clear" w:color="auto" w:fill="CCEEFF"/>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 costs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right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6"/>
              </w:rPr>
              <w:t>535</w:t>
            </w:r>
          </w:p>
        </w:tc>
        <w:tc>
          <w:tcPr>
            <w:tcW w:w="160" w:type="dxa"/>
            <w:vAlign w:val="bottom"/>
            <w:tcBorders>
              <w:bottom w:val="single" w:sz="8" w:color="CCEEFF"/>
              <w:right w:val="single" w:sz="8" w:color="CFF0FC"/>
            </w:tcBorders>
            <w:shd w:val="clear" w:color="auto" w:fill="CCEEFF"/>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as of December 31, 2024 and 2023 (in thousands):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4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60" w:type="dxa"/>
            <w:vAlign w:val="bottom"/>
            <w:tcBorders>
              <w:right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160" w:type="dxa"/>
            <w:vAlign w:val="bottom"/>
            <w:tcBorders>
              <w:right w:val="single" w:sz="8" w:color="CFF0FC"/>
            </w:tcBorders>
            <w:shd w:val="clear" w:color="auto" w:fill="CFF0FC"/>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160" w:type="dxa"/>
            <w:vAlign w:val="bottom"/>
            <w:tcBorders>
              <w:right w:val="single" w:sz="8" w:color="CFF0FC"/>
            </w:tcBorders>
            <w:shd w:val="clear" w:color="auto" w:fill="CFF0FC"/>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(1,320 )</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(1,025 )</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60" w:type="dxa"/>
            <w:vAlign w:val="bottom"/>
            <w:tcBorders>
              <w:bottom w:val="single" w:sz="8" w:color="CFF0FC"/>
              <w:right w:val="single" w:sz="8" w:color="CFF0FC"/>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and 2023 was $389 and $381, respectively.</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as of December 31, 2024 and 2023 consist of the following (in thousands):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4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other liabilities</w:t>
            </w:r>
          </w:p>
        </w:tc>
        <w:tc>
          <w:tcPr>
            <w:tcW w:w="160" w:type="dxa"/>
            <w:vAlign w:val="bottom"/>
            <w:tcBorders>
              <w:right w:val="single" w:sz="8" w:color="CCEEFF"/>
            </w:tcBorders>
            <w:shd w:val="clear" w:color="auto" w:fill="CFF0FC"/>
          </w:tcPr>
          <w:p>
            <w:pPr>
              <w:spacing w:after="0"/>
              <w:rPr>
                <w:sz w:val="18"/>
                <w:szCs w:val="18"/>
                <w:color w:val="auto"/>
              </w:rPr>
            </w:pPr>
          </w:p>
        </w:tc>
        <w:tc>
          <w:tcPr>
            <w:tcW w:w="960" w:type="dxa"/>
            <w:vAlign w:val="bottom"/>
            <w:tcBorders>
              <w:top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1,335</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clinical trial liability</w:t>
            </w: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w w:val="98"/>
              </w:rPr>
              <w:t>1,391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FF0FC"/>
              <w:right w:val="single" w:sz="8" w:color="CCEEFF"/>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2,726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764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-3822700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-2116455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-2099945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-2099945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-865505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-847725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Facilities Lease Agreements</w:t>
      </w:r>
      <w:r>
        <w:rPr>
          <w:rFonts w:ascii="Times New Roman" w:cs="Times New Roman" w:eastAsia="Times New Roman" w:hAnsi="Times New Roman"/>
          <w:sz w:val="18"/>
          <w:szCs w:val="18"/>
          <w:color w:val="auto"/>
        </w:rPr>
        <w:t>—In January 2022, the Company entered into an 8-year office lease agreement for a 20,116 square feet facility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Brisbane, California (“Brisbane Lease”). The lease commenced in December 2022.</w:t>
      </w:r>
    </w:p>
    <w:p>
      <w:pPr>
        <w:spacing w:after="0" w:line="15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balance of the operating lease right of use assets were $8,643 and $9,952, respectively, and the related operating lease liability were $9,011 and $10,112, respectively, as shown in the accompanying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was $2,244 and $2,738 for the years ended December 31, 2024 and 2023,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future minimum annual lease payments under the Company’s operating lease liabilities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w:t>
            </w:r>
          </w:p>
        </w:tc>
        <w:tc>
          <w:tcPr>
            <w:tcW w:w="160" w:type="dxa"/>
            <w:vAlign w:val="bottom"/>
          </w:tcPr>
          <w:p>
            <w:pPr>
              <w:spacing w:after="0"/>
              <w:rPr>
                <w:sz w:val="20"/>
                <w:szCs w:val="20"/>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 Commitment</w:t>
            </w:r>
          </w:p>
        </w:tc>
        <w:tc>
          <w:tcPr>
            <w:tcW w:w="0" w:type="dxa"/>
            <w:vAlign w:val="bottom"/>
          </w:tcPr>
          <w:p>
            <w:pPr>
              <w:spacing w:after="0"/>
              <w:rPr>
                <w:sz w:val="1"/>
                <w:szCs w:val="1"/>
                <w:color w:val="auto"/>
              </w:rPr>
            </w:pPr>
          </w:p>
        </w:tc>
      </w:tr>
      <w:tr>
        <w:trPr>
          <w:trHeight w:val="209"/>
        </w:trPr>
        <w:tc>
          <w:tcPr>
            <w:tcW w:w="92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and beyond</w:t>
            </w: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(3,180 )</w:t>
            </w:r>
          </w:p>
        </w:tc>
        <w:tc>
          <w:tcPr>
            <w:tcW w:w="0" w:type="dxa"/>
            <w:vAlign w:val="bottom"/>
          </w:tcPr>
          <w:p>
            <w:pPr>
              <w:spacing w:after="0"/>
              <w:rPr>
                <w:sz w:val="1"/>
                <w:szCs w:val="1"/>
                <w:color w:val="auto"/>
              </w:rPr>
            </w:pPr>
          </w:p>
        </w:tc>
      </w:tr>
      <w:tr>
        <w:trPr>
          <w:trHeight w:val="209"/>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Present value of operating lease obligations</w:t>
            </w:r>
          </w:p>
        </w:tc>
        <w:tc>
          <w:tcPr>
            <w:tcW w:w="16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(869 )</w:t>
            </w:r>
          </w:p>
        </w:tc>
        <w:tc>
          <w:tcPr>
            <w:tcW w:w="0" w:type="dxa"/>
            <w:vAlign w:val="bottom"/>
          </w:tcPr>
          <w:p>
            <w:pPr>
              <w:spacing w:after="0"/>
              <w:rPr>
                <w:sz w:val="1"/>
                <w:szCs w:val="1"/>
                <w:color w:val="auto"/>
              </w:rPr>
            </w:pPr>
          </w:p>
        </w:tc>
      </w:tr>
      <w:tr>
        <w:trPr>
          <w:trHeight w:val="250"/>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Related to this Brisbane Lease agreement, the Company entered into a letter of credit with a bank to deposit $388 in a separate account that is restricted cash to serve as security rent deposit. This amount is included in other noncurrent assets in the accompanying Consolidated Balance Sheets as of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 PAYABLE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15, 2021, the Company entered into a loan agreement with Oxford Finance LLC (the “Lender”) to borrow a term loan amount of $35,000 to be funded in three tranches. Tranche A of $15,000 was wired to the Company on January 15, 2021. Tranche B of $10,000 expired on March 31, 2022. Tranche C of $10,000 is available at the Lender’s option.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23, 2022, the Company entered into a First Amendment to the loan agreement. The amendment modified the agreement as follows: (i) each of the Company and Millendo, were joined as co-borrowers under the Loan Agreement; (ii) the interest-only repayment period was extended through December 31, 2023 (which interest-only period may be further extended through June 30, 2024 under certain circumstances); and (iii) a security interest in all of the assets of the Company, TempestTx and Millendo, including any intellectual property, was granted to the Lender. In addition, the Lender permitted a one-time prepayment in the amount of $5.0 million, which the Company paid on December 23, 2022.</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amendment to the loan agreement, the term loan matures on August 1, 2025 and has an annual floating interest rate of 7.15% which is an Index Rate plus 7.10%. Index Rate is the greater of (i) 1-Month CME Term SOFR or (ii) 0.05%. In the fourth quarter of 2023, the Company achieved the circumstances necessary to extend the interest-only repayment period through June 30, 2024. Monthly principal payments of $733 began on July 1, 2024 and the Company paid the first principal payment to the Lender in July 2024. Related to this borrowing, the Company recorded loan discounts totaling $898 and paid $95 of debt issuance costs. These amounts would be amortized as additional interest expense over the life of the loan. As of December 31,</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2024, the balance of the loan payable (net of debt issuance costs) was $6.4 million. The carrying value of the loan approximates fair value (Level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and 2023, total interest expense was $1,316 and $1,449, respectively.</w:t>
      </w:r>
    </w:p>
    <w:p>
      <w:pPr>
        <w:spacing w:after="0" w:line="221" w:lineRule="exact"/>
        <w:rPr>
          <w:sz w:val="20"/>
          <w:szCs w:val="20"/>
          <w:color w:val="auto"/>
        </w:rPr>
      </w:pPr>
    </w:p>
    <w:p>
      <w:pPr>
        <w:ind w:right="8740" w:firstLine="8"/>
        <w:spacing w:after="0" w:line="503" w:lineRule="auto"/>
        <w:tabs>
          <w:tab w:leader="none" w:pos="1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Authorized Stock</w:t>
      </w: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par value of $0.001 per share, and 5,000,000 shares of preferred stock, 100,000 of which have been designated as Series A Participating Preferred Stock (the “Series A Preferred Stock”), par value of $0.001 per share. No shares of the Company’s Series A Participating Preferred Stock were outstanding as of December 31, 2024 and 2023. Stockholders are entitled to dividends as declared by the Board of Directors, subject to rights of holders of all classes of stock outstanding having priority rights as to dividends. There have been no dividends declared to date. The holders of each share of common stock are entitled to one vote and the holders of each share of Series A Preferred Stock, if issued, are entitled to 1,000 votes. Except for effecting or validating certain specific actions intended to protect the preferred stockholders, the holders of common stock vote together with preferred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10, 2023, the Company’s Board of Directors adopted a limited duration stockholder rights plan (the “Rights Plan”), effective immediately, and declared a dividend of one preferred share purchase right (a “Right”) for each outstanding share of the Company’s common stock. The dividend was effective as of October 23, 2023 (the “Record Date”) with respect to stockholders of record on that date. The Rights will also attach to new common stock issued after the Record Date. Each Right entitles the registered holder to purchase from the Company one one-thousandth of a share of the Series A Preferred Stock at a price of $25.00 per one one-thousandth of a preferred share, subject to adjustment. The descriptions and terms of the Rights are set forth in a Rights Agreement, dated as of October 10, 2023 (the “Rights Agreement"), between the Company and Computershare Trust Company, NA.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9, 2024, the Company entered into Amendment No. 1 (the “Amendment”) to the Rights Agreement. The Amendment extends the Final Expiration Date of the Rights Agreement until immediately following the Company’s 2025 Annual Meeting of Stockholders or, if the Company’s stockholders approve the Rights Plan at or prior to such meeting, to October 10, 2026, unless the Rights are earlier redeemed or exchanged by the Company. The Company does not have any obligation under the Rights Agreement to seek stockholder approval for the Rights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5, 2024, the Company entered into Amendment No. 2 (the “Second Amendment”) to the Rights Agreement. The Second Amendment makes certain technical amendments to the rights and obligations of the Company’s Board of Directors to administer and make determinations with respect to the Rights Agreement and the rights issued thereunder. The Rights Agreement otherwise remains unmodified and in full force and effect in accordance with its terms.</w:t>
      </w:r>
    </w:p>
    <w:p>
      <w:pPr>
        <w:spacing w:after="0" w:line="176" w:lineRule="exact"/>
        <w:rPr>
          <w:sz w:val="20"/>
          <w:szCs w:val="20"/>
          <w:color w:val="auto"/>
        </w:rPr>
      </w:pPr>
    </w:p>
    <w:p>
      <w:pPr>
        <w:ind w:right="8220" w:firstLine="8"/>
        <w:spacing w:after="0" w:line="503" w:lineRule="auto"/>
        <w:tabs>
          <w:tab w:leader="none" w:pos="1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Equity Plans</w:t>
      </w:r>
    </w:p>
    <w:p>
      <w:pPr>
        <w:jc w:val="both"/>
        <w:spacing w:after="0" w:line="261" w:lineRule="auto"/>
        <w:rPr>
          <w:sz w:val="20"/>
          <w:szCs w:val="20"/>
          <w:color w:val="auto"/>
        </w:rPr>
      </w:pPr>
      <w:r>
        <w:rPr>
          <w:rFonts w:ascii="Times New Roman" w:cs="Times New Roman" w:eastAsia="Times New Roman" w:hAnsi="Times New Roman"/>
          <w:sz w:val="18"/>
          <w:szCs w:val="18"/>
          <w:color w:val="auto"/>
        </w:rPr>
        <w:t>In 2011, Private Tempest adopted the 2011 Equity Incentive Plan (the “2011 Plan), and in 2017, Private Tempest adopted the 2017 Equity Incentive Plan (the “2017 Plan”), and together with the 2011 Plan, the “Tempest Prior Plans.” The Tempest Prior Plans have been terminated and no additional grants may be made under either plan. All stock awards granted under the Tempest Prior Plans will remain subject to the terms of the applicable prior plan. As a result of the merger with Millendo, the Tempest Prior Plans were assumed by the Company.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0" w:name="page111"/>
    <w:bookmarkEnd w:id="110"/>
    <w:p>
      <w:pPr>
        <w:jc w:val="both"/>
        <w:spacing w:after="0" w:line="261" w:lineRule="auto"/>
        <w:rPr>
          <w:sz w:val="20"/>
          <w:szCs w:val="20"/>
          <w:color w:val="auto"/>
        </w:rPr>
      </w:pPr>
      <w:r>
        <w:rPr>
          <w:rFonts w:ascii="Times New Roman" w:cs="Times New Roman" w:eastAsia="Times New Roman" w:hAnsi="Times New Roman"/>
          <w:sz w:val="18"/>
          <w:szCs w:val="18"/>
          <w:color w:val="auto"/>
        </w:rPr>
        <w:t>On April 29, 2019, the Board of Millendo adopted the 2019 Equity Incentive Plan (the “2019 Plan”), subject to approval by the Company’s stockholders, and became effective with such stockholder approval on June 11, 2019. On June 17, 2022, the Company’s stockholders approved the Amended and Restated 2019 Equity Incentive Plan (the “A&amp;R 2019 Plan”), which amended and restated the 2019 Plan and was the successor to, and replacement of, the 2019 Plan.</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Board of Tempest adopted the Amended and Restated 2023 Equity Incentive Plan (the “2023 Plan”) on April 30, 2023, subject to approval by the Company’s stockholders. On June 15, 2023, the Company’s stockholders approved the 2023 Plan, which amended and restated the A&amp;R 2019 Plan and will be a successor to, and replacement of, the A&amp;R 2019 Plan. The number of shares of the Company's common stock reserved for issuance under the 2023 Plan will automatically increase on January 1st of each year, for a period of 10 years, from January 1, 2024 continuing through January 1, 2033, by 4% of the total number of shares of the Company's common stock outstanding on December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of the preceding calendar year, or a lesser number of shares as may be determined by the Board of Directors. Accordingly, on January 1, 2025, the common stock reserved for issuance was increased by 1,758,864 shares. As of December 31, 2024, there were 508,017 shares available for future grant under the 2023 Plan.</w:t>
      </w:r>
    </w:p>
    <w:p>
      <w:pPr>
        <w:spacing w:after="0" w:line="1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2023 Plan allows the Company to grant stock awards to employees, directors and consultants of the Company, including incentive stock options (“ISOs”), non-qualified stock options (“NSOs”), stock appreciation rights, restricted stock awards, restricted stock unit awards and other stock awards.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Tempest adopted the 2023 Inducement Plan (“2023 Inducement Plan”) on June 21, 2023, pursuant to which the Company reserved 1,150,000 shares of its common stock to be used exclusively for grants of awards to individuals who were not previously employees or directors of the Company, as an inducement material to the individual’s entry into employment with the Company within the meaning of Rule 5635(c)(4) of the Nasdaq Listing Rules. The 2023 Inducement Plan was approved by the Company’s Board of Directors without stockholder approval in accordance with such rule. As of December 31, 2024, there were 924,000 shares available for future grant under the 2023 Inducement Plan.</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measures employee and non-employee stock-based awards at grant date fair value and records compensation expense on a straight-line basis over the vesting period of the award.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Ownership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Millendo adopted the 2019 Employee Stock Purchase Plan on April 29, 2019, which became effective upon stockholder approval on June 11, 2019. On June 17, 2022, the Company’s stockholders approved the Amended and Restated 2019 Employee Stock Purchase Plan (the “2019 ESPP”). The 2019 ESPP enables employees to purchase shares of the Company's common stock through offerings of rights to purchase the Company's common stock to all eligible employees.</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2019 ESPP provides that the number of shares of common stock reserved for issuance under the 2019 ESPP will automatically increase on January 1, 2023 and continuing through (and including) January 1, 2029, by the lesser of 1.5% of the total number of shares of Common Stock outstanding on December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of the preceding calendar year, (ii) 500,000 shares of Common Stock, or (iii) such lesser number of shares of Common Stock as determined by the Board of Directors (which may be zero). On January 1, 2025, the common stock reserved for issuance was increased by 500,000 shares.</w:t>
      </w:r>
    </w:p>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469,337 shares of common stock remained available for future issuance under the 2019 ESPP. During the year ended December 31, 2024, 93,477 shares of common stock had been issued under the 2019 ESPP.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to purchase the Company’s common stock may be granted at a price not less than the fair market value in the case of both NSOs and ISOs, except for an options holder who owns more than 10% of the voting power of all classes of stock of the Company, in which case the exercise price shall be no less than 110% of the fair market value per share on the grant date. Stock</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1" w:name="page112"/>
    <w:bookmarkEnd w:id="11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options granted under the Plans generally vest over four years and expire no later than ten (10) years from the date of grant. Vested options can be exercised at any time.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merger with Millendo, the grant date fair market value of the shares of common stock underlying stock options was determined by the Company’s Board of Directors. Up until the merger, there had been no public market for the Company’s common stock, and therefore the Board of Directors exercised reasonable judgment and considered a number of objective and subjective factors to determine the best estimate of the fair market value, which included valuations performed by an independent third-party, important developments in the Company’s operations, sales of convertible preferred stock, actual operating results, financial performance, the conditions in the life sciences industry, the economy in general, the stock price performance and volatility of comparable public companies, and the lack of liquidity of the Company’s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shows the stock option activities for the years ended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2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Total Options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5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0"/>
                <w:szCs w:val="20"/>
                <w:color w:val="auto"/>
              </w:rPr>
            </w:pPr>
          </w:p>
        </w:tc>
        <w:tc>
          <w:tcPr>
            <w:tcW w:w="13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0"/>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Balance—December 31, 2022</w:t>
            </w: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1,553,041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2,308,800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(713 )</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 and forfeited</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(307,016 )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8"/>
                <w:szCs w:val="18"/>
                <w:color w:val="auto"/>
              </w:rPr>
            </w:pPr>
          </w:p>
        </w:tc>
      </w:tr>
      <w:tr>
        <w:trPr>
          <w:trHeight w:val="20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3,554,112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897,125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(81,699 )</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 and forfeited</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(208,376 )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8"/>
                <w:szCs w:val="18"/>
                <w:color w:val="auto"/>
              </w:rPr>
            </w:pPr>
          </w:p>
        </w:tc>
      </w:tr>
      <w:tr>
        <w:trPr>
          <w:trHeight w:val="249"/>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Balance—December 31, 2024</w:t>
            </w:r>
          </w:p>
        </w:tc>
        <w:tc>
          <w:tcPr>
            <w:tcW w:w="1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4,161,162</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8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December 31, 2024:</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780" w:type="dxa"/>
            <w:vAlign w:val="bottom"/>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240" w:type="dxa"/>
            <w:vAlign w:val="bottom"/>
          </w:tcPr>
          <w:p>
            <w:pPr>
              <w:spacing w:after="0"/>
              <w:rPr>
                <w:sz w:val="20"/>
                <w:szCs w:val="20"/>
                <w:color w:val="auto"/>
              </w:rPr>
            </w:pPr>
          </w:p>
        </w:tc>
        <w:tc>
          <w:tcPr>
            <w:tcW w:w="11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r>
      <w:tr>
        <w:trPr>
          <w:trHeight w:val="210"/>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4,161,162</w:t>
            </w:r>
          </w:p>
        </w:tc>
        <w:tc>
          <w:tcPr>
            <w:tcW w:w="1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3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4,161,162</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1,772,011</w:t>
            </w:r>
          </w:p>
        </w:tc>
        <w:tc>
          <w:tcPr>
            <w:tcW w:w="1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3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-1542415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-1525270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granted employees and non-employees stock options to purchase 897,125 and 2,308,800 shares of common stock with a weighted-average grant date fair value of $3.33 and $6.05 per share, respectively. As of December 31, 2024 and 2023, total unrecognized compensation costs related to unvested employee stock options were $12,352 and $14,703, respectively. These costs are expected to be recognized over a weighted-average period of approximately 2.6 years and 3.5 years,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stock options using the Black-Scholes option pricing valuation model. The fair value of employee stock options is being amortized on the straight-line basis over the requisite service period of the awards. The fair value of employee stock options was estimated using the following assumptions for the years ended December 31, 2024 and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20"/>
                <w:szCs w:val="20"/>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r>
      <w:tr>
        <w:trPr>
          <w:trHeight w:val="210"/>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5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5.5 - 6.1</w:t>
            </w:r>
          </w:p>
        </w:tc>
        <w:tc>
          <w:tcPr>
            <w:tcW w:w="3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5.5 - 6.1</w:t>
            </w:r>
          </w:p>
        </w:tc>
        <w:tc>
          <w:tcPr>
            <w:tcW w:w="220" w:type="dxa"/>
            <w:vAlign w:val="bottom"/>
            <w:shd w:val="clear" w:color="auto" w:fill="CFF0FC"/>
          </w:tcPr>
          <w:p>
            <w:pPr>
              <w:spacing w:after="0"/>
              <w:rPr>
                <w:sz w:val="18"/>
                <w:szCs w:val="18"/>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 - 124%</w:t>
            </w:r>
          </w:p>
        </w:tc>
        <w:tc>
          <w:tcPr>
            <w:tcW w:w="3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- 111%</w:t>
            </w:r>
          </w:p>
        </w:tc>
        <w:tc>
          <w:tcPr>
            <w:tcW w:w="220" w:type="dxa"/>
            <w:vAlign w:val="bottom"/>
          </w:tcPr>
          <w:p>
            <w:pPr>
              <w:spacing w:after="0"/>
              <w:rPr>
                <w:sz w:val="18"/>
                <w:szCs w:val="18"/>
                <w:color w:val="auto"/>
              </w:rPr>
            </w:pPr>
          </w:p>
        </w:tc>
      </w:tr>
      <w:tr>
        <w:trPr>
          <w:trHeight w:val="216"/>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- 4.7%</w:t>
            </w:r>
          </w:p>
        </w:tc>
        <w:tc>
          <w:tcPr>
            <w:tcW w:w="3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- 4.5%</w:t>
            </w:r>
          </w:p>
        </w:tc>
        <w:tc>
          <w:tcPr>
            <w:tcW w:w="220" w:type="dxa"/>
            <w:vAlign w:val="bottom"/>
            <w:shd w:val="clear" w:color="auto" w:fill="CFF0FC"/>
          </w:tcPr>
          <w:p>
            <w:pPr>
              <w:spacing w:after="0"/>
              <w:rPr>
                <w:sz w:val="18"/>
                <w:szCs w:val="18"/>
                <w:color w:val="auto"/>
              </w:rPr>
            </w:pPr>
          </w:p>
        </w:tc>
      </w:tr>
      <w:tr>
        <w:trPr>
          <w:trHeight w:val="23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3840" w:type="dxa"/>
            <w:vAlign w:val="bottom"/>
          </w:tcPr>
          <w:p>
            <w:pPr>
              <w:spacing w:after="0"/>
              <w:rPr>
                <w:sz w:val="20"/>
                <w:szCs w:val="20"/>
                <w:color w:val="auto"/>
              </w:rPr>
            </w:pPr>
          </w:p>
        </w:tc>
        <w:tc>
          <w:tcPr>
            <w:tcW w:w="19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 %</w:t>
            </w:r>
          </w:p>
        </w:tc>
      </w:tr>
      <w:tr>
        <w:trPr>
          <w:trHeight w:val="522"/>
        </w:trPr>
        <w:tc>
          <w:tcPr>
            <w:tcW w:w="3640" w:type="dxa"/>
            <w:vAlign w:val="bottom"/>
          </w:tcPr>
          <w:p>
            <w:pPr>
              <w:spacing w:after="0"/>
              <w:rPr>
                <w:sz w:val="24"/>
                <w:szCs w:val="24"/>
                <w:color w:val="auto"/>
              </w:rPr>
            </w:pPr>
          </w:p>
        </w:tc>
        <w:tc>
          <w:tcPr>
            <w:tcW w:w="384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109</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763"/>
        </w:trPr>
        <w:tc>
          <w:tcPr>
            <w:tcW w:w="364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2" w:name="page113"/>
    <w:bookmarkEnd w:id="11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Expected Term</w:t>
      </w:r>
      <w:r>
        <w:rPr>
          <w:rFonts w:ascii="Times New Roman" w:cs="Times New Roman" w:eastAsia="Times New Roman" w:hAnsi="Times New Roman"/>
          <w:sz w:val="18"/>
          <w:szCs w:val="18"/>
          <w:color w:val="auto"/>
        </w:rPr>
        <w:t>—The expected term of options granted represents the period of time that the options are expected to be outstanding. Due to the lack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 exercise history, the expected term of the Company’s employee stock options has been determined utilizing the simplified method for awards that qualify as plain-vanilla options.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Expected Volatility</w:t>
      </w:r>
      <w:r>
        <w:rPr>
          <w:rFonts w:ascii="Times New Roman" w:cs="Times New Roman" w:eastAsia="Times New Roman" w:hAnsi="Times New Roman"/>
          <w:sz w:val="18"/>
          <w:szCs w:val="18"/>
          <w:color w:val="auto"/>
        </w:rPr>
        <w:t>—The expected stock price volatility assumption was determined by examining the historical volatilities for industry peers,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did not have any trading history for the Company’s common stock. The Company will continue to analyze the historical stock price volatility and expected term assumption as more historical data for the Company’s common stock becomes available.</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Risk-Free Interest Rate</w:t>
      </w:r>
      <w:r>
        <w:rPr>
          <w:rFonts w:ascii="Times New Roman" w:cs="Times New Roman" w:eastAsia="Times New Roman" w:hAnsi="Times New Roman"/>
          <w:sz w:val="18"/>
          <w:szCs w:val="18"/>
          <w:color w:val="auto"/>
        </w:rPr>
        <w:t>—The risk-free interest rate assumption is based on the U.S. Treasury instruments whose term was consistent with the expected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 of the Company’s stock options.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—The Company has not paid any cash dividends on common stock since inception and does not anticipate paying any dividends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foreseeable future. Consequently, an expected dividend yield of zero was used.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expense recognized in the Company’s consolidated statements of operations for the years ended December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2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shd w:val="clear" w:color="auto" w:fill="CCEEFF"/>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20" w:type="dxa"/>
            <w:vAlign w:val="bottom"/>
          </w:tcPr>
          <w:p>
            <w:pPr>
              <w:spacing w:after="0"/>
              <w:rPr>
                <w:sz w:val="18"/>
                <w:szCs w:val="18"/>
                <w:color w:val="auto"/>
              </w:rPr>
            </w:pPr>
          </w:p>
        </w:tc>
      </w:tr>
      <w:tr>
        <w:trPr>
          <w:trHeight w:val="249"/>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provision for income taxes for the years ended December 31, 2024 and 2023, because the Company has incurred losses since inception. At December 31, 2024 and 2023 the Company concluded it was not more likely than not that it would realize its deferred tax assets, and therefore has recorded a full valuation allowance.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income tax provision (benefit) related to continuing operations differ from the amounts computed by applying the statutory income tax rate of 21% to pre-tax loss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4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U.S. federal provision (benefit)</w:t>
            </w:r>
          </w:p>
        </w:tc>
        <w:tc>
          <w:tcPr>
            <w:tcW w:w="338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statutory rate</w:t>
            </w:r>
          </w:p>
        </w:tc>
        <w:tc>
          <w:tcPr>
            <w:tcW w:w="452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(8,786 )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(6,192 )</w:t>
            </w: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33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(2,958 )</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(2,492 )</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12,156</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3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(1,136 )</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(836 )</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3380" w:type="dxa"/>
            <w:vAlign w:val="bottom"/>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80" w:type="dxa"/>
            <w:vAlign w:val="bottom"/>
          </w:tcPr>
          <w:p>
            <w:pPr>
              <w:spacing w:after="0"/>
              <w:rPr>
                <w:sz w:val="18"/>
                <w:szCs w:val="18"/>
                <w:color w:val="auto"/>
              </w:rPr>
            </w:pP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380" w:type="dxa"/>
            <w:vAlign w:val="bottom"/>
            <w:vMerge w:val="restart"/>
          </w:tcPr>
          <w:p>
            <w:pPr>
              <w:jc w:val="right"/>
              <w:ind w:right="1470"/>
              <w:spacing w:after="0"/>
              <w:rPr>
                <w:sz w:val="20"/>
                <w:szCs w:val="20"/>
                <w:color w:val="auto"/>
              </w:rPr>
            </w:pPr>
            <w:r>
              <w:rPr>
                <w:rFonts w:ascii="Times New Roman" w:cs="Times New Roman" w:eastAsia="Times New Roman" w:hAnsi="Times New Roman"/>
                <w:sz w:val="18"/>
                <w:szCs w:val="18"/>
                <w:color w:val="auto"/>
              </w:rPr>
              <w:t>110</w:t>
            </w: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94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at December 31, 2024 and 2023 are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losses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143,896</w:t>
            </w:r>
          </w:p>
        </w:tc>
        <w:tc>
          <w:tcPr>
            <w:tcW w:w="3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136,901</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20,513</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19,240</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liability</w:t>
            </w: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R&amp;D</w:t>
            </w:r>
          </w:p>
        </w:tc>
        <w:tc>
          <w:tcPr>
            <w:tcW w:w="10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10,041</w:t>
            </w:r>
          </w:p>
        </w:tc>
        <w:tc>
          <w:tcPr>
            <w:tcW w:w="3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tcPr>
          <w:p>
            <w:pPr>
              <w:spacing w:after="0"/>
              <w:rPr>
                <w:sz w:val="18"/>
                <w:szCs w:val="18"/>
                <w:color w:val="auto"/>
              </w:rPr>
            </w:pPr>
          </w:p>
        </w:tc>
      </w:tr>
      <w:tr>
        <w:trPr>
          <w:trHeight w:val="209"/>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179,336</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167,613</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(176,799 )</w:t>
            </w:r>
          </w:p>
        </w:tc>
        <w:tc>
          <w:tcPr>
            <w:tcW w:w="3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(164,643 )</w:t>
            </w:r>
          </w:p>
        </w:tc>
      </w:tr>
      <w:tr>
        <w:trPr>
          <w:trHeight w:val="210"/>
        </w:trPr>
        <w:tc>
          <w:tcPr>
            <w:tcW w:w="73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6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3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liability:</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10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(2,518 )</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(2,970 )</w:t>
            </w: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Fixed assets</w:t>
            </w:r>
          </w:p>
        </w:tc>
        <w:tc>
          <w:tcPr>
            <w:tcW w:w="10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(19 )</w:t>
            </w:r>
          </w:p>
        </w:tc>
        <w:tc>
          <w:tcPr>
            <w:tcW w:w="3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10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(2,537 )</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(2,970 )</w:t>
            </w:r>
          </w:p>
        </w:tc>
      </w:tr>
      <w:tr>
        <w:trPr>
          <w:trHeight w:val="209"/>
        </w:trPr>
        <w:tc>
          <w:tcPr>
            <w:tcW w:w="7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-736600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valuation allowance increased by $12.2 million from December 31, 2023 to December 31, 2024 due primarily to the generation of net operating losses and research and development credits.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net operating loss carryforwards for federal and state income tax purposes of approximately $502.2 million and $487.8 million, respectively. As of December 31, 2023, the Company had net operating loss carryforwards for federal and state income tax purposes of approximately $482.1 million and $457.8 million,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federal and state net operating loss carryforwards begin to expire in 2031 and 2024, respectively, if not utilized. Federal net operating losses of $281.1 million are not subject to expiration.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federal and state research and development carryforwards of approximately $14.1 million and $4.1 million, respectively. The Company also had $7.4 million of Orphan Drug Credit. As of December 31, 2023, the Company had federal and state research and development carryforwards of approximately $12.7 million and $4.0 million, respectively. The federal and state credits begin to expire in 2031 and 2029, respectively, if not utilized; $3.0 million of the state credits can be carried forward indefinitely.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Utilization of some of the federal and state net operating loss and credit carryforwards may be subject to annual limitations due to the “change in ownership” provisions of the Internal Revenue Code of 1986 and similar state provisions. The annual limitations may result in the expiration of net operating losses and credits before utilization. The Company has not performed a Section 382 study as of December 31, 2024. At least $455.8 thousand of legacy Millendo federal net operating losses are expected to expire unused due to prior ownership changes.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following activity relating to unrecognized tax benefits as of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80" w:type="dxa"/>
            <w:vAlign w:val="bottom"/>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7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 - tax position in current period</w:t>
            </w: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3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8"/>
                <w:szCs w:val="18"/>
                <w:color w:val="auto"/>
              </w:rPr>
            </w:pPr>
          </w:p>
        </w:tc>
      </w:tr>
      <w:tr>
        <w:trPr>
          <w:trHeight w:val="250"/>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80" w:type="dxa"/>
            <w:vAlign w:val="bottom"/>
            <w:tcBorders>
              <w:bottom w:val="single" w:sz="8" w:color="auto"/>
            </w:tcBorders>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5,239</w:t>
            </w:r>
          </w:p>
        </w:tc>
        <w:tc>
          <w:tcPr>
            <w:tcW w:w="3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and 2023, none of the unrecognized tax benefits would impact the Company's effective tax rate due to the valuation allowance. The Company does not anticipate the uncertain tax positions will materially change in the next 12 months. The Company's practice is to recognize interest and/or penalties related to income tax matters in income tax expense. The Company had no accrual for interest and penalties on the accompanying balance sheet as of December 31, 2024 and 2023,</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4" w:name="page115"/>
    <w:bookmarkEnd w:id="11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respectively, and has not recognized penalties and/or interest in the accompanying statements of operations for the years ended December 31, 2024 and 2023,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the United States, California, Massachusetts, and Michigan. The Company's tax years from inception are subject to examination by the IRS and state tax authorities due to the carryforward of unutilized net operating losses and research and development credits.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RETIREMENT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participates in a qualified 401(k) Plan sponsored by its professional service organization. The retirement plan is a defined contribution plan covering eligible employees. Participants may contribute a portion of their annual compensation limited to a maximum annual amount set by the Internal Revenue Service. During the year ended December 31, 2024, the Company contributed $161 to the 401(k) Plan. During the year ended December 31, 2023, the Company contributed $147 to the 401(k)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for the years ended December 31, 2024 and 2023 (in thousands, except share and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Borders>
              <w:bottom w:val="single" w:sz="8" w:color="CCEEFF"/>
            </w:tcBorders>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(41,843 )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(29,491 )</w:t>
            </w: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27,901,739</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15,416,203</w:t>
            </w:r>
          </w:p>
        </w:tc>
        <w:tc>
          <w:tcPr>
            <w:tcW w:w="100" w:type="dxa"/>
            <w:vAlign w:val="bottom"/>
          </w:tcPr>
          <w:p>
            <w:pPr>
              <w:spacing w:after="0"/>
              <w:rPr>
                <w:sz w:val="18"/>
                <w:szCs w:val="18"/>
                <w:color w:val="auto"/>
              </w:rPr>
            </w:pPr>
          </w:p>
        </w:tc>
      </w:tr>
      <w:tr>
        <w:trPr>
          <w:trHeight w:val="249"/>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basic and diluted net loss per share</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27,901,739</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15,416,203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stockholders—basic and diluted</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(1.50 )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(1.91 )</w:t>
            </w: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-325120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-307975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and 2023, the Company’s potentially dilutive securities included unvested stock warrants and stock options, which have been excluded from the computation of diluted net loss per share attributable to common stockholders as the effect would be anti-dilutive. The issuance of pre-funded warrants and vested RSUs have been included in the computation of basic and diluted net loss per share attributable to common stockholders. Based on the amounts outstanding as of December 31, 2024 and 2023, the Company excluded the following potential common shares from the computation of diluted net loss per share attributable to common stockholders because including them would have had an anti-dilutive effect: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Borders>
              <w:bottom w:val="single" w:sz="8" w:color="CCEEFF"/>
            </w:tcBorders>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4,161,162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3,554,112</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4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24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4,167,198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3,685,148</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which is the business of discovery and development of small molecule drugs to treat cancers. The Company’s chief operating decision maker (“CODM”) is its Chief Executive Officer. The determination of a single business segment is consistent with the consolidated financial information regularly reviewed by the CODM for purposes of assessing performance, allocating resources and planning and forecasting future periods.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Company has not generated revenue, the CODM assesses Company performance through the achievement of research goals towards advancing the Company’s product candidates through stages of development. As such, the CODM is regularly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5" w:name="page116"/>
    <w:bookmarkEnd w:id="115"/>
    <w:p>
      <w:pPr>
        <w:jc w:val="both"/>
        <w:spacing w:after="0" w:line="282" w:lineRule="auto"/>
        <w:rPr>
          <w:sz w:val="20"/>
          <w:szCs w:val="20"/>
          <w:color w:val="auto"/>
        </w:rPr>
      </w:pPr>
      <w:r>
        <w:rPr>
          <w:rFonts w:ascii="Times New Roman" w:cs="Times New Roman" w:eastAsia="Times New Roman" w:hAnsi="Times New Roman"/>
          <w:sz w:val="18"/>
          <w:szCs w:val="18"/>
          <w:color w:val="auto"/>
        </w:rPr>
        <w:t>provided with budgeted and forecasted expense information as well as the Company’s Consolidated Financial Statements which is used to determine the Company’s liquidity needs and pipeline resource allocation.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CODM regularly reviews and evaluates research and development expenses and uses consolidated net loss, as reported on the Company’s Consolidated Statements of Operations, to assess the performance of the segment and to allocate resources. The consolidated net loss and significant segment expenses reviewed by the CODM are reported on the Company’s Consolidated Statements of Operations for the years ended December 31, 2024 and 2023. The measure of segment assets is reported on the Consolidated Balance Sheet as total assets. The CODM monitors the Company's cash and cash equivalents as reported on the Consolidated Balance Sheets.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financial information required for segment reporting that is provided to the chief operating decision maker is contained within the financial statements and notes to financial statements.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the reports that we file or submit under the Exchange Act is recorded, processed, summarized and reported within the time periods specified in the SEC’s rules and forms and accumulated and communicated to our management, including our principal executive and principal financial officers, or persons performing similar functions, as appropriate to allow timely decisions regarding required disclosure.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&amp; Head of Corporate Strategy (principal financial officer), evaluated the effectiveness of our disclosure controls and procedures (as defined in the Securities Exchange Act of 1934 Rules 13a-15(e) or 15d-15(e)) as required by paragraph (b) of Exchange Act Rules 13a-15 or 15d-15, as of December 31, 2024. Based on the evaluation of our disclosure controls and procedures as of December 31, 2024, our Chief Executive Officer and Chief Financial Officer &amp; Head of Corporate Strategy concluded that, as of such date, our disclosure controls and procedures were effective.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w:t>
      </w:r>
    </w:p>
    <w:p>
      <w:pPr>
        <w:spacing w:after="0" w:line="27" w:lineRule="exact"/>
        <w:rPr>
          <w:sz w:val="20"/>
          <w:szCs w:val="20"/>
          <w:color w:val="auto"/>
        </w:rPr>
      </w:pPr>
    </w:p>
    <w:p>
      <w:pPr>
        <w:jc w:val="both"/>
        <w:ind w:firstLine="8"/>
        <w:spacing w:after="0" w:line="253" w:lineRule="auto"/>
        <w:tabs>
          <w:tab w:leader="none" w:pos="24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Exchange Act). Internal control over financial reporting is a process designed to provide reasonable assurance regarding the reliability of financial reporting and the preparation of financial statements for external reporting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2024. In making this assessment, management used the criteria set forth by the Committee of Sponsoring organizations of the Treadway Commission (COSO) in Internal Control – Integrated Framework (2013). Based on that assessment, our management concluded that, as of December 31, 2024, our internal control over financial reporting was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and therefore our independent registered public accounting firm has not issued a report on the effectiveness of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during the quarter ended December 31, 2024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no director or officer of the Company adopted or terminated a “Rule 10b5-1 trading arrangement” or “non-Rule 10b5-1 trading arrangement,” as each term is defined in Item 408(a) of Regulation S-K.</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7" w:right="1440"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report because we will file with the SEC a definitive proxy statement pursuant to Regulation 14A, (the “2025 Proxy Statement”), no later than 120 days after the end of our fiscal year, and certain information included therein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2025 Proxy Statement, under the captions “Information Regarding Director Nominees and Continuing Directors,” “Information Regarding the Board of Directors and Corporate Governance,” “Executive Officers” and “Delinquent Section 16(a) Reports,” if applicable, and is incorporated in this report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adopted a Code of Business Conduct that applies to all officers, directors and employees. If we ever were to amend or waive any provision of our Code of Conduct that applies to our principal executive officer, principal financial officer, principal accounting officer or any person performing similar functions, we intend to promptly disclose on our website (i) the date and nature of any amendment (other than technical, administrative or other non-substantive amendments) to the Code of Conduct that relates to any element of the code of ethics definition enumerated in Item 406(b) of Regulation S-K and (ii) the nature of any waiver, including an implicit waiver, from a provision of the Code of Conduct that is granted to one of these specified individuals that relates to one or more of the elements of the code of ethics definition enumerated in Item 406(b) of Regulation S-K, the name of such person who is granted the waiver and the date of the waiver. The full text of our Code of Conduct is available at the investors section of our website at www.tempesttx.com. The reference to our website address does not constitute incorporation by reference of the information contained at or available through our website, and you should not consider it to be a part of this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Information regarding our Executive Compensation required by this item will be contained in our 2025 Proxy Statement under the caption “Executive and Director Compensation,” and is hereby incorporated by reference.</w:t>
      </w:r>
    </w:p>
    <w:p>
      <w:pPr>
        <w:spacing w:after="0" w:line="15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regarding our Ownership of Securities required by this item will be contained in our 2025 Proxy Statement under the caption “Security Ownership of Certain Beneficial Owners and Management,” and is hereby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regarding our Equity Compensation Plan required by this item will be contained in our 2025 Proxy Statement under the caption “Equity Compensation Plan Information,” and is hereby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Information regarding Related Transactions and Director Independence required by this item will be contained in our 2025 Proxy Statement under the caption “Transactions with Related Persons and Indemnification,” and “Information Regarding the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t>Board of Directors and Corporate Governance – Independence of the Board of Directors,” and is hereby incorporated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Information regarding Accounting Fees and Services required by this item will be contained in our 2025 Proxy Statement in Proposal 3 under the captions “—Principal Accountant Fees and Services” and “—Pre-Approval Policies and Procedures,” and is hereby incorporated by reference.</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filed the following documents as part of this Annual Report: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(a)(1)</w:t>
        <w:tab/>
        <w:t>Financial Statements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financial statements are included in Item 8. “Financial Statements and Supplementary Data.”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(a)(2)</w:t>
        <w:tab/>
        <w:t>Financial Statement Schedules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All schedules are omitted as information required is inapplicable or the information is presented in the financial statements and the related notes.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(a)(3)</w:t>
        <w:tab/>
        <w:t>Exhibits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Filed or</w:t>
            </w:r>
          </w:p>
        </w:tc>
        <w:tc>
          <w:tcPr>
            <w:tcW w:w="0" w:type="dxa"/>
            <w:vAlign w:val="bottom"/>
          </w:tcPr>
          <w:p>
            <w:pPr>
              <w:spacing w:after="0"/>
              <w:rPr>
                <w:sz w:val="1"/>
                <w:szCs w:val="1"/>
                <w:color w:val="auto"/>
              </w:rPr>
            </w:pPr>
          </w:p>
        </w:tc>
      </w:tr>
      <w:tr>
        <w:trPr>
          <w:trHeight w:val="148"/>
        </w:trPr>
        <w:tc>
          <w:tcPr>
            <w:tcW w:w="10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80" w:type="dxa"/>
            <w:vAlign w:val="bottom"/>
            <w:gridSpan w:val="21"/>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5"/>
        </w:trPr>
        <w:tc>
          <w:tcPr>
            <w:tcW w:w="1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21"/>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5800" w:type="dxa"/>
            <w:vAlign w:val="bottom"/>
            <w:gridSpan w:val="28"/>
          </w:tcPr>
          <w:p>
            <w:pPr>
              <w:spacing w:after="0"/>
              <w:rPr>
                <w:rFonts w:ascii="Times New Roman" w:cs="Times New Roman" w:eastAsia="Times New Roman" w:hAnsi="Times New Roman"/>
                <w:sz w:val="14"/>
                <w:szCs w:val="14"/>
                <w:color w:val="0000FF"/>
              </w:rPr>
            </w:pPr>
            <w:hyperlink r:id="rId272">
              <w:r>
                <w:rPr>
                  <w:rFonts w:ascii="Times New Roman" w:cs="Times New Roman" w:eastAsia="Times New Roman" w:hAnsi="Times New Roman"/>
                  <w:sz w:val="14"/>
                  <w:szCs w:val="14"/>
                  <w:color w:val="0000FF"/>
                </w:rPr>
                <w:t>Agreement and Plan of Merger, dated as of March 29, 2021, by and among Tempest Therapeutics,</w:t>
              </w:r>
            </w:hyperlink>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10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3/29/2021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020" w:type="dxa"/>
            <w:vAlign w:val="bottom"/>
            <w:vMerge w:val="continue"/>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3280" w:type="dxa"/>
            <w:vAlign w:val="bottom"/>
            <w:tcBorders>
              <w:top w:val="single" w:sz="8" w:color="0000FF"/>
              <w:bottom w:val="single" w:sz="8" w:color="0000EE"/>
            </w:tcBorders>
            <w:gridSpan w:val="10"/>
          </w:tcPr>
          <w:p>
            <w:pPr>
              <w:spacing w:after="0" w:line="129" w:lineRule="exact"/>
              <w:rPr>
                <w:rFonts w:ascii="Times New Roman" w:cs="Times New Roman" w:eastAsia="Times New Roman" w:hAnsi="Times New Roman"/>
                <w:sz w:val="14"/>
                <w:szCs w:val="14"/>
                <w:color w:val="0000FF"/>
              </w:rPr>
            </w:pPr>
            <w:hyperlink r:id="rId272">
              <w:r>
                <w:rPr>
                  <w:rFonts w:ascii="Times New Roman" w:cs="Times New Roman" w:eastAsia="Times New Roman" w:hAnsi="Times New Roman"/>
                  <w:sz w:val="14"/>
                  <w:szCs w:val="14"/>
                  <w:color w:val="0000FF"/>
                </w:rPr>
                <w:t>Inc., Mars Merger Corp. and Tempest Therapeutics, Inc.</w:t>
              </w:r>
            </w:hyperlink>
          </w:p>
        </w:tc>
        <w:tc>
          <w:tcPr>
            <w:tcW w:w="2420" w:type="dxa"/>
            <w:vAlign w:val="bottom"/>
            <w:tcBorders>
              <w:top w:val="single" w:sz="8" w:color="0000FF"/>
            </w:tcBorders>
            <w:gridSpan w:val="1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5800" w:type="dxa"/>
            <w:vAlign w:val="bottom"/>
            <w:gridSpan w:val="28"/>
          </w:tcPr>
          <w:p>
            <w:pPr>
              <w:spacing w:after="0"/>
              <w:rPr>
                <w:rFonts w:ascii="Times New Roman" w:cs="Times New Roman" w:eastAsia="Times New Roman" w:hAnsi="Times New Roman"/>
                <w:sz w:val="14"/>
                <w:szCs w:val="14"/>
                <w:color w:val="0000FF"/>
              </w:rPr>
            </w:pPr>
            <w:hyperlink r:id="rId273">
              <w:r>
                <w:rPr>
                  <w:rFonts w:ascii="Times New Roman" w:cs="Times New Roman" w:eastAsia="Times New Roman" w:hAnsi="Times New Roman"/>
                  <w:sz w:val="14"/>
                  <w:szCs w:val="14"/>
                  <w:color w:val="0000FF"/>
                </w:rPr>
                <w:t>Restated Certificate of Incorporation of the Registrant, as amended</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5/15/2019</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5800" w:type="dxa"/>
            <w:vAlign w:val="bottom"/>
            <w:gridSpan w:val="28"/>
          </w:tcPr>
          <w:p>
            <w:pPr>
              <w:spacing w:after="0"/>
              <w:rPr>
                <w:rFonts w:ascii="Times New Roman" w:cs="Times New Roman" w:eastAsia="Times New Roman" w:hAnsi="Times New Roman"/>
                <w:sz w:val="14"/>
                <w:szCs w:val="14"/>
                <w:color w:val="0000FF"/>
              </w:rPr>
            </w:pPr>
            <w:hyperlink r:id="rId274">
              <w:r>
                <w:rPr>
                  <w:rFonts w:ascii="Times New Roman" w:cs="Times New Roman" w:eastAsia="Times New Roman" w:hAnsi="Times New Roman"/>
                  <w:sz w:val="14"/>
                  <w:szCs w:val="14"/>
                  <w:color w:val="0000FF"/>
                </w:rPr>
                <w:t>Certificate of Amendment to the Restated Certificate of Incorporation of the Company, as filed</w:t>
              </w:r>
            </w:hyperlink>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6/28/2021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0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5500" w:type="dxa"/>
            <w:vAlign w:val="bottom"/>
            <w:tcBorders>
              <w:top w:val="single" w:sz="8" w:color="0000FF"/>
            </w:tcBorders>
            <w:gridSpan w:val="19"/>
          </w:tcPr>
          <w:p>
            <w:pPr>
              <w:spacing w:after="0" w:line="129" w:lineRule="exact"/>
              <w:rPr>
                <w:rFonts w:ascii="Times New Roman" w:cs="Times New Roman" w:eastAsia="Times New Roman" w:hAnsi="Times New Roman"/>
                <w:sz w:val="14"/>
                <w:szCs w:val="14"/>
                <w:color w:val="0000FF"/>
              </w:rPr>
            </w:pPr>
            <w:hyperlink r:id="rId274">
              <w:r>
                <w:rPr>
                  <w:rFonts w:ascii="Times New Roman" w:cs="Times New Roman" w:eastAsia="Times New Roman" w:hAnsi="Times New Roman"/>
                  <w:sz w:val="14"/>
                  <w:szCs w:val="14"/>
                  <w:color w:val="0000FF"/>
                </w:rPr>
                <w:t>with the Secretary of State of the State of Delaware on June 24, 2021</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5800" w:type="dxa"/>
            <w:vAlign w:val="bottom"/>
            <w:gridSpan w:val="28"/>
          </w:tcPr>
          <w:p>
            <w:pPr>
              <w:spacing w:after="0"/>
              <w:rPr>
                <w:rFonts w:ascii="Times New Roman" w:cs="Times New Roman" w:eastAsia="Times New Roman" w:hAnsi="Times New Roman"/>
                <w:sz w:val="14"/>
                <w:szCs w:val="14"/>
                <w:color w:val="0000FF"/>
              </w:rPr>
            </w:pPr>
            <w:hyperlink r:id="rId275">
              <w:r>
                <w:rPr>
                  <w:rFonts w:ascii="Times New Roman" w:cs="Times New Roman" w:eastAsia="Times New Roman" w:hAnsi="Times New Roman"/>
                  <w:sz w:val="14"/>
                  <w:szCs w:val="14"/>
                  <w:color w:val="0000FF"/>
                </w:rPr>
                <w:t>Certificate of Amendment to the Restated Certificate of Incorporation of the Company, as filed</w:t>
              </w:r>
            </w:hyperlink>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6/28/2021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0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5500" w:type="dxa"/>
            <w:vAlign w:val="bottom"/>
            <w:tcBorders>
              <w:top w:val="single" w:sz="8" w:color="0000FF"/>
            </w:tcBorders>
            <w:gridSpan w:val="19"/>
          </w:tcPr>
          <w:p>
            <w:pPr>
              <w:spacing w:after="0" w:line="129" w:lineRule="exact"/>
              <w:rPr>
                <w:rFonts w:ascii="Times New Roman" w:cs="Times New Roman" w:eastAsia="Times New Roman" w:hAnsi="Times New Roman"/>
                <w:sz w:val="14"/>
                <w:szCs w:val="14"/>
                <w:color w:val="0000FF"/>
              </w:rPr>
            </w:pPr>
            <w:hyperlink r:id="rId275">
              <w:r>
                <w:rPr>
                  <w:rFonts w:ascii="Times New Roman" w:cs="Times New Roman" w:eastAsia="Times New Roman" w:hAnsi="Times New Roman"/>
                  <w:sz w:val="14"/>
                  <w:szCs w:val="14"/>
                  <w:color w:val="0000FF"/>
                </w:rPr>
                <w:t>with the Secretary of State of the State of Delaware on June 25, 2021</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5800" w:type="dxa"/>
            <w:vAlign w:val="bottom"/>
            <w:gridSpan w:val="28"/>
          </w:tcPr>
          <w:p>
            <w:pPr>
              <w:spacing w:after="0"/>
              <w:rPr>
                <w:rFonts w:ascii="Times New Roman" w:cs="Times New Roman" w:eastAsia="Times New Roman" w:hAnsi="Times New Roman"/>
                <w:sz w:val="14"/>
                <w:szCs w:val="14"/>
                <w:color w:val="0000FF"/>
              </w:rPr>
            </w:pPr>
            <w:hyperlink r:id="rId276">
              <w:r>
                <w:rPr>
                  <w:rFonts w:ascii="Times New Roman" w:cs="Times New Roman" w:eastAsia="Times New Roman" w:hAnsi="Times New Roman"/>
                  <w:sz w:val="14"/>
                  <w:szCs w:val="14"/>
                  <w:color w:val="0000FF"/>
                </w:rPr>
                <w:t>Certificate of Designation of Series A Junior Participating Preferred Stock filed with the Secretary</w:t>
              </w:r>
            </w:hyperlink>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10/11/2023</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0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5680" w:type="dxa"/>
            <w:vAlign w:val="bottom"/>
            <w:tcBorders>
              <w:top w:val="single" w:sz="8" w:color="0000FF"/>
            </w:tcBorders>
            <w:gridSpan w:val="23"/>
          </w:tcPr>
          <w:p>
            <w:pPr>
              <w:spacing w:after="0" w:line="129" w:lineRule="exact"/>
              <w:rPr>
                <w:rFonts w:ascii="Times New Roman" w:cs="Times New Roman" w:eastAsia="Times New Roman" w:hAnsi="Times New Roman"/>
                <w:sz w:val="14"/>
                <w:szCs w:val="14"/>
                <w:color w:val="0000FF"/>
              </w:rPr>
            </w:pPr>
            <w:hyperlink r:id="rId276">
              <w:r>
                <w:rPr>
                  <w:rFonts w:ascii="Times New Roman" w:cs="Times New Roman" w:eastAsia="Times New Roman" w:hAnsi="Times New Roman"/>
                  <w:sz w:val="14"/>
                  <w:szCs w:val="14"/>
                  <w:color w:val="0000FF"/>
                </w:rPr>
                <w:t>of State of the State of Delaware on October 10, 2023</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5800" w:type="dxa"/>
            <w:vAlign w:val="bottom"/>
            <w:gridSpan w:val="28"/>
          </w:tcPr>
          <w:p>
            <w:pPr>
              <w:spacing w:after="0"/>
              <w:rPr>
                <w:rFonts w:ascii="Times New Roman" w:cs="Times New Roman" w:eastAsia="Times New Roman" w:hAnsi="Times New Roman"/>
                <w:sz w:val="14"/>
                <w:szCs w:val="14"/>
                <w:color w:val="0000FF"/>
              </w:rPr>
            </w:pPr>
            <w:hyperlink r:id="rId277">
              <w:r>
                <w:rPr>
                  <w:rFonts w:ascii="Times New Roman" w:cs="Times New Roman" w:eastAsia="Times New Roman" w:hAnsi="Times New Roman"/>
                  <w:sz w:val="14"/>
                  <w:szCs w:val="14"/>
                  <w:color w:val="0000FF"/>
                </w:rPr>
                <w:t>Amended and Restated Bylaws of the Registrant</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9/24/2021</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580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Description of Securities Registered Pursuant to Section 12 of the Securities Exchange Act of 1934</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580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Form of Tempest Therapeutics, Inc. Warrant to Purchase Stock</w:t>
            </w: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spacing w:after="0"/>
              <w:rPr>
                <w:sz w:val="19"/>
                <w:szCs w:val="19"/>
                <w:color w:val="auto"/>
              </w:rPr>
            </w:pPr>
          </w:p>
        </w:tc>
        <w:tc>
          <w:tcPr>
            <w:tcW w:w="5800" w:type="dxa"/>
            <w:vAlign w:val="bottom"/>
            <w:gridSpan w:val="28"/>
          </w:tcPr>
          <w:p>
            <w:pPr>
              <w:spacing w:after="0"/>
              <w:rPr>
                <w:rFonts w:ascii="Times New Roman" w:cs="Times New Roman" w:eastAsia="Times New Roman" w:hAnsi="Times New Roman"/>
                <w:sz w:val="14"/>
                <w:szCs w:val="14"/>
                <w:color w:val="0000FF"/>
              </w:rPr>
            </w:pPr>
            <w:hyperlink r:id="rId278">
              <w:r>
                <w:rPr>
                  <w:rFonts w:ascii="Times New Roman" w:cs="Times New Roman" w:eastAsia="Times New Roman" w:hAnsi="Times New Roman"/>
                  <w:sz w:val="14"/>
                  <w:szCs w:val="14"/>
                  <w:color w:val="0000FF"/>
                </w:rPr>
                <w:t>Rights Agreement, dated as of October 10, 2023, between Tempest Therapeutics, Inc. and</w:t>
              </w:r>
            </w:hyperlink>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0" w:type="dxa"/>
            <w:vAlign w:val="bottom"/>
            <w:tcBorders>
              <w:top w:val="single" w:sz="8" w:color="0000FF"/>
            </w:tcBorders>
            <w:gridSpan w:val="16"/>
          </w:tcPr>
          <w:p>
            <w:pPr>
              <w:spacing w:after="0" w:line="129" w:lineRule="exact"/>
              <w:rPr>
                <w:rFonts w:ascii="Times New Roman" w:cs="Times New Roman" w:eastAsia="Times New Roman" w:hAnsi="Times New Roman"/>
                <w:sz w:val="14"/>
                <w:szCs w:val="14"/>
                <w:color w:val="0000FF"/>
              </w:rPr>
            </w:pPr>
            <w:hyperlink r:id="rId278">
              <w:r>
                <w:rPr>
                  <w:rFonts w:ascii="Times New Roman" w:cs="Times New Roman" w:eastAsia="Times New Roman" w:hAnsi="Times New Roman"/>
                  <w:sz w:val="14"/>
                  <w:szCs w:val="14"/>
                  <w:color w:val="0000FF"/>
                </w:rPr>
                <w:t>Computershare Trust Company, N.A., which includes the form of Certificate of Designation</w:t>
              </w:r>
            </w:hyperlink>
          </w:p>
        </w:tc>
        <w:tc>
          <w:tcPr>
            <w:tcW w:w="580" w:type="dxa"/>
            <w:vAlign w:val="bottom"/>
            <w:gridSpan w:val="11"/>
          </w:tcPr>
          <w:p>
            <w:pPr>
              <w:ind w:left="140"/>
              <w:spacing w:after="0" w:line="129" w:lineRule="exact"/>
              <w:rPr>
                <w:rFonts w:ascii="Times New Roman" w:cs="Times New Roman" w:eastAsia="Times New Roman" w:hAnsi="Times New Roman"/>
                <w:sz w:val="14"/>
                <w:szCs w:val="14"/>
                <w:color w:val="0000FF"/>
              </w:rPr>
            </w:pPr>
            <w:hyperlink r:id="rId278">
              <w:r>
                <w:rPr>
                  <w:rFonts w:ascii="Times New Roman" w:cs="Times New Roman" w:eastAsia="Times New Roman" w:hAnsi="Times New Roman"/>
                  <w:sz w:val="14"/>
                  <w:szCs w:val="14"/>
                  <w:color w:val="0000FF"/>
                </w:rPr>
                <w:t>as</w:t>
              </w:r>
            </w:hyperlink>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1"/>
                <w:szCs w:val="11"/>
                <w:color w:val="auto"/>
              </w:rPr>
            </w:pPr>
          </w:p>
        </w:tc>
        <w:tc>
          <w:tcPr>
            <w:tcW w:w="5520" w:type="dxa"/>
            <w:vAlign w:val="bottom"/>
            <w:tcBorders>
              <w:top w:val="single" w:sz="8" w:color="0000FF"/>
            </w:tcBorders>
            <w:gridSpan w:val="20"/>
          </w:tcPr>
          <w:p>
            <w:pPr>
              <w:spacing w:after="0" w:line="129" w:lineRule="exact"/>
              <w:rPr>
                <w:rFonts w:ascii="Times New Roman" w:cs="Times New Roman" w:eastAsia="Times New Roman" w:hAnsi="Times New Roman"/>
                <w:sz w:val="14"/>
                <w:szCs w:val="14"/>
                <w:color w:val="0000FF"/>
              </w:rPr>
            </w:pPr>
            <w:hyperlink r:id="rId278">
              <w:r>
                <w:rPr>
                  <w:rFonts w:ascii="Times New Roman" w:cs="Times New Roman" w:eastAsia="Times New Roman" w:hAnsi="Times New Roman"/>
                  <w:sz w:val="14"/>
                  <w:szCs w:val="14"/>
                  <w:color w:val="0000FF"/>
                </w:rPr>
                <w:t>Exhibit A, the form of Right Certificate as Exhibit B and the Summary of Rights to Purchase</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4"/>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10/11/2023</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5380" w:type="dxa"/>
            <w:vAlign w:val="bottom"/>
            <w:tcBorders>
              <w:top w:val="single" w:sz="8" w:color="0000FF"/>
            </w:tcBorders>
            <w:gridSpan w:val="17"/>
          </w:tcPr>
          <w:p>
            <w:pPr>
              <w:spacing w:after="0" w:line="129" w:lineRule="exact"/>
              <w:rPr>
                <w:rFonts w:ascii="Times New Roman" w:cs="Times New Roman" w:eastAsia="Times New Roman" w:hAnsi="Times New Roman"/>
                <w:sz w:val="14"/>
                <w:szCs w:val="14"/>
                <w:color w:val="0000FF"/>
              </w:rPr>
            </w:pPr>
            <w:hyperlink r:id="rId278">
              <w:r>
                <w:rPr>
                  <w:rFonts w:ascii="Times New Roman" w:cs="Times New Roman" w:eastAsia="Times New Roman" w:hAnsi="Times New Roman"/>
                  <w:sz w:val="14"/>
                  <w:szCs w:val="14"/>
                  <w:color w:val="0000FF"/>
                </w:rPr>
                <w:t>Preferred Shares as Exhibit C</w:t>
              </w:r>
            </w:hyperlink>
          </w:p>
        </w:tc>
        <w:tc>
          <w:tcPr>
            <w:tcW w:w="60" w:type="dxa"/>
            <w:vAlign w:val="bottom"/>
          </w:tcPr>
          <w:p>
            <w:pPr>
              <w:spacing w:after="0"/>
              <w:rPr>
                <w:sz w:val="11"/>
                <w:szCs w:val="11"/>
                <w:color w:val="auto"/>
              </w:rPr>
            </w:pPr>
          </w:p>
        </w:tc>
        <w:tc>
          <w:tcPr>
            <w:tcW w:w="1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4"/>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spacing w:after="0"/>
              <w:rPr>
                <w:sz w:val="19"/>
                <w:szCs w:val="19"/>
                <w:color w:val="auto"/>
              </w:rPr>
            </w:pPr>
          </w:p>
        </w:tc>
        <w:tc>
          <w:tcPr>
            <w:tcW w:w="5800" w:type="dxa"/>
            <w:vAlign w:val="bottom"/>
            <w:gridSpan w:val="28"/>
          </w:tcPr>
          <w:p>
            <w:pPr>
              <w:spacing w:after="0"/>
              <w:rPr>
                <w:rFonts w:ascii="Times New Roman" w:cs="Times New Roman" w:eastAsia="Times New Roman" w:hAnsi="Times New Roman"/>
                <w:sz w:val="14"/>
                <w:szCs w:val="14"/>
                <w:color w:val="0000FF"/>
              </w:rPr>
            </w:pPr>
            <w:hyperlink r:id="rId279">
              <w:r>
                <w:rPr>
                  <w:rFonts w:ascii="Times New Roman" w:cs="Times New Roman" w:eastAsia="Times New Roman" w:hAnsi="Times New Roman"/>
                  <w:sz w:val="14"/>
                  <w:szCs w:val="14"/>
                  <w:color w:val="0000FF"/>
                </w:rPr>
                <w:t>Amendment No. 1, dated as of October 9, 2024, to Rights Agreement, dated as of October 10,</w:t>
              </w:r>
            </w:hyperlink>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right w:val="single" w:sz="8" w:color="0000FF"/>
            </w:tcBorders>
            <w:gridSpan w:val="4"/>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vMerge w:val="continue"/>
          </w:tcPr>
          <w:p>
            <w:pPr>
              <w:spacing w:after="0"/>
              <w:rPr>
                <w:sz w:val="11"/>
                <w:szCs w:val="11"/>
                <w:color w:val="auto"/>
              </w:rPr>
            </w:pPr>
          </w:p>
        </w:tc>
        <w:tc>
          <w:tcPr>
            <w:tcW w:w="5780" w:type="dxa"/>
            <w:vAlign w:val="bottom"/>
            <w:gridSpan w:val="27"/>
          </w:tcPr>
          <w:p>
            <w:pPr>
              <w:spacing w:after="0" w:line="129" w:lineRule="exact"/>
              <w:rPr>
                <w:rFonts w:ascii="Times New Roman" w:cs="Times New Roman" w:eastAsia="Times New Roman" w:hAnsi="Times New Roman"/>
                <w:sz w:val="14"/>
                <w:szCs w:val="14"/>
                <w:color w:val="0000FF"/>
              </w:rPr>
            </w:pPr>
            <w:hyperlink r:id="rId279">
              <w:r>
                <w:rPr>
                  <w:rFonts w:ascii="Times New Roman" w:cs="Times New Roman" w:eastAsia="Times New Roman" w:hAnsi="Times New Roman"/>
                  <w:sz w:val="14"/>
                  <w:szCs w:val="14"/>
                  <w:color w:val="0000FF"/>
                </w:rPr>
                <w:t>2023, by and between Tempest Therapeutics, Inc. and Computershare Trust Company, N.A., as</w:t>
              </w:r>
            </w:hyperlink>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10/10/2024</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5540" w:type="dxa"/>
            <w:vAlign w:val="bottom"/>
            <w:tcBorders>
              <w:top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279">
              <w:r>
                <w:rPr>
                  <w:rFonts w:ascii="Times New Roman" w:cs="Times New Roman" w:eastAsia="Times New Roman" w:hAnsi="Times New Roman"/>
                  <w:sz w:val="14"/>
                  <w:szCs w:val="14"/>
                  <w:color w:val="0000FF"/>
                </w:rPr>
                <w:t>rights agent</w:t>
              </w:r>
            </w:hyperlink>
          </w:p>
        </w:tc>
        <w:tc>
          <w:tcPr>
            <w:tcW w:w="20" w:type="dxa"/>
            <w:vAlign w:val="bottom"/>
          </w:tcPr>
          <w:p>
            <w:pPr>
              <w:spacing w:after="0"/>
              <w:rPr>
                <w:sz w:val="11"/>
                <w:szCs w:val="11"/>
                <w:color w:val="auto"/>
              </w:rPr>
            </w:pPr>
          </w:p>
        </w:tc>
        <w:tc>
          <w:tcPr>
            <w:tcW w:w="180" w:type="dxa"/>
            <w:vAlign w:val="bottom"/>
            <w:gridSpan w:val="4"/>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spacing w:after="0"/>
              <w:rPr>
                <w:sz w:val="19"/>
                <w:szCs w:val="19"/>
                <w:color w:val="auto"/>
              </w:rPr>
            </w:pPr>
          </w:p>
        </w:tc>
        <w:tc>
          <w:tcPr>
            <w:tcW w:w="5800" w:type="dxa"/>
            <w:vAlign w:val="bottom"/>
            <w:gridSpan w:val="28"/>
          </w:tcPr>
          <w:p>
            <w:pPr>
              <w:spacing w:after="0"/>
              <w:rPr>
                <w:rFonts w:ascii="Times New Roman" w:cs="Times New Roman" w:eastAsia="Times New Roman" w:hAnsi="Times New Roman"/>
                <w:sz w:val="14"/>
                <w:szCs w:val="14"/>
                <w:color w:val="0000FF"/>
              </w:rPr>
            </w:pPr>
            <w:hyperlink r:id="rId280">
              <w:r>
                <w:rPr>
                  <w:rFonts w:ascii="Times New Roman" w:cs="Times New Roman" w:eastAsia="Times New Roman" w:hAnsi="Times New Roman"/>
                  <w:sz w:val="14"/>
                  <w:szCs w:val="14"/>
                  <w:color w:val="0000FF"/>
                </w:rPr>
                <w:t>Amendment No. 2, dated as of December 5, 2024, to Rights Agreement, dated as of October 10,</w:t>
              </w:r>
            </w:hyperlink>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right w:val="single" w:sz="8" w:color="0000FF"/>
            </w:tcBorders>
            <w:gridSpan w:val="4"/>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vMerge w:val="continue"/>
          </w:tcPr>
          <w:p>
            <w:pPr>
              <w:spacing w:after="0"/>
              <w:rPr>
                <w:sz w:val="11"/>
                <w:szCs w:val="11"/>
                <w:color w:val="auto"/>
              </w:rPr>
            </w:pPr>
          </w:p>
        </w:tc>
        <w:tc>
          <w:tcPr>
            <w:tcW w:w="5780" w:type="dxa"/>
            <w:vAlign w:val="bottom"/>
            <w:gridSpan w:val="27"/>
          </w:tcPr>
          <w:p>
            <w:pPr>
              <w:spacing w:after="0" w:line="129" w:lineRule="exact"/>
              <w:rPr>
                <w:rFonts w:ascii="Times New Roman" w:cs="Times New Roman" w:eastAsia="Times New Roman" w:hAnsi="Times New Roman"/>
                <w:sz w:val="14"/>
                <w:szCs w:val="14"/>
                <w:color w:val="0000FF"/>
              </w:rPr>
            </w:pPr>
            <w:hyperlink r:id="rId280">
              <w:r>
                <w:rPr>
                  <w:rFonts w:ascii="Times New Roman" w:cs="Times New Roman" w:eastAsia="Times New Roman" w:hAnsi="Times New Roman"/>
                  <w:sz w:val="14"/>
                  <w:szCs w:val="14"/>
                  <w:color w:val="0000FF"/>
                </w:rPr>
                <w:t>2023, as amended, by and between Tempest Therapeutics, Inc. and Computershare Trust Company,</w:t>
              </w:r>
            </w:hyperlink>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12/06/2024</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5740" w:type="dxa"/>
            <w:vAlign w:val="bottom"/>
            <w:tcBorders>
              <w:top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280">
              <w:r>
                <w:rPr>
                  <w:rFonts w:ascii="Times New Roman" w:cs="Times New Roman" w:eastAsia="Times New Roman" w:hAnsi="Times New Roman"/>
                  <w:sz w:val="14"/>
                  <w:szCs w:val="14"/>
                  <w:color w:val="0000FF"/>
                </w:rPr>
                <w:t>N.A., as rights agent.</w:t>
              </w:r>
            </w:hyperlink>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4"/>
              </w:rPr>
              <w:t>10.1</w:t>
            </w:r>
            <w:r>
              <w:rPr>
                <w:rFonts w:ascii="Times New Roman" w:cs="Times New Roman" w:eastAsia="Times New Roman" w:hAnsi="Times New Roman"/>
                <w:sz w:val="19"/>
                <w:szCs w:val="19"/>
                <w:color w:val="auto"/>
                <w:w w:val="94"/>
                <w:vertAlign w:val="superscript"/>
              </w:rPr>
              <w:t>+</w:t>
            </w: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vMerge w:val="continue"/>
          </w:tcPr>
          <w:p>
            <w:pPr>
              <w:spacing w:after="0"/>
              <w:rPr>
                <w:sz w:val="19"/>
                <w:szCs w:val="19"/>
                <w:color w:val="auto"/>
              </w:rPr>
            </w:pPr>
          </w:p>
        </w:tc>
        <w:tc>
          <w:tcPr>
            <w:tcW w:w="5800" w:type="dxa"/>
            <w:vAlign w:val="bottom"/>
            <w:gridSpan w:val="28"/>
          </w:tcPr>
          <w:p>
            <w:pPr>
              <w:spacing w:after="0"/>
              <w:rPr>
                <w:rFonts w:ascii="Times New Roman" w:cs="Times New Roman" w:eastAsia="Times New Roman" w:hAnsi="Times New Roman"/>
                <w:sz w:val="14"/>
                <w:szCs w:val="14"/>
                <w:color w:val="0000FF"/>
              </w:rPr>
            </w:pPr>
            <w:hyperlink r:id="rId281">
              <w:r>
                <w:rPr>
                  <w:rFonts w:ascii="Times New Roman" w:cs="Times New Roman" w:eastAsia="Times New Roman" w:hAnsi="Times New Roman"/>
                  <w:sz w:val="14"/>
                  <w:szCs w:val="14"/>
                  <w:color w:val="0000FF"/>
                </w:rPr>
                <w:t>2011 Equity Incentive Plan</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S-8</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333-257727</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7/7/2021</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4"/>
              </w:rPr>
              <w:t>10.2</w:t>
            </w:r>
            <w:r>
              <w:rPr>
                <w:rFonts w:ascii="Times New Roman" w:cs="Times New Roman" w:eastAsia="Times New Roman" w:hAnsi="Times New Roman"/>
                <w:sz w:val="19"/>
                <w:szCs w:val="19"/>
                <w:color w:val="auto"/>
                <w:w w:val="94"/>
                <w:vertAlign w:val="superscript"/>
              </w:rPr>
              <w:t>+</w:t>
            </w: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vMerge w:val="continue"/>
          </w:tcPr>
          <w:p>
            <w:pPr>
              <w:spacing w:after="0"/>
              <w:rPr>
                <w:sz w:val="19"/>
                <w:szCs w:val="19"/>
                <w:color w:val="auto"/>
              </w:rPr>
            </w:pPr>
          </w:p>
        </w:tc>
        <w:tc>
          <w:tcPr>
            <w:tcW w:w="5800" w:type="dxa"/>
            <w:vAlign w:val="bottom"/>
            <w:gridSpan w:val="28"/>
          </w:tcPr>
          <w:p>
            <w:pPr>
              <w:spacing w:after="0"/>
              <w:rPr>
                <w:rFonts w:ascii="Times New Roman" w:cs="Times New Roman" w:eastAsia="Times New Roman" w:hAnsi="Times New Roman"/>
                <w:sz w:val="14"/>
                <w:szCs w:val="14"/>
                <w:color w:val="0000FF"/>
              </w:rPr>
            </w:pPr>
            <w:hyperlink r:id="rId282">
              <w:r>
                <w:rPr>
                  <w:rFonts w:ascii="Times New Roman" w:cs="Times New Roman" w:eastAsia="Times New Roman" w:hAnsi="Times New Roman"/>
                  <w:sz w:val="14"/>
                  <w:szCs w:val="14"/>
                  <w:color w:val="0000FF"/>
                </w:rPr>
                <w:t>2017 Equity Incentive Plan</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S-8</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333-257727</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7/7/2021</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4"/>
              </w:rPr>
              <w:t>10.3</w:t>
            </w:r>
            <w:r>
              <w:rPr>
                <w:rFonts w:ascii="Times New Roman" w:cs="Times New Roman" w:eastAsia="Times New Roman" w:hAnsi="Times New Roman"/>
                <w:sz w:val="19"/>
                <w:szCs w:val="19"/>
                <w:color w:val="auto"/>
                <w:w w:val="94"/>
                <w:vertAlign w:val="superscript"/>
              </w:rPr>
              <w:t>+</w:t>
            </w: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vMerge w:val="continue"/>
          </w:tcPr>
          <w:p>
            <w:pPr>
              <w:spacing w:after="0"/>
              <w:rPr>
                <w:sz w:val="19"/>
                <w:szCs w:val="19"/>
                <w:color w:val="auto"/>
              </w:rPr>
            </w:pPr>
          </w:p>
        </w:tc>
        <w:tc>
          <w:tcPr>
            <w:tcW w:w="5800" w:type="dxa"/>
            <w:vAlign w:val="bottom"/>
            <w:gridSpan w:val="28"/>
          </w:tcPr>
          <w:p>
            <w:pPr>
              <w:spacing w:after="0"/>
              <w:rPr>
                <w:rFonts w:ascii="Times New Roman" w:cs="Times New Roman" w:eastAsia="Times New Roman" w:hAnsi="Times New Roman"/>
                <w:sz w:val="14"/>
                <w:szCs w:val="14"/>
                <w:color w:val="0000FF"/>
              </w:rPr>
            </w:pPr>
            <w:hyperlink r:id="rId283">
              <w:r>
                <w:rPr>
                  <w:rFonts w:ascii="Times New Roman" w:cs="Times New Roman" w:eastAsia="Times New Roman" w:hAnsi="Times New Roman"/>
                  <w:sz w:val="14"/>
                  <w:szCs w:val="14"/>
                  <w:color w:val="0000FF"/>
                </w:rPr>
                <w:t>Form of Stock Option Agreement under the 2017 Equity Incentive Plan</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3/29/2022</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10.13</w:t>
            </w:r>
            <w:r>
              <w:rPr>
                <w:rFonts w:ascii="Times New Roman" w:cs="Times New Roman" w:eastAsia="Times New Roman" w:hAnsi="Times New Roman"/>
                <w:sz w:val="19"/>
                <w:szCs w:val="19"/>
                <w:color w:val="auto"/>
                <w:w w:val="98"/>
                <w:vertAlign w:val="superscript"/>
              </w:rPr>
              <w:t>+</w:t>
            </w: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80" w:type="dxa"/>
            <w:vAlign w:val="bottom"/>
            <w:tcBorders>
              <w:right w:val="single" w:sz="8" w:color="0000FF"/>
            </w:tcBorders>
            <w:gridSpan w:val="5"/>
            <w:shd w:val="clear" w:color="auto" w:fill="0000FF"/>
          </w:tcPr>
          <w:p>
            <w:pPr>
              <w:spacing w:after="0" w:line="20" w:lineRule="exact"/>
              <w:rPr>
                <w:sz w:val="1"/>
                <w:szCs w:val="1"/>
                <w:color w:val="auto"/>
              </w:rPr>
            </w:pPr>
          </w:p>
        </w:tc>
        <w:tc>
          <w:tcPr>
            <w:tcW w:w="820" w:type="dxa"/>
            <w:vAlign w:val="bottom"/>
            <w:tcBorders>
              <w:right w:val="single" w:sz="8" w:color="0000FF"/>
            </w:tcBorders>
            <w:gridSpan w:val="4"/>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vMerge w:val="continue"/>
          </w:tcPr>
          <w:p>
            <w:pPr>
              <w:spacing w:after="0"/>
              <w:rPr>
                <w:sz w:val="19"/>
                <w:szCs w:val="19"/>
                <w:color w:val="auto"/>
              </w:rPr>
            </w:pPr>
          </w:p>
        </w:tc>
        <w:tc>
          <w:tcPr>
            <w:tcW w:w="5800" w:type="dxa"/>
            <w:vAlign w:val="bottom"/>
            <w:gridSpan w:val="28"/>
          </w:tcPr>
          <w:p>
            <w:pPr>
              <w:spacing w:after="0"/>
              <w:rPr>
                <w:rFonts w:ascii="Times New Roman" w:cs="Times New Roman" w:eastAsia="Times New Roman" w:hAnsi="Times New Roman"/>
                <w:sz w:val="14"/>
                <w:szCs w:val="14"/>
                <w:color w:val="0000FF"/>
              </w:rPr>
            </w:pPr>
            <w:hyperlink r:id="rId284">
              <w:r>
                <w:rPr>
                  <w:rFonts w:ascii="Times New Roman" w:cs="Times New Roman" w:eastAsia="Times New Roman" w:hAnsi="Times New Roman"/>
                  <w:sz w:val="14"/>
                  <w:szCs w:val="14"/>
                  <w:color w:val="0000FF"/>
                </w:rPr>
                <w:t>Amended and Restated 2019 Equity Incentive Plan</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6/21/2022</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10.14</w:t>
            </w:r>
            <w:r>
              <w:rPr>
                <w:rFonts w:ascii="Times New Roman" w:cs="Times New Roman" w:eastAsia="Times New Roman" w:hAnsi="Times New Roman"/>
                <w:sz w:val="19"/>
                <w:szCs w:val="19"/>
                <w:color w:val="auto"/>
                <w:w w:val="98"/>
                <w:vertAlign w:val="superscript"/>
              </w:rPr>
              <w:t>+</w:t>
            </w: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80" w:type="dxa"/>
            <w:vAlign w:val="bottom"/>
            <w:tcBorders>
              <w:right w:val="single" w:sz="8" w:color="0000EE"/>
            </w:tcBorders>
            <w:gridSpan w:val="5"/>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vMerge w:val="continue"/>
          </w:tcPr>
          <w:p>
            <w:pPr>
              <w:spacing w:after="0"/>
              <w:rPr>
                <w:sz w:val="19"/>
                <w:szCs w:val="19"/>
                <w:color w:val="auto"/>
              </w:rPr>
            </w:pPr>
          </w:p>
        </w:tc>
        <w:tc>
          <w:tcPr>
            <w:tcW w:w="5800" w:type="dxa"/>
            <w:vAlign w:val="bottom"/>
            <w:gridSpan w:val="28"/>
          </w:tcPr>
          <w:p>
            <w:pPr>
              <w:spacing w:after="0"/>
              <w:rPr>
                <w:rFonts w:ascii="Times New Roman" w:cs="Times New Roman" w:eastAsia="Times New Roman" w:hAnsi="Times New Roman"/>
                <w:sz w:val="14"/>
                <w:szCs w:val="14"/>
                <w:color w:val="0000FF"/>
              </w:rPr>
            </w:pPr>
            <w:hyperlink r:id="rId285">
              <w:r>
                <w:rPr>
                  <w:rFonts w:ascii="Times New Roman" w:cs="Times New Roman" w:eastAsia="Times New Roman" w:hAnsi="Times New Roman"/>
                  <w:sz w:val="14"/>
                  <w:szCs w:val="14"/>
                  <w:color w:val="0000FF"/>
                </w:rPr>
                <w:t>Form of Option Grant Package under 2019 Equity Incentive Plan</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8/12/2019</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900" w:type="dxa"/>
            <w:vAlign w:val="bottom"/>
            <w:tcBorders>
              <w:right w:val="single" w:sz="8" w:color="0000EE"/>
            </w:tcBorders>
            <w:gridSpan w:val="9"/>
            <w:shd w:val="clear" w:color="auto" w:fill="0000FF"/>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10.16</w:t>
            </w:r>
            <w:r>
              <w:rPr>
                <w:rFonts w:ascii="Times New Roman" w:cs="Times New Roman" w:eastAsia="Times New Roman" w:hAnsi="Times New Roman"/>
                <w:sz w:val="19"/>
                <w:szCs w:val="19"/>
                <w:color w:val="auto"/>
                <w:w w:val="98"/>
                <w:vertAlign w:val="superscript"/>
              </w:rPr>
              <w:t>+</w:t>
            </w:r>
          </w:p>
        </w:tc>
        <w:tc>
          <w:tcPr>
            <w:tcW w:w="5800" w:type="dxa"/>
            <w:vAlign w:val="bottom"/>
            <w:gridSpan w:val="28"/>
          </w:tcPr>
          <w:p>
            <w:pPr>
              <w:spacing w:after="0"/>
              <w:rPr>
                <w:rFonts w:ascii="Times New Roman" w:cs="Times New Roman" w:eastAsia="Times New Roman" w:hAnsi="Times New Roman"/>
                <w:sz w:val="14"/>
                <w:szCs w:val="14"/>
                <w:color w:val="0000FF"/>
              </w:rPr>
            </w:pPr>
            <w:hyperlink r:id="rId286">
              <w:r>
                <w:rPr>
                  <w:rFonts w:ascii="Times New Roman" w:cs="Times New Roman" w:eastAsia="Times New Roman" w:hAnsi="Times New Roman"/>
                  <w:sz w:val="14"/>
                  <w:szCs w:val="14"/>
                  <w:color w:val="0000FF"/>
                </w:rPr>
                <w:t>Form of Stock Option Agreement under the Sub Plan for French Residents under 2019 Equity</w:t>
              </w:r>
            </w:hyperlink>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10.16</w:t>
            </w:r>
          </w:p>
        </w:tc>
        <w:tc>
          <w:tcPr>
            <w:tcW w:w="10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3/11/2020</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1020" w:type="dxa"/>
            <w:vAlign w:val="bottom"/>
            <w:vMerge w:val="continue"/>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82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w w:val="99"/>
              </w:rPr>
            </w:pPr>
            <w:hyperlink r:id="rId286">
              <w:r>
                <w:rPr>
                  <w:rFonts w:ascii="Times New Roman" w:cs="Times New Roman" w:eastAsia="Times New Roman" w:hAnsi="Times New Roman"/>
                  <w:sz w:val="14"/>
                  <w:szCs w:val="14"/>
                  <w:color w:val="0000FF"/>
                  <w:w w:val="99"/>
                </w:rPr>
                <w:t>Incentive Plan</w:t>
              </w:r>
            </w:hyperlink>
          </w:p>
        </w:tc>
        <w:tc>
          <w:tcPr>
            <w:tcW w:w="40" w:type="dxa"/>
            <w:vAlign w:val="bottom"/>
            <w:tcBorders>
              <w:top w:val="single" w:sz="8" w:color="0000FF"/>
              <w:bottom w:val="single" w:sz="8" w:color="0000EE"/>
            </w:tcBorders>
          </w:tcPr>
          <w:p>
            <w:pPr>
              <w:spacing w:after="0"/>
              <w:rPr>
                <w:sz w:val="11"/>
                <w:szCs w:val="11"/>
                <w:color w:val="auto"/>
              </w:rPr>
            </w:pPr>
          </w:p>
        </w:tc>
        <w:tc>
          <w:tcPr>
            <w:tcW w:w="4580" w:type="dxa"/>
            <w:vAlign w:val="bottom"/>
            <w:tcBorders>
              <w:top w:val="single" w:sz="8" w:color="0000FF"/>
            </w:tcBorders>
            <w:gridSpan w:val="15"/>
          </w:tcPr>
          <w:p>
            <w:pPr>
              <w:spacing w:after="0"/>
              <w:rPr>
                <w:sz w:val="11"/>
                <w:szCs w:val="11"/>
                <w:color w:val="auto"/>
              </w:rPr>
            </w:pPr>
          </w:p>
        </w:tc>
        <w:tc>
          <w:tcPr>
            <w:tcW w:w="340" w:type="dxa"/>
            <w:vAlign w:val="bottom"/>
            <w:gridSpan w:val="9"/>
          </w:tcPr>
          <w:p>
            <w:pPr>
              <w:spacing w:after="0"/>
              <w:rPr>
                <w:sz w:val="11"/>
                <w:szCs w:val="11"/>
                <w:color w:val="auto"/>
              </w:rPr>
            </w:pPr>
          </w:p>
        </w:tc>
        <w:tc>
          <w:tcPr>
            <w:tcW w:w="6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1" w:name="page122"/>
    <w:bookmarkEnd w:id="121"/>
    <w:tbl>
      <w:tblPr>
        <w:tblLayout w:type="fixed"/>
        <w:tblInd w:w="220" w:type="dxa"/>
        <w:tblCellMar>
          <w:top w:w="0" w:type="dxa"/>
          <w:left w:w="0" w:type="dxa"/>
          <w:bottom w:w="0" w:type="dxa"/>
          <w:right w:w="0" w:type="dxa"/>
        </w:tblCellMar>
      </w:tblPr>
      <w:tr>
        <w:trPr>
          <w:trHeight w:val="161"/>
        </w:trPr>
        <w:tc>
          <w:tcPr>
            <w:tcW w:w="80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color w:val="auto"/>
                <w:w w:val="98"/>
              </w:rPr>
              <w:t>10.17</w:t>
            </w:r>
            <w:r>
              <w:rPr>
                <w:rFonts w:ascii="Times New Roman" w:cs="Times New Roman" w:eastAsia="Times New Roman" w:hAnsi="Times New Roman"/>
                <w:sz w:val="19"/>
                <w:szCs w:val="19"/>
                <w:color w:val="auto"/>
                <w:w w:val="98"/>
                <w:vertAlign w:val="superscript"/>
              </w:rPr>
              <w:t>+</w:t>
            </w:r>
          </w:p>
        </w:tc>
        <w:tc>
          <w:tcPr>
            <w:tcW w:w="5780" w:type="dxa"/>
            <w:vAlign w:val="bottom"/>
            <w:gridSpan w:val="29"/>
          </w:tcPr>
          <w:p>
            <w:pPr>
              <w:spacing w:after="0"/>
              <w:rPr>
                <w:rFonts w:ascii="Times New Roman" w:cs="Times New Roman" w:eastAsia="Times New Roman" w:hAnsi="Times New Roman"/>
                <w:sz w:val="14"/>
                <w:szCs w:val="14"/>
                <w:color w:val="0000FF"/>
              </w:rPr>
            </w:pPr>
            <w:hyperlink r:id="rId288">
              <w:r>
                <w:rPr>
                  <w:rFonts w:ascii="Times New Roman" w:cs="Times New Roman" w:eastAsia="Times New Roman" w:hAnsi="Times New Roman"/>
                  <w:sz w:val="14"/>
                  <w:szCs w:val="14"/>
                  <w:color w:val="0000FF"/>
                </w:rPr>
                <w:t>Form of Inducement Nonqualified Stock Option Agreement subject to the terms of the 2019 Equity</w:t>
              </w:r>
            </w:hyperlink>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10.17</w:t>
            </w:r>
          </w:p>
        </w:tc>
        <w:tc>
          <w:tcPr>
            <w:tcW w:w="152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color w:val="auto"/>
              </w:rPr>
              <w:t>3/11/2020</w:t>
            </w: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86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rPr>
            </w:pPr>
            <w:hyperlink r:id="rId288">
              <w:r>
                <w:rPr>
                  <w:rFonts w:ascii="Times New Roman" w:cs="Times New Roman" w:eastAsia="Times New Roman" w:hAnsi="Times New Roman"/>
                  <w:sz w:val="14"/>
                  <w:szCs w:val="14"/>
                  <w:color w:val="0000FF"/>
                </w:rPr>
                <w:t>Incentive Plan</w:t>
              </w:r>
            </w:hyperlink>
          </w:p>
        </w:tc>
        <w:tc>
          <w:tcPr>
            <w:tcW w:w="4920" w:type="dxa"/>
            <w:vAlign w:val="bottom"/>
            <w:tcBorders>
              <w:top w:val="single" w:sz="8" w:color="0000FF"/>
            </w:tcBorders>
            <w:gridSpan w:val="25"/>
          </w:tcPr>
          <w:p>
            <w:pPr>
              <w:spacing w:after="0"/>
              <w:rPr>
                <w:sz w:val="11"/>
                <w:szCs w:val="11"/>
                <w:color w:val="auto"/>
              </w:rPr>
            </w:pPr>
          </w:p>
        </w:tc>
        <w:tc>
          <w:tcPr>
            <w:tcW w:w="7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w w:val="98"/>
              </w:rPr>
              <w:t>10.18</w:t>
            </w:r>
            <w:r>
              <w:rPr>
                <w:rFonts w:ascii="Times New Roman" w:cs="Times New Roman" w:eastAsia="Times New Roman" w:hAnsi="Times New Roman"/>
                <w:sz w:val="19"/>
                <w:szCs w:val="19"/>
                <w:color w:val="auto"/>
                <w:w w:val="98"/>
                <w:vertAlign w:val="superscript"/>
              </w:rPr>
              <w:t>+</w:t>
            </w:r>
          </w:p>
        </w:tc>
        <w:tc>
          <w:tcPr>
            <w:tcW w:w="5780" w:type="dxa"/>
            <w:vAlign w:val="bottom"/>
            <w:gridSpan w:val="29"/>
          </w:tcPr>
          <w:p>
            <w:pPr>
              <w:spacing w:after="0"/>
              <w:rPr>
                <w:rFonts w:ascii="Times New Roman" w:cs="Times New Roman" w:eastAsia="Times New Roman" w:hAnsi="Times New Roman"/>
                <w:sz w:val="14"/>
                <w:szCs w:val="14"/>
                <w:color w:val="0000FF"/>
              </w:rPr>
            </w:pPr>
            <w:hyperlink r:id="rId289">
              <w:r>
                <w:rPr>
                  <w:rFonts w:ascii="Times New Roman" w:cs="Times New Roman" w:eastAsia="Times New Roman" w:hAnsi="Times New Roman"/>
                  <w:sz w:val="14"/>
                  <w:szCs w:val="14"/>
                  <w:color w:val="0000FF"/>
                </w:rPr>
                <w:t>Amended and Restated 2019 Employee Stock Purchase Plan</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52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6/21/2022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10.19</w:t>
            </w:r>
          </w:p>
        </w:tc>
        <w:tc>
          <w:tcPr>
            <w:tcW w:w="5780" w:type="dxa"/>
            <w:vAlign w:val="bottom"/>
            <w:gridSpan w:val="29"/>
          </w:tcPr>
          <w:p>
            <w:pPr>
              <w:spacing w:after="0"/>
              <w:rPr>
                <w:rFonts w:ascii="Times New Roman" w:cs="Times New Roman" w:eastAsia="Times New Roman" w:hAnsi="Times New Roman"/>
                <w:sz w:val="14"/>
                <w:szCs w:val="14"/>
                <w:color w:val="0000FF"/>
              </w:rPr>
            </w:pPr>
            <w:hyperlink r:id="rId290">
              <w:r>
                <w:rPr>
                  <w:rFonts w:ascii="Times New Roman" w:cs="Times New Roman" w:eastAsia="Times New Roman" w:hAnsi="Times New Roman"/>
                  <w:sz w:val="14"/>
                  <w:szCs w:val="14"/>
                  <w:color w:val="0000FF"/>
                </w:rPr>
                <w:t>Loan and Security Agreement, dated January 15, 2021, by and among Oxford Finance LLC, the</w:t>
              </w:r>
            </w:hyperlink>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S-4/A</w:t>
            </w:r>
          </w:p>
        </w:tc>
        <w:tc>
          <w:tcPr>
            <w:tcW w:w="10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333-255198</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52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color w:val="auto"/>
              </w:rPr>
              <w:t>5/4/2021</w:t>
            </w: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5560" w:type="dxa"/>
            <w:vAlign w:val="bottom"/>
            <w:tcBorders>
              <w:top w:val="single" w:sz="8" w:color="0000FF"/>
            </w:tcBorders>
            <w:gridSpan w:val="24"/>
          </w:tcPr>
          <w:p>
            <w:pPr>
              <w:spacing w:after="0" w:line="129" w:lineRule="exact"/>
              <w:rPr>
                <w:rFonts w:ascii="Times New Roman" w:cs="Times New Roman" w:eastAsia="Times New Roman" w:hAnsi="Times New Roman"/>
                <w:sz w:val="14"/>
                <w:szCs w:val="14"/>
                <w:color w:val="0000FF"/>
              </w:rPr>
            </w:pPr>
            <w:hyperlink r:id="rId290">
              <w:r>
                <w:rPr>
                  <w:rFonts w:ascii="Times New Roman" w:cs="Times New Roman" w:eastAsia="Times New Roman" w:hAnsi="Times New Roman"/>
                  <w:sz w:val="14"/>
                  <w:szCs w:val="14"/>
                  <w:color w:val="0000FF"/>
                </w:rPr>
                <w:t>Lenders party thereto, and Tempest</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color w:val="auto"/>
                <w:w w:val="98"/>
              </w:rPr>
              <w:t>10.20</w:t>
            </w:r>
            <w:r>
              <w:rPr>
                <w:rFonts w:ascii="Times New Roman" w:cs="Times New Roman" w:eastAsia="Times New Roman" w:hAnsi="Times New Roman"/>
                <w:sz w:val="19"/>
                <w:szCs w:val="19"/>
                <w:color w:val="auto"/>
                <w:w w:val="98"/>
                <w:vertAlign w:val="superscript"/>
              </w:rPr>
              <w:t>+</w:t>
            </w:r>
          </w:p>
        </w:tc>
        <w:tc>
          <w:tcPr>
            <w:tcW w:w="4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vMerge w:val="continue"/>
          </w:tcPr>
          <w:p>
            <w:pPr>
              <w:spacing w:after="0"/>
              <w:rPr>
                <w:sz w:val="19"/>
                <w:szCs w:val="19"/>
                <w:color w:val="auto"/>
              </w:rPr>
            </w:pPr>
          </w:p>
        </w:tc>
        <w:tc>
          <w:tcPr>
            <w:tcW w:w="5780" w:type="dxa"/>
            <w:vAlign w:val="bottom"/>
            <w:gridSpan w:val="29"/>
          </w:tcPr>
          <w:p>
            <w:pPr>
              <w:spacing w:after="0"/>
              <w:rPr>
                <w:rFonts w:ascii="Times New Roman" w:cs="Times New Roman" w:eastAsia="Times New Roman" w:hAnsi="Times New Roman"/>
                <w:sz w:val="14"/>
                <w:szCs w:val="14"/>
                <w:color w:val="0000FF"/>
              </w:rPr>
            </w:pPr>
            <w:hyperlink r:id="rId291">
              <w:r>
                <w:rPr>
                  <w:rFonts w:ascii="Times New Roman" w:cs="Times New Roman" w:eastAsia="Times New Roman" w:hAnsi="Times New Roman"/>
                  <w:sz w:val="14"/>
                  <w:szCs w:val="14"/>
                  <w:color w:val="0000FF"/>
                </w:rPr>
                <w:t>Form of Indemnification Agreement</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52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7/07/2021</w:t>
            </w: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color w:val="auto"/>
                <w:w w:val="98"/>
              </w:rPr>
              <w:t>10.21</w:t>
            </w:r>
            <w:r>
              <w:rPr>
                <w:rFonts w:ascii="Times New Roman" w:cs="Times New Roman" w:eastAsia="Times New Roman" w:hAnsi="Times New Roman"/>
                <w:sz w:val="19"/>
                <w:szCs w:val="19"/>
                <w:color w:val="auto"/>
                <w:w w:val="98"/>
                <w:vertAlign w:val="superscript"/>
              </w:rPr>
              <w:t>+</w:t>
            </w:r>
          </w:p>
        </w:tc>
        <w:tc>
          <w:tcPr>
            <w:tcW w:w="460" w:type="dxa"/>
            <w:vAlign w:val="bottom"/>
            <w:tcBorders>
              <w:left w:val="single" w:sz="8" w:color="0000FF"/>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00" w:type="dxa"/>
            <w:vAlign w:val="bottom"/>
            <w:vMerge w:val="continue"/>
          </w:tcPr>
          <w:p>
            <w:pPr>
              <w:spacing w:after="0"/>
              <w:rPr>
                <w:sz w:val="24"/>
                <w:szCs w:val="24"/>
                <w:color w:val="auto"/>
              </w:rPr>
            </w:pPr>
          </w:p>
        </w:tc>
        <w:tc>
          <w:tcPr>
            <w:tcW w:w="5780" w:type="dxa"/>
            <w:vAlign w:val="bottom"/>
            <w:gridSpan w:val="29"/>
          </w:tcPr>
          <w:p>
            <w:pPr>
              <w:spacing w:after="0"/>
              <w:rPr>
                <w:rFonts w:ascii="Times New Roman" w:cs="Times New Roman" w:eastAsia="Times New Roman" w:hAnsi="Times New Roman"/>
                <w:sz w:val="14"/>
                <w:szCs w:val="14"/>
                <w:color w:val="0000FF"/>
              </w:rPr>
            </w:pPr>
            <w:hyperlink r:id="rId292">
              <w:r>
                <w:rPr>
                  <w:rFonts w:ascii="Times New Roman" w:cs="Times New Roman" w:eastAsia="Times New Roman" w:hAnsi="Times New Roman"/>
                  <w:sz w:val="14"/>
                  <w:szCs w:val="14"/>
                  <w:color w:val="0000FF"/>
                </w:rPr>
                <w:t>Employment Agreement, dated July 7, 2021, by and between the Company and Stephen Brady</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52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7/07/2021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color w:val="auto"/>
                <w:w w:val="98"/>
              </w:rPr>
              <w:t>10.23</w:t>
            </w:r>
            <w:r>
              <w:rPr>
                <w:rFonts w:ascii="Times New Roman" w:cs="Times New Roman" w:eastAsia="Times New Roman" w:hAnsi="Times New Roman"/>
                <w:sz w:val="19"/>
                <w:szCs w:val="19"/>
                <w:color w:val="auto"/>
                <w:w w:val="98"/>
                <w:vertAlign w:val="superscript"/>
              </w:rPr>
              <w:t>+</w:t>
            </w:r>
          </w:p>
        </w:tc>
        <w:tc>
          <w:tcPr>
            <w:tcW w:w="5780" w:type="dxa"/>
            <w:vAlign w:val="bottom"/>
            <w:gridSpan w:val="29"/>
          </w:tcPr>
          <w:p>
            <w:pPr>
              <w:spacing w:after="0"/>
              <w:rPr>
                <w:rFonts w:ascii="Times New Roman" w:cs="Times New Roman" w:eastAsia="Times New Roman" w:hAnsi="Times New Roman"/>
                <w:sz w:val="14"/>
                <w:szCs w:val="14"/>
                <w:color w:val="0000FF"/>
              </w:rPr>
            </w:pPr>
            <w:hyperlink r:id="rId293">
              <w:r>
                <w:rPr>
                  <w:rFonts w:ascii="Times New Roman" w:cs="Times New Roman" w:eastAsia="Times New Roman" w:hAnsi="Times New Roman"/>
                  <w:sz w:val="14"/>
                  <w:szCs w:val="14"/>
                  <w:color w:val="0000FF"/>
                </w:rPr>
                <w:t>Employment Agreement, dated July 7, 2021, by and between the Company and Samuel Whiting,</w:t>
              </w:r>
            </w:hyperlink>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52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color w:val="auto"/>
              </w:rPr>
              <w:t>7/07/2021</w:t>
            </w: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72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293">
              <w:r>
                <w:rPr>
                  <w:rFonts w:ascii="Times New Roman" w:cs="Times New Roman" w:eastAsia="Times New Roman" w:hAnsi="Times New Roman"/>
                  <w:sz w:val="14"/>
                  <w:szCs w:val="14"/>
                  <w:color w:val="0000FF"/>
                </w:rPr>
                <w:t>M.D., Ph.D.</w:t>
              </w:r>
            </w:hyperlink>
          </w:p>
        </w:tc>
        <w:tc>
          <w:tcPr>
            <w:tcW w:w="20" w:type="dxa"/>
            <w:vAlign w:val="bottom"/>
            <w:tcBorders>
              <w:top w:val="single" w:sz="8" w:color="0000FF"/>
              <w:bottom w:val="single" w:sz="8" w:color="0000EE"/>
            </w:tcBorders>
          </w:tcPr>
          <w:p>
            <w:pPr>
              <w:spacing w:after="0"/>
              <w:rPr>
                <w:sz w:val="11"/>
                <w:szCs w:val="11"/>
                <w:color w:val="auto"/>
              </w:rPr>
            </w:pPr>
          </w:p>
        </w:tc>
        <w:tc>
          <w:tcPr>
            <w:tcW w:w="4880" w:type="dxa"/>
            <w:vAlign w:val="bottom"/>
            <w:tcBorders>
              <w:top w:val="single" w:sz="8" w:color="0000FF"/>
            </w:tcBorders>
            <w:gridSpan w:val="23"/>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8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10.24</w:t>
            </w:r>
          </w:p>
        </w:tc>
        <w:tc>
          <w:tcPr>
            <w:tcW w:w="5780" w:type="dxa"/>
            <w:vAlign w:val="bottom"/>
            <w:gridSpan w:val="29"/>
          </w:tcPr>
          <w:p>
            <w:pPr>
              <w:spacing w:after="0"/>
              <w:rPr>
                <w:rFonts w:ascii="Times New Roman" w:cs="Times New Roman" w:eastAsia="Times New Roman" w:hAnsi="Times New Roman"/>
                <w:sz w:val="14"/>
                <w:szCs w:val="14"/>
                <w:color w:val="0000FF"/>
              </w:rPr>
            </w:pPr>
            <w:hyperlink r:id="rId294">
              <w:r>
                <w:rPr>
                  <w:rFonts w:ascii="Times New Roman" w:cs="Times New Roman" w:eastAsia="Times New Roman" w:hAnsi="Times New Roman"/>
                  <w:sz w:val="14"/>
                  <w:szCs w:val="14"/>
                  <w:color w:val="0000FF"/>
                </w:rPr>
                <w:t>Lease Agreement, dated January 24, 2022, by and between HCP Life Science REIT, Inc. and</w:t>
              </w:r>
            </w:hyperlink>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10.24</w:t>
            </w:r>
          </w:p>
        </w:tc>
        <w:tc>
          <w:tcPr>
            <w:tcW w:w="152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color w:val="auto"/>
              </w:rPr>
              <w:t>03/22/2023</w:t>
            </w: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1600" w:type="dxa"/>
            <w:vAlign w:val="bottom"/>
            <w:tcBorders>
              <w:top w:val="single" w:sz="8" w:color="0000FF"/>
              <w:bottom w:val="single" w:sz="8" w:color="0000EE"/>
            </w:tcBorders>
            <w:gridSpan w:val="7"/>
          </w:tcPr>
          <w:p>
            <w:pPr>
              <w:spacing w:after="0" w:line="129" w:lineRule="exact"/>
              <w:rPr>
                <w:rFonts w:ascii="Times New Roman" w:cs="Times New Roman" w:eastAsia="Times New Roman" w:hAnsi="Times New Roman"/>
                <w:sz w:val="14"/>
                <w:szCs w:val="14"/>
                <w:color w:val="0000FF"/>
              </w:rPr>
            </w:pPr>
            <w:hyperlink r:id="rId294">
              <w:r>
                <w:rPr>
                  <w:rFonts w:ascii="Times New Roman" w:cs="Times New Roman" w:eastAsia="Times New Roman" w:hAnsi="Times New Roman"/>
                  <w:sz w:val="14"/>
                  <w:szCs w:val="14"/>
                  <w:color w:val="0000FF"/>
                </w:rPr>
                <w:t>Tempest Therapeutics, Inc.</w:t>
              </w:r>
            </w:hyperlink>
          </w:p>
        </w:tc>
        <w:tc>
          <w:tcPr>
            <w:tcW w:w="3800" w:type="dxa"/>
            <w:vAlign w:val="bottom"/>
            <w:tcBorders>
              <w:top w:val="single" w:sz="8" w:color="0000FF"/>
            </w:tcBorders>
            <w:gridSpan w:val="12"/>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5780" w:type="dxa"/>
            <w:vAlign w:val="bottom"/>
            <w:gridSpan w:val="29"/>
          </w:tcPr>
          <w:p>
            <w:pPr>
              <w:spacing w:after="0"/>
              <w:rPr>
                <w:rFonts w:ascii="Times New Roman" w:cs="Times New Roman" w:eastAsia="Times New Roman" w:hAnsi="Times New Roman"/>
                <w:sz w:val="14"/>
                <w:szCs w:val="14"/>
                <w:color w:val="0000FF"/>
              </w:rPr>
            </w:pPr>
            <w:hyperlink r:id="rId295">
              <w:r>
                <w:rPr>
                  <w:rFonts w:ascii="Times New Roman" w:cs="Times New Roman" w:eastAsia="Times New Roman" w:hAnsi="Times New Roman"/>
                  <w:sz w:val="14"/>
                  <w:szCs w:val="14"/>
                  <w:color w:val="0000FF"/>
                </w:rPr>
                <w:t>First Amendment to Loan and Security Agreement, dated December 23, 2022, by and among</w:t>
              </w:r>
            </w:hyperlink>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8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10.25</w:t>
            </w:r>
          </w:p>
        </w:tc>
        <w:tc>
          <w:tcPr>
            <w:tcW w:w="5480" w:type="dxa"/>
            <w:vAlign w:val="bottom"/>
            <w:tcBorders>
              <w:top w:val="single" w:sz="8" w:color="0000FF"/>
              <w:bottom w:val="single" w:sz="8" w:color="0000FF"/>
            </w:tcBorders>
            <w:gridSpan w:val="20"/>
          </w:tcPr>
          <w:p>
            <w:pPr>
              <w:spacing w:after="0" w:line="129" w:lineRule="exact"/>
              <w:rPr>
                <w:rFonts w:ascii="Times New Roman" w:cs="Times New Roman" w:eastAsia="Times New Roman" w:hAnsi="Times New Roman"/>
                <w:sz w:val="14"/>
                <w:szCs w:val="14"/>
                <w:color w:val="0000FF"/>
              </w:rPr>
            </w:pPr>
            <w:hyperlink r:id="rId295">
              <w:r>
                <w:rPr>
                  <w:rFonts w:ascii="Times New Roman" w:cs="Times New Roman" w:eastAsia="Times New Roman" w:hAnsi="Times New Roman"/>
                  <w:sz w:val="14"/>
                  <w:szCs w:val="14"/>
                  <w:color w:val="0000FF"/>
                </w:rPr>
                <w:t>Oxford Finance LLC, Tempest Therapeutics, Inc., Tempest TX, Inc. and Millendo Therapeutics</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52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color w:val="auto"/>
              </w:rPr>
              <w:t>12/29/2022</w:t>
            </w: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5580" w:type="dxa"/>
            <w:vAlign w:val="bottom"/>
            <w:gridSpan w:val="25"/>
          </w:tcPr>
          <w:p>
            <w:pPr>
              <w:spacing w:after="0" w:line="129" w:lineRule="exact"/>
              <w:rPr>
                <w:rFonts w:ascii="Times New Roman" w:cs="Times New Roman" w:eastAsia="Times New Roman" w:hAnsi="Times New Roman"/>
                <w:sz w:val="14"/>
                <w:szCs w:val="14"/>
                <w:color w:val="0000FF"/>
              </w:rPr>
            </w:pPr>
            <w:hyperlink r:id="rId295">
              <w:r>
                <w:rPr>
                  <w:rFonts w:ascii="Times New Roman" w:cs="Times New Roman" w:eastAsia="Times New Roman" w:hAnsi="Times New Roman"/>
                  <w:sz w:val="14"/>
                  <w:szCs w:val="14"/>
                  <w:color w:val="0000FF"/>
                </w:rPr>
                <w:t>US, Inc.</w:t>
              </w:r>
            </w:hyperlink>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EE"/>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spacing w:after="0"/>
              <w:rPr>
                <w:sz w:val="19"/>
                <w:szCs w:val="19"/>
                <w:color w:val="auto"/>
              </w:rPr>
            </w:pPr>
          </w:p>
        </w:tc>
        <w:tc>
          <w:tcPr>
            <w:tcW w:w="5780" w:type="dxa"/>
            <w:vAlign w:val="bottom"/>
            <w:gridSpan w:val="29"/>
          </w:tcPr>
          <w:p>
            <w:pPr>
              <w:spacing w:after="0"/>
              <w:rPr>
                <w:rFonts w:ascii="Times New Roman" w:cs="Times New Roman" w:eastAsia="Times New Roman" w:hAnsi="Times New Roman"/>
                <w:sz w:val="14"/>
                <w:szCs w:val="14"/>
                <w:color w:val="0000FF"/>
              </w:rPr>
            </w:pPr>
            <w:hyperlink r:id="rId296">
              <w:r>
                <w:rPr>
                  <w:rFonts w:ascii="Times New Roman" w:cs="Times New Roman" w:eastAsia="Times New Roman" w:hAnsi="Times New Roman"/>
                  <w:sz w:val="14"/>
                  <w:szCs w:val="14"/>
                  <w:color w:val="0000FF"/>
                </w:rPr>
                <w:t>Second Amendment to Loan and Security Agreement, dated November 3, 2023, by and among</w:t>
              </w:r>
            </w:hyperlink>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8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10.26</w:t>
            </w:r>
          </w:p>
        </w:tc>
        <w:tc>
          <w:tcPr>
            <w:tcW w:w="5520" w:type="dxa"/>
            <w:vAlign w:val="bottom"/>
            <w:tcBorders>
              <w:top w:val="single" w:sz="8" w:color="0000FF"/>
            </w:tcBorders>
            <w:gridSpan w:val="22"/>
          </w:tcPr>
          <w:p>
            <w:pPr>
              <w:spacing w:after="0" w:line="129" w:lineRule="exact"/>
              <w:rPr>
                <w:rFonts w:ascii="Times New Roman" w:cs="Times New Roman" w:eastAsia="Times New Roman" w:hAnsi="Times New Roman"/>
                <w:sz w:val="14"/>
                <w:szCs w:val="14"/>
                <w:color w:val="0000FF"/>
              </w:rPr>
            </w:pPr>
            <w:hyperlink r:id="rId296">
              <w:r>
                <w:rPr>
                  <w:rFonts w:ascii="Times New Roman" w:cs="Times New Roman" w:eastAsia="Times New Roman" w:hAnsi="Times New Roman"/>
                  <w:sz w:val="14"/>
                  <w:szCs w:val="14"/>
                  <w:color w:val="0000FF"/>
                </w:rPr>
                <w:t>Oxford Finance LLC, Tempest Therapeutics, Inc., Tempest TX, Inc. and Millendo Therapeutics</w:t>
              </w:r>
            </w:hyperlink>
          </w:p>
        </w:tc>
        <w:tc>
          <w:tcPr>
            <w:tcW w:w="20" w:type="dxa"/>
            <w:vAlign w:val="bottom"/>
          </w:tcPr>
          <w:p>
            <w:pPr>
              <w:spacing w:after="0"/>
              <w:rPr>
                <w:sz w:val="11"/>
                <w:szCs w:val="11"/>
                <w:color w:val="auto"/>
              </w:rPr>
            </w:pPr>
          </w:p>
        </w:tc>
        <w:tc>
          <w:tcPr>
            <w:tcW w:w="140" w:type="dxa"/>
            <w:vAlign w:val="bottom"/>
            <w:gridSpan w:val="4"/>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10.26</w:t>
            </w:r>
          </w:p>
        </w:tc>
        <w:tc>
          <w:tcPr>
            <w:tcW w:w="152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color w:val="auto"/>
              </w:rPr>
              <w:t>03/19/2024</w:t>
            </w: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5580" w:type="dxa"/>
            <w:vAlign w:val="bottom"/>
            <w:tcBorders>
              <w:top w:val="single" w:sz="8" w:color="0000FF"/>
            </w:tcBorders>
            <w:gridSpan w:val="25"/>
          </w:tcPr>
          <w:p>
            <w:pPr>
              <w:spacing w:after="0" w:line="129" w:lineRule="exact"/>
              <w:rPr>
                <w:rFonts w:ascii="Times New Roman" w:cs="Times New Roman" w:eastAsia="Times New Roman" w:hAnsi="Times New Roman"/>
                <w:sz w:val="14"/>
                <w:szCs w:val="14"/>
                <w:color w:val="0000FF"/>
              </w:rPr>
            </w:pPr>
            <w:hyperlink r:id="rId296">
              <w:r>
                <w:rPr>
                  <w:rFonts w:ascii="Times New Roman" w:cs="Times New Roman" w:eastAsia="Times New Roman" w:hAnsi="Times New Roman"/>
                  <w:sz w:val="14"/>
                  <w:szCs w:val="14"/>
                  <w:color w:val="0000FF"/>
                </w:rPr>
                <w:t>US, Inc</w:t>
              </w:r>
            </w:hyperlink>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10.27</w:t>
            </w:r>
          </w:p>
        </w:tc>
        <w:tc>
          <w:tcPr>
            <w:tcW w:w="5780" w:type="dxa"/>
            <w:vAlign w:val="bottom"/>
            <w:gridSpan w:val="29"/>
          </w:tcPr>
          <w:p>
            <w:pPr>
              <w:spacing w:after="0"/>
              <w:rPr>
                <w:rFonts w:ascii="Times New Roman" w:cs="Times New Roman" w:eastAsia="Times New Roman" w:hAnsi="Times New Roman"/>
                <w:sz w:val="14"/>
                <w:szCs w:val="14"/>
                <w:color w:val="0000FF"/>
              </w:rPr>
            </w:pPr>
            <w:hyperlink r:id="rId297">
              <w:r>
                <w:rPr>
                  <w:rFonts w:ascii="Times New Roman" w:cs="Times New Roman" w:eastAsia="Times New Roman" w:hAnsi="Times New Roman"/>
                  <w:sz w:val="14"/>
                  <w:szCs w:val="14"/>
                  <w:color w:val="0000FF"/>
                </w:rPr>
                <w:t>Tempest Therapeutics, Inc. Amended and Restated 2023 Equity Incentive Plan</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52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8/10/2023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6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10.28</w:t>
            </w:r>
          </w:p>
        </w:tc>
        <w:tc>
          <w:tcPr>
            <w:tcW w:w="5780" w:type="dxa"/>
            <w:vAlign w:val="bottom"/>
            <w:gridSpan w:val="29"/>
          </w:tcPr>
          <w:p>
            <w:pPr>
              <w:spacing w:after="0"/>
              <w:rPr>
                <w:rFonts w:ascii="Times New Roman" w:cs="Times New Roman" w:eastAsia="Times New Roman" w:hAnsi="Times New Roman"/>
                <w:sz w:val="14"/>
                <w:szCs w:val="14"/>
                <w:color w:val="0000FF"/>
              </w:rPr>
            </w:pPr>
            <w:hyperlink r:id="rId298">
              <w:r>
                <w:rPr>
                  <w:rFonts w:ascii="Times New Roman" w:cs="Times New Roman" w:eastAsia="Times New Roman" w:hAnsi="Times New Roman"/>
                  <w:sz w:val="14"/>
                  <w:szCs w:val="14"/>
                  <w:color w:val="0000FF"/>
                </w:rPr>
                <w:t>Form of Option Grant Package under the Amended and Restated 2023 Equity Incentive Plan</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52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8/10/2023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6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10.29</w:t>
            </w:r>
          </w:p>
        </w:tc>
        <w:tc>
          <w:tcPr>
            <w:tcW w:w="5780" w:type="dxa"/>
            <w:vAlign w:val="bottom"/>
            <w:gridSpan w:val="29"/>
          </w:tcPr>
          <w:p>
            <w:pPr>
              <w:spacing w:after="0"/>
              <w:rPr>
                <w:rFonts w:ascii="Times New Roman" w:cs="Times New Roman" w:eastAsia="Times New Roman" w:hAnsi="Times New Roman"/>
                <w:sz w:val="14"/>
                <w:szCs w:val="14"/>
                <w:color w:val="0000FF"/>
              </w:rPr>
            </w:pPr>
            <w:hyperlink r:id="rId299">
              <w:r>
                <w:rPr>
                  <w:rFonts w:ascii="Times New Roman" w:cs="Times New Roman" w:eastAsia="Times New Roman" w:hAnsi="Times New Roman"/>
                  <w:sz w:val="14"/>
                  <w:szCs w:val="14"/>
                  <w:color w:val="0000FF"/>
                </w:rPr>
                <w:t>Tempest Therapeutics, Inc. 2023 Inducement Plan</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52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8/10/2023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6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tcBorders>
              <w:left w:val="single" w:sz="8" w:color="0000EE"/>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10.30</w:t>
            </w:r>
          </w:p>
        </w:tc>
        <w:tc>
          <w:tcPr>
            <w:tcW w:w="5780" w:type="dxa"/>
            <w:vAlign w:val="bottom"/>
            <w:gridSpan w:val="29"/>
          </w:tcPr>
          <w:p>
            <w:pPr>
              <w:spacing w:after="0"/>
              <w:rPr>
                <w:rFonts w:ascii="Times New Roman" w:cs="Times New Roman" w:eastAsia="Times New Roman" w:hAnsi="Times New Roman"/>
                <w:sz w:val="14"/>
                <w:szCs w:val="14"/>
                <w:color w:val="0000FF"/>
              </w:rPr>
            </w:pPr>
            <w:hyperlink r:id="rId300">
              <w:r>
                <w:rPr>
                  <w:rFonts w:ascii="Times New Roman" w:cs="Times New Roman" w:eastAsia="Times New Roman" w:hAnsi="Times New Roman"/>
                  <w:sz w:val="14"/>
                  <w:szCs w:val="14"/>
                  <w:color w:val="0000FF"/>
                </w:rPr>
                <w:t>Form of Option Grant Package under the 2023 Inducement Plan</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52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8/10/2023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6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EE"/>
            </w:tcBorders>
            <w:gridSpan w:val="3"/>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10.32#</w:t>
            </w:r>
          </w:p>
        </w:tc>
        <w:tc>
          <w:tcPr>
            <w:tcW w:w="5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Roche Supply Agreement, dated October 7, 2024, by and between the Registrant and F. Hoffmann-</w:t>
            </w: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86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00" w:type="dxa"/>
            <w:vAlign w:val="bottom"/>
            <w:vMerge w:val="continue"/>
          </w:tcPr>
          <w:p>
            <w:pPr>
              <w:spacing w:after="0"/>
              <w:rPr>
                <w:sz w:val="11"/>
                <w:szCs w:val="11"/>
                <w:color w:val="auto"/>
              </w:rPr>
            </w:pPr>
          </w:p>
        </w:tc>
        <w:tc>
          <w:tcPr>
            <w:tcW w:w="5720" w:type="dxa"/>
            <w:vAlign w:val="bottom"/>
            <w:gridSpan w:val="28"/>
          </w:tcPr>
          <w:p>
            <w:pPr>
              <w:spacing w:after="0" w:line="129" w:lineRule="exact"/>
              <w:rPr>
                <w:sz w:val="20"/>
                <w:szCs w:val="20"/>
                <w:color w:val="auto"/>
              </w:rPr>
            </w:pPr>
            <w:r>
              <w:rPr>
                <w:rFonts w:ascii="Times New Roman" w:cs="Times New Roman" w:eastAsia="Times New Roman" w:hAnsi="Times New Roman"/>
                <w:sz w:val="14"/>
                <w:szCs w:val="14"/>
                <w:color w:val="0000FF"/>
              </w:rPr>
              <w:t>La Roche Ltd.</w:t>
            </w:r>
          </w:p>
        </w:tc>
        <w:tc>
          <w:tcPr>
            <w:tcW w:w="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60" w:type="dxa"/>
            <w:vAlign w:val="bottom"/>
            <w:tcBorders>
              <w:left w:val="single" w:sz="8" w:color="0000EE"/>
              <w:right w:val="single" w:sz="8" w:color="0000EE"/>
            </w:tcBorders>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10.33</w:t>
            </w:r>
          </w:p>
        </w:tc>
        <w:tc>
          <w:tcPr>
            <w:tcW w:w="5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Executive Employment Agreement, dated January 1, 2025, by and between the Registrant and</w:t>
            </w: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5480" w:type="dxa"/>
            <w:vAlign w:val="bottom"/>
            <w:tcBorders>
              <w:top w:val="single" w:sz="8" w:color="0000FF"/>
            </w:tcBorders>
            <w:gridSpan w:val="20"/>
          </w:tcPr>
          <w:p>
            <w:pPr>
              <w:spacing w:after="0" w:line="129" w:lineRule="exact"/>
              <w:rPr>
                <w:sz w:val="20"/>
                <w:szCs w:val="20"/>
                <w:color w:val="auto"/>
              </w:rPr>
            </w:pPr>
            <w:r>
              <w:rPr>
                <w:rFonts w:ascii="Times New Roman" w:cs="Times New Roman" w:eastAsia="Times New Roman" w:hAnsi="Times New Roman"/>
                <w:sz w:val="14"/>
                <w:szCs w:val="14"/>
                <w:color w:val="0000FF"/>
              </w:rPr>
              <w:t>Nicholas Maestas</w:t>
            </w: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40" w:type="dxa"/>
            <w:vAlign w:val="bottom"/>
            <w:gridSpan w:val="4"/>
          </w:tcPr>
          <w:p>
            <w:pPr>
              <w:spacing w:after="0"/>
              <w:rPr>
                <w:sz w:val="11"/>
                <w:szCs w:val="11"/>
                <w:color w:val="auto"/>
              </w:rPr>
            </w:pPr>
          </w:p>
        </w:tc>
        <w:tc>
          <w:tcPr>
            <w:tcW w:w="10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40" w:type="dxa"/>
            <w:vAlign w:val="bottom"/>
            <w:tcBorders>
              <w:left w:val="single" w:sz="8" w:color="0000EE"/>
              <w:right w:val="single" w:sz="8" w:color="0000EE"/>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19.1</w:t>
            </w:r>
          </w:p>
        </w:tc>
        <w:tc>
          <w:tcPr>
            <w:tcW w:w="5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Tempest Therapeutics, Inc. Insider Trading Policy</w:t>
            </w: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80" w:type="dxa"/>
            <w:vAlign w:val="bottom"/>
            <w:tcBorders>
              <w:left w:val="single" w:sz="8" w:color="0000EE"/>
            </w:tcBorders>
            <w:gridSpan w:val="6"/>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21.1</w:t>
            </w:r>
          </w:p>
        </w:tc>
        <w:tc>
          <w:tcPr>
            <w:tcW w:w="5780" w:type="dxa"/>
            <w:vAlign w:val="bottom"/>
            <w:gridSpan w:val="29"/>
          </w:tcPr>
          <w:p>
            <w:pPr>
              <w:spacing w:after="0"/>
              <w:rPr>
                <w:rFonts w:ascii="Times New Roman" w:cs="Times New Roman" w:eastAsia="Times New Roman" w:hAnsi="Times New Roman"/>
                <w:sz w:val="14"/>
                <w:szCs w:val="14"/>
                <w:color w:val="0000FF"/>
              </w:rPr>
            </w:pPr>
            <w:hyperlink r:id="rId301">
              <w:r>
                <w:rPr>
                  <w:rFonts w:ascii="Times New Roman" w:cs="Times New Roman" w:eastAsia="Times New Roman" w:hAnsi="Times New Roman"/>
                  <w:sz w:val="14"/>
                  <w:szCs w:val="14"/>
                  <w:color w:val="0000FF"/>
                </w:rPr>
                <w:t>Subsidiaries of the Registrant</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10-K/A</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21.1</w:t>
            </w:r>
          </w:p>
        </w:tc>
        <w:tc>
          <w:tcPr>
            <w:tcW w:w="152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4/1/2022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80" w:type="dxa"/>
            <w:vAlign w:val="bottom"/>
            <w:tcBorders>
              <w:left w:val="single" w:sz="8" w:color="0000EE"/>
            </w:tcBorders>
            <w:gridSpan w:val="6"/>
            <w:shd w:val="clear" w:color="auto" w:fill="0000FF"/>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23.1</w:t>
            </w:r>
          </w:p>
        </w:tc>
        <w:tc>
          <w:tcPr>
            <w:tcW w:w="5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Consent of Ernst &amp; Young LLP, independent registered public accounting firm</w:t>
            </w:r>
          </w:p>
        </w:tc>
        <w:tc>
          <w:tcPr>
            <w:tcW w:w="7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80" w:type="dxa"/>
            <w:vAlign w:val="bottom"/>
            <w:tcBorders>
              <w:left w:val="single" w:sz="8" w:color="0000EE"/>
            </w:tcBorders>
            <w:gridSpan w:val="6"/>
            <w:shd w:val="clear" w:color="auto" w:fill="0000FF"/>
          </w:tcPr>
          <w:p>
            <w:pPr>
              <w:spacing w:after="0" w:line="20" w:lineRule="exact"/>
              <w:rPr>
                <w:sz w:val="1"/>
                <w:szCs w:val="1"/>
                <w:color w:val="auto"/>
              </w:rPr>
            </w:pPr>
          </w:p>
        </w:tc>
        <w:tc>
          <w:tcPr>
            <w:tcW w:w="152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24.1</w:t>
            </w:r>
          </w:p>
        </w:tc>
        <w:tc>
          <w:tcPr>
            <w:tcW w:w="5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Power of Attorney (included on signature page)</w:t>
            </w:r>
          </w:p>
        </w:tc>
        <w:tc>
          <w:tcPr>
            <w:tcW w:w="7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80" w:type="dxa"/>
            <w:vAlign w:val="bottom"/>
            <w:tcBorders>
              <w:left w:val="single" w:sz="8" w:color="0000EE"/>
            </w:tcBorders>
            <w:gridSpan w:val="6"/>
            <w:shd w:val="clear" w:color="auto" w:fill="0000FF"/>
          </w:tcPr>
          <w:p>
            <w:pPr>
              <w:spacing w:after="0" w:line="20" w:lineRule="exact"/>
              <w:rPr>
                <w:sz w:val="1"/>
                <w:szCs w:val="1"/>
                <w:color w:val="auto"/>
              </w:rPr>
            </w:pPr>
          </w:p>
        </w:tc>
        <w:tc>
          <w:tcPr>
            <w:tcW w:w="152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 w:type="dxa"/>
            <w:vAlign w:val="bottom"/>
          </w:tcPr>
          <w:p>
            <w:pPr>
              <w:spacing w:after="0"/>
              <w:rPr>
                <w:sz w:val="20"/>
                <w:szCs w:val="20"/>
                <w:color w:val="auto"/>
              </w:rPr>
            </w:pPr>
          </w:p>
        </w:tc>
        <w:tc>
          <w:tcPr>
            <w:tcW w:w="5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 promulgated</w:t>
            </w: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80" w:type="dxa"/>
            <w:vAlign w:val="bottom"/>
            <w:tcBorders>
              <w:left w:val="single" w:sz="8" w:color="0000EE"/>
            </w:tcBorders>
            <w:gridSpan w:val="6"/>
            <w:shd w:val="clear" w:color="auto" w:fill="0000FF"/>
          </w:tcPr>
          <w:p>
            <w:pPr>
              <w:spacing w:after="0" w:line="20" w:lineRule="exact"/>
              <w:rPr>
                <w:sz w:val="1"/>
                <w:szCs w:val="1"/>
                <w:color w:val="auto"/>
              </w:rPr>
            </w:pPr>
          </w:p>
        </w:tc>
        <w:tc>
          <w:tcPr>
            <w:tcW w:w="1520" w:type="dxa"/>
            <w:vAlign w:val="bottom"/>
            <w:tcBorders>
              <w:right w:val="single" w:sz="8" w:color="0000FF"/>
            </w:tcBorders>
            <w:gridSpan w:val="5"/>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0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color w:val="auto"/>
              </w:rPr>
              <w:t>31.1</w:t>
            </w:r>
          </w:p>
        </w:tc>
        <w:tc>
          <w:tcPr>
            <w:tcW w:w="5780" w:type="dxa"/>
            <w:vAlign w:val="bottom"/>
            <w:gridSpan w:val="29"/>
          </w:tcPr>
          <w:p>
            <w:pPr>
              <w:spacing w:after="0" w:line="129" w:lineRule="exact"/>
              <w:rPr>
                <w:sz w:val="20"/>
                <w:szCs w:val="20"/>
                <w:color w:val="auto"/>
              </w:rPr>
            </w:pPr>
            <w:r>
              <w:rPr>
                <w:rFonts w:ascii="Times New Roman" w:cs="Times New Roman" w:eastAsia="Times New Roman" w:hAnsi="Times New Roman"/>
                <w:sz w:val="14"/>
                <w:szCs w:val="14"/>
                <w:color w:val="0000FF"/>
              </w:rPr>
              <w:t>under the Securities Exchange Act of 1934, as adopted pursuant to Section 302 of the Sarbanes-</w:t>
            </w: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1080" w:type="dxa"/>
            <w:vAlign w:val="bottom"/>
            <w:tcBorders>
              <w:left w:val="single" w:sz="8" w:color="0000EE"/>
            </w:tcBorders>
            <w:gridSpan w:val="6"/>
            <w:shd w:val="clear" w:color="auto" w:fill="0000FF"/>
          </w:tcPr>
          <w:p>
            <w:pPr>
              <w:spacing w:after="0" w:line="20" w:lineRule="exact"/>
              <w:rPr>
                <w:sz w:val="1"/>
                <w:szCs w:val="1"/>
                <w:color w:val="auto"/>
              </w:rPr>
            </w:pPr>
          </w:p>
        </w:tc>
        <w:tc>
          <w:tcPr>
            <w:tcW w:w="1520" w:type="dxa"/>
            <w:vAlign w:val="bottom"/>
            <w:tcBorders>
              <w:right w:val="single" w:sz="8" w:color="0000FF"/>
            </w:tcBorders>
            <w:gridSpan w:val="5"/>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gridSpan w:val="4"/>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00" w:type="dxa"/>
            <w:vAlign w:val="bottom"/>
            <w:vMerge w:val="continue"/>
          </w:tcPr>
          <w:p>
            <w:pPr>
              <w:spacing w:after="0"/>
              <w:rPr>
                <w:sz w:val="11"/>
                <w:szCs w:val="11"/>
                <w:color w:val="auto"/>
              </w:rPr>
            </w:pPr>
          </w:p>
        </w:tc>
        <w:tc>
          <w:tcPr>
            <w:tcW w:w="5540" w:type="dxa"/>
            <w:vAlign w:val="bottom"/>
            <w:gridSpan w:val="23"/>
          </w:tcPr>
          <w:p>
            <w:pPr>
              <w:spacing w:after="0" w:line="129" w:lineRule="exact"/>
              <w:rPr>
                <w:sz w:val="20"/>
                <w:szCs w:val="20"/>
                <w:color w:val="auto"/>
              </w:rPr>
            </w:pPr>
            <w:r>
              <w:rPr>
                <w:rFonts w:ascii="Times New Roman" w:cs="Times New Roman" w:eastAsia="Times New Roman" w:hAnsi="Times New Roman"/>
                <w:sz w:val="14"/>
                <w:szCs w:val="14"/>
                <w:color w:val="0000FF"/>
              </w:rPr>
              <w:t>Oxley Act of 2002</w:t>
            </w:r>
          </w:p>
        </w:tc>
        <w:tc>
          <w:tcPr>
            <w:tcW w:w="140" w:type="dxa"/>
            <w:vAlign w:val="bottom"/>
            <w:gridSpan w:val="4"/>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80" w:type="dxa"/>
            <w:vAlign w:val="bottom"/>
            <w:tcBorders>
              <w:left w:val="single" w:sz="8" w:color="0000EE"/>
            </w:tcBorders>
            <w:gridSpan w:val="6"/>
            <w:shd w:val="clear" w:color="auto" w:fill="0000FF"/>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5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 promulgated</w:t>
            </w: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80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color w:val="auto"/>
              </w:rPr>
              <w:t>31.2</w:t>
            </w:r>
          </w:p>
        </w:tc>
        <w:tc>
          <w:tcPr>
            <w:tcW w:w="5780" w:type="dxa"/>
            <w:vAlign w:val="bottom"/>
            <w:tcBorders>
              <w:top w:val="single" w:sz="8" w:color="0000FF"/>
            </w:tcBorders>
            <w:gridSpan w:val="29"/>
          </w:tcPr>
          <w:p>
            <w:pPr>
              <w:spacing w:after="0" w:line="129" w:lineRule="exact"/>
              <w:rPr>
                <w:sz w:val="20"/>
                <w:szCs w:val="20"/>
                <w:color w:val="auto"/>
              </w:rPr>
            </w:pPr>
            <w:r>
              <w:rPr>
                <w:rFonts w:ascii="Times New Roman" w:cs="Times New Roman" w:eastAsia="Times New Roman" w:hAnsi="Times New Roman"/>
                <w:sz w:val="14"/>
                <w:szCs w:val="14"/>
                <w:color w:val="0000FF"/>
              </w:rPr>
              <w:t>under the Securities Exchange Act of 1934, as adopted pursuant to section 302 of the Sarbanes-</w:t>
            </w: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2600" w:type="dxa"/>
            <w:vAlign w:val="bottom"/>
            <w:tcBorders>
              <w:left w:val="single" w:sz="8" w:color="0000EE"/>
              <w:right w:val="single" w:sz="8" w:color="0000FF"/>
            </w:tcBorders>
            <w:gridSpan w:val="11"/>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180" w:type="dxa"/>
            <w:vAlign w:val="bottom"/>
            <w:gridSpan w:val="6"/>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00" w:type="dxa"/>
            <w:vAlign w:val="bottom"/>
            <w:vMerge w:val="continue"/>
          </w:tcPr>
          <w:p>
            <w:pPr>
              <w:spacing w:after="0"/>
              <w:rPr>
                <w:sz w:val="11"/>
                <w:szCs w:val="11"/>
                <w:color w:val="auto"/>
              </w:rPr>
            </w:pPr>
          </w:p>
        </w:tc>
        <w:tc>
          <w:tcPr>
            <w:tcW w:w="5500" w:type="dxa"/>
            <w:vAlign w:val="bottom"/>
            <w:gridSpan w:val="21"/>
          </w:tcPr>
          <w:p>
            <w:pPr>
              <w:spacing w:after="0" w:line="129" w:lineRule="exact"/>
              <w:rPr>
                <w:sz w:val="20"/>
                <w:szCs w:val="20"/>
                <w:color w:val="auto"/>
              </w:rPr>
            </w:pPr>
            <w:r>
              <w:rPr>
                <w:rFonts w:ascii="Times New Roman" w:cs="Times New Roman" w:eastAsia="Times New Roman" w:hAnsi="Times New Roman"/>
                <w:sz w:val="14"/>
                <w:szCs w:val="14"/>
                <w:color w:val="0000FF"/>
              </w:rPr>
              <w:t>Oxley Act of 2002</w:t>
            </w:r>
          </w:p>
        </w:tc>
        <w:tc>
          <w:tcPr>
            <w:tcW w:w="180" w:type="dxa"/>
            <w:vAlign w:val="bottom"/>
            <w:gridSpan w:val="6"/>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80" w:type="dxa"/>
            <w:vAlign w:val="bottom"/>
            <w:tcBorders>
              <w:left w:val="single" w:sz="8" w:color="0000EE"/>
            </w:tcBorders>
            <w:gridSpan w:val="6"/>
            <w:shd w:val="clear" w:color="auto" w:fill="0000FF"/>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1240" w:type="dxa"/>
            <w:vAlign w:val="bottom"/>
            <w:gridSpan w:val="1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0" w:type="dxa"/>
            <w:vAlign w:val="bottom"/>
          </w:tcPr>
          <w:p>
            <w:pPr>
              <w:spacing w:after="0"/>
              <w:rPr>
                <w:sz w:val="24"/>
                <w:szCs w:val="24"/>
                <w:color w:val="auto"/>
              </w:rPr>
            </w:pPr>
          </w:p>
        </w:tc>
        <w:tc>
          <w:tcPr>
            <w:tcW w:w="5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and Principal Financial Officer pursuant to Rules 13a-</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0" w:type="dxa"/>
            <w:vAlign w:val="bottom"/>
            <w:tcBorders>
              <w:left w:val="single" w:sz="8" w:color="0000EE"/>
              <w:right w:val="single" w:sz="8" w:color="0000FF"/>
            </w:tcBorders>
            <w:gridSpan w:val="11"/>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1240" w:type="dxa"/>
            <w:vAlign w:val="bottom"/>
            <w:tcBorders>
              <w:right w:val="single" w:sz="8" w:color="0000EE"/>
            </w:tcBorders>
            <w:gridSpan w:val="11"/>
            <w:shd w:val="clear" w:color="auto" w:fill="0000FF"/>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0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color w:val="auto"/>
                <w:w w:val="98"/>
              </w:rPr>
              <w:t>32.1</w:t>
            </w:r>
            <w:r>
              <w:rPr>
                <w:rFonts w:ascii="Times New Roman" w:cs="Times New Roman" w:eastAsia="Times New Roman" w:hAnsi="Times New Roman"/>
                <w:sz w:val="19"/>
                <w:szCs w:val="19"/>
                <w:color w:val="auto"/>
                <w:w w:val="98"/>
                <w:vertAlign w:val="superscript"/>
              </w:rPr>
              <w:t>^</w:t>
            </w:r>
          </w:p>
        </w:tc>
        <w:tc>
          <w:tcPr>
            <w:tcW w:w="5680" w:type="dxa"/>
            <w:vAlign w:val="bottom"/>
            <w:gridSpan w:val="27"/>
          </w:tcPr>
          <w:p>
            <w:pPr>
              <w:spacing w:after="0" w:line="129" w:lineRule="exact"/>
              <w:rPr>
                <w:sz w:val="20"/>
                <w:szCs w:val="20"/>
                <w:color w:val="auto"/>
              </w:rPr>
            </w:pPr>
            <w:r>
              <w:rPr>
                <w:rFonts w:ascii="Times New Roman" w:cs="Times New Roman" w:eastAsia="Times New Roman" w:hAnsi="Times New Roman"/>
                <w:sz w:val="14"/>
                <w:szCs w:val="14"/>
                <w:color w:val="0000FF"/>
              </w:rPr>
              <w:t>14(b) and 15d-14(b) promulgated under the Securities Exchange Act of 1934 and 18 U.S.C. Section</w:t>
            </w:r>
          </w:p>
        </w:tc>
        <w:tc>
          <w:tcPr>
            <w:tcW w:w="10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2600" w:type="dxa"/>
            <w:vAlign w:val="bottom"/>
            <w:tcBorders>
              <w:left w:val="single" w:sz="8" w:color="0000EE"/>
              <w:right w:val="single" w:sz="8" w:color="0000FF"/>
            </w:tcBorders>
            <w:gridSpan w:val="11"/>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1340" w:type="dxa"/>
            <w:vAlign w:val="bottom"/>
            <w:tcBorders>
              <w:right w:val="single" w:sz="8" w:color="0000FF"/>
            </w:tcBorders>
            <w:gridSpan w:val="1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00" w:type="dxa"/>
            <w:vAlign w:val="bottom"/>
            <w:vMerge w:val="continue"/>
          </w:tcPr>
          <w:p>
            <w:pPr>
              <w:spacing w:after="0"/>
              <w:rPr>
                <w:sz w:val="11"/>
                <w:szCs w:val="11"/>
                <w:color w:val="auto"/>
              </w:rPr>
            </w:pPr>
          </w:p>
        </w:tc>
        <w:tc>
          <w:tcPr>
            <w:tcW w:w="5780" w:type="dxa"/>
            <w:vAlign w:val="bottom"/>
            <w:gridSpan w:val="29"/>
          </w:tcPr>
          <w:p>
            <w:pPr>
              <w:spacing w:after="0" w:line="129" w:lineRule="exact"/>
              <w:rPr>
                <w:sz w:val="20"/>
                <w:szCs w:val="20"/>
                <w:color w:val="auto"/>
              </w:rPr>
            </w:pPr>
            <w:r>
              <w:rPr>
                <w:rFonts w:ascii="Times New Roman" w:cs="Times New Roman" w:eastAsia="Times New Roman" w:hAnsi="Times New Roman"/>
                <w:sz w:val="14"/>
                <w:szCs w:val="14"/>
                <w:color w:val="0000FF"/>
              </w:rPr>
              <w:t>1350, as adopted pursuant to section 906 of The Sarbanes-Oxley Act of 2002</w:t>
            </w: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0" w:type="dxa"/>
            <w:vAlign w:val="bottom"/>
            <w:tcBorders>
              <w:left w:val="single" w:sz="8" w:color="0000EE"/>
              <w:right w:val="single" w:sz="8" w:color="0000FF"/>
            </w:tcBorders>
            <w:gridSpan w:val="11"/>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1340" w:type="dxa"/>
            <w:vAlign w:val="bottom"/>
            <w:gridSpan w:val="1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97.1+</w:t>
            </w:r>
          </w:p>
        </w:tc>
        <w:tc>
          <w:tcPr>
            <w:tcW w:w="5780" w:type="dxa"/>
            <w:vAlign w:val="bottom"/>
            <w:gridSpan w:val="29"/>
          </w:tcPr>
          <w:p>
            <w:pPr>
              <w:spacing w:after="0"/>
              <w:rPr>
                <w:rFonts w:ascii="Times New Roman" w:cs="Times New Roman" w:eastAsia="Times New Roman" w:hAnsi="Times New Roman"/>
                <w:sz w:val="14"/>
                <w:szCs w:val="14"/>
                <w:color w:val="0000FF"/>
              </w:rPr>
            </w:pPr>
            <w:hyperlink r:id="rId296">
              <w:r>
                <w:rPr>
                  <w:rFonts w:ascii="Times New Roman" w:cs="Times New Roman" w:eastAsia="Times New Roman" w:hAnsi="Times New Roman"/>
                  <w:sz w:val="14"/>
                  <w:szCs w:val="14"/>
                  <w:color w:val="0000FF"/>
                </w:rPr>
                <w:t>Incentive Compensation Recoupment Policy</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97.1</w:t>
            </w:r>
          </w:p>
        </w:tc>
        <w:tc>
          <w:tcPr>
            <w:tcW w:w="152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03/19/2024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0" w:type="dxa"/>
            <w:vAlign w:val="bottom"/>
            <w:tcBorders>
              <w:left w:val="single" w:sz="8" w:color="0000EE"/>
              <w:right w:val="single" w:sz="8" w:color="0000EE"/>
            </w:tcBorders>
            <w:gridSpan w:val="11"/>
            <w:shd w:val="clear" w:color="auto" w:fill="0000FF"/>
          </w:tcPr>
          <w:p>
            <w:pPr>
              <w:spacing w:after="0" w:line="20" w:lineRule="exact"/>
              <w:rPr>
                <w:sz w:val="1"/>
                <w:szCs w:val="1"/>
                <w:color w:val="auto"/>
              </w:rPr>
            </w:pPr>
          </w:p>
        </w:tc>
        <w:tc>
          <w:tcPr>
            <w:tcW w:w="3180" w:type="dxa"/>
            <w:vAlign w:val="bottom"/>
            <w:gridSpan w:val="1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101.INS</w:t>
            </w:r>
          </w:p>
        </w:tc>
        <w:tc>
          <w:tcPr>
            <w:tcW w:w="578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w:t>
            </w: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8"/>
        </w:trPr>
        <w:tc>
          <w:tcPr>
            <w:tcW w:w="800" w:type="dxa"/>
            <w:vAlign w:val="bottom"/>
            <w:vMerge w:val="continue"/>
          </w:tcPr>
          <w:p>
            <w:pPr>
              <w:spacing w:after="0"/>
              <w:rPr>
                <w:sz w:val="16"/>
                <w:szCs w:val="16"/>
                <w:color w:val="auto"/>
              </w:rPr>
            </w:pPr>
          </w:p>
        </w:tc>
        <w:tc>
          <w:tcPr>
            <w:tcW w:w="578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File because its XBRL tags are embedded within the Inline XBRL document</w:t>
            </w: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101.SCH</w:t>
            </w:r>
          </w:p>
        </w:tc>
        <w:tc>
          <w:tcPr>
            <w:tcW w:w="578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Inline XBRL Taxonomy Extension Schema With Embedded Linkbase Document</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3"/>
        </w:trPr>
        <w:tc>
          <w:tcPr>
            <w:tcW w:w="80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color w:val="auto"/>
              </w:rPr>
              <w:t>104</w:t>
            </w:r>
          </w:p>
        </w:tc>
        <w:tc>
          <w:tcPr>
            <w:tcW w:w="578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Cover Page formatted as inline XBRL with applicable taxonomy extension contained in Exhibit</w:t>
            </w: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00" w:type="dxa"/>
            <w:vAlign w:val="bottom"/>
            <w:vMerge w:val="continue"/>
          </w:tcPr>
          <w:p>
            <w:pPr>
              <w:spacing w:after="0"/>
              <w:rPr>
                <w:sz w:val="16"/>
                <w:szCs w:val="16"/>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19" w:lineRule="exact"/>
        <w:rPr>
          <w:sz w:val="20"/>
          <w:szCs w:val="20"/>
          <w:color w:val="auto"/>
        </w:rPr>
      </w:pPr>
    </w:p>
    <w:p>
      <w:pPr>
        <w:ind w:firstLine="8"/>
        <w:spacing w:after="0" w:line="260" w:lineRule="auto"/>
        <w:tabs>
          <w:tab w:leader="none" w:pos="19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and/or schedules have been omitted pursuant to Item 601(a)(5) of Regulation S-K. The registrant hereby undertakes to furnish supplementally copies of any of the omitted exhibits and schedules upon request by the SEC.</w:t>
      </w:r>
    </w:p>
    <w:p>
      <w:pPr>
        <w:spacing w:after="0" w:line="181"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25" w:lineRule="exact"/>
        <w:rPr>
          <w:sz w:val="20"/>
          <w:szCs w:val="20"/>
          <w:color w:val="auto"/>
        </w:rPr>
      </w:pPr>
    </w:p>
    <w:p>
      <w:pPr>
        <w:ind w:right="20" w:firstLine="8"/>
        <w:spacing w:after="0" w:line="282" w:lineRule="auto"/>
        <w:tabs>
          <w:tab w:leader="none" w:pos="41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Annual Report pursuant to 18 U.S.C. Section 1350, and are not being filed for purposes of Section 18 of the Securities Exchange Act of 1934, as amended, and are not to be incorporated by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reference into any filing of the Registrant, whether made before or after the date hereof, regardless of any general incorporation language in such filing.</w:t>
      </w:r>
    </w:p>
    <w:p>
      <w:pPr>
        <w:spacing w:after="0" w:line="225" w:lineRule="exact"/>
        <w:rPr>
          <w:sz w:val="20"/>
          <w:szCs w:val="20"/>
          <w:color w:val="auto"/>
        </w:rPr>
      </w:pPr>
    </w:p>
    <w:p>
      <w:pPr>
        <w:ind w:firstLine="8"/>
        <w:spacing w:after="0" w:line="282" w:lineRule="auto"/>
        <w:tabs>
          <w:tab w:leader="none" w:pos="45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601(b)(10)(iv) of Regulation S-K, certain portions of this exhibit (indicated by ***) have been omitted because the identified information is not material and is the type that the Registrant treats as private or confidential.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25"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Stephen Brady</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-127635</wp:posOffset>
            </wp:positionV>
            <wp:extent cx="325755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&amp; President (Principal Executive Officer)</w:t>
      </w:r>
    </w:p>
    <w:p>
      <w:pPr>
        <w:spacing w:after="0" w:line="200" w:lineRule="exact"/>
        <w:rPr>
          <w:sz w:val="20"/>
          <w:szCs w:val="20"/>
          <w:color w:val="auto"/>
        </w:rPr>
      </w:pPr>
    </w:p>
    <w:p>
      <w:pPr>
        <w:spacing w:after="0" w:line="223"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Nicholas Maestas</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-127635</wp:posOffset>
            </wp:positionV>
            <wp:extent cx="325755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&amp; Head of Corporate Strategy (Principal Financial</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KNOW ALL PERSONS BY THESE PRESENTS, that each person whose signature appears below constitutes and appoints Stephen Brady </w:t>
      </w:r>
      <w:r>
        <w:rPr>
          <w:rFonts w:ascii="Times New Roman" w:cs="Times New Roman" w:eastAsia="Times New Roman" w:hAnsi="Times New Roman"/>
          <w:sz w:val="18"/>
          <w:szCs w:val="18"/>
          <w:color w:val="231F20"/>
        </w:rPr>
        <w:t>and Nicolas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Maestas</w:t>
      </w:r>
      <w:r>
        <w:rPr>
          <w:rFonts w:ascii="Times New Roman" w:cs="Times New Roman" w:eastAsia="Times New Roman" w:hAnsi="Times New Roman"/>
          <w:sz w:val="18"/>
          <w:szCs w:val="18"/>
          <w:color w:val="000000"/>
        </w:rPr>
        <w:t>, jointly and severally, as his or her true and lawful attorneys-in-fact and agents, with full power of substitution and resubstitution, for him or her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and in his or her name, place and stead, in any and all capacities, to sign this Annual Report on Form 10-K of Tempest Therapeutics,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4" w:name="page125"/>
    <w:bookmarkEnd w:id="124"/>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p>
      <w:pPr>
        <w:spacing w:after="0" w:line="2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tabs>
          <w:tab w:leader="none" w:pos="6860" w:val="left"/>
        </w:tabs>
        <w:rPr>
          <w:sz w:val="20"/>
          <w:szCs w:val="20"/>
          <w:color w:val="auto"/>
        </w:rPr>
      </w:pPr>
      <w:r>
        <w:rPr>
          <w:rFonts w:ascii="Times New Roman" w:cs="Times New Roman" w:eastAsia="Times New Roman" w:hAnsi="Times New Roman"/>
          <w:sz w:val="16"/>
          <w:szCs w:val="16"/>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36830</wp:posOffset>
            </wp:positionV>
            <wp:extent cx="505777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8">
                      <a:extLst>
                        <a:ext uri="{28A0092B-C50C-407E-A947-70E740481C1C}"/>
                      </a:extLst>
                    </a:blip>
                    <a:srcRect/>
                    <a:stretch>
                      <a:fillRect/>
                    </a:stretch>
                  </pic:blipFill>
                  <pic:spPr bwMode="auto">
                    <a:xfrm>
                      <a:off x="0" y="0"/>
                      <a:ext cx="5057775" cy="8890"/>
                    </a:xfrm>
                    <a:prstGeom prst="rect">
                      <a:avLst/>
                    </a:prstGeom>
                    <a:noFill/>
                  </pic:spPr>
                </pic:pic>
              </a:graphicData>
            </a:graphic>
          </wp:anchor>
        </w:drawing>
      </w:r>
    </w:p>
    <w:p>
      <w:pPr>
        <w:spacing w:after="0" w:line="110" w:lineRule="exact"/>
        <w:rPr>
          <w:sz w:val="20"/>
          <w:szCs w:val="20"/>
          <w:color w:val="auto"/>
        </w:rPr>
      </w:pPr>
    </w:p>
    <w:p>
      <w:pPr>
        <w:sectPr>
          <w:pgSz w:w="11900" w:h="16838" w:orient="portrait"/>
          <w:cols w:equalWidth="0" w:num="2">
            <w:col w:w="2720" w:space="720"/>
            <w:col w:w="7800"/>
          </w:cols>
          <w:pgMar w:left="320" w:top="1201" w:right="339" w:bottom="1440" w:gutter="0" w:footer="0" w:header="0"/>
          <w:type w:val="continuous"/>
        </w:sectPr>
      </w:pPr>
    </w:p>
    <w:p>
      <w:pPr>
        <w:jc w:val="center"/>
        <w:ind w:left="480"/>
        <w:spacing w:after="0"/>
        <w:rPr>
          <w:sz w:val="20"/>
          <w:szCs w:val="20"/>
          <w:color w:val="auto"/>
        </w:rPr>
      </w:pPr>
      <w:r>
        <w:rPr>
          <w:rFonts w:ascii="Times New Roman" w:cs="Times New Roman" w:eastAsia="Times New Roman" w:hAnsi="Times New Roman"/>
          <w:sz w:val="16"/>
          <w:szCs w:val="16"/>
          <w:i w:val="1"/>
          <w:iCs w:val="1"/>
          <w:color w:val="auto"/>
        </w:rPr>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207454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9">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9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Stephen Brady</w:t>
      </w:r>
    </w:p>
    <w:p>
      <w:pPr>
        <w:spacing w:after="0" w:line="3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i w:val="1"/>
          <w:iCs w:val="1"/>
          <w:color w:val="auto"/>
        </w:rPr>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207454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0">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9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Nicholas Maestas</w:t>
      </w:r>
    </w:p>
    <w:p>
      <w:pPr>
        <w:spacing w:after="0" w:line="3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i w:val="1"/>
          <w:iCs w:val="1"/>
          <w:color w:val="auto"/>
        </w:rPr>
        <w:t>/s/ Justin Trojanowski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207454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1">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9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Justin Trojanowski</w:t>
      </w:r>
    </w:p>
    <w:p>
      <w:pPr>
        <w:spacing w:after="0" w:line="3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i w:val="1"/>
          <w:iCs w:val="1"/>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207454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9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Michael Raab</w:t>
      </w:r>
    </w:p>
    <w:p>
      <w:pPr>
        <w:spacing w:after="0" w:line="3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i w:val="1"/>
          <w:iCs w:val="1"/>
          <w:color w:val="auto"/>
        </w:rPr>
        <w:t>/s/ Geoff Nichol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207454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3">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9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Geoff Nichol, M.B., Ch.B., M.B.A.</w:t>
      </w:r>
    </w:p>
    <w:p>
      <w:pPr>
        <w:spacing w:after="0" w:line="3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i w:val="1"/>
          <w:iCs w:val="1"/>
          <w:color w:val="auto"/>
        </w:rPr>
        <w:t>/s/ Christine Pellizzari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207454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4">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9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Christine Pellizzari</w:t>
      </w:r>
    </w:p>
    <w:p>
      <w:pPr>
        <w:spacing w:after="0" w:line="3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i w:val="1"/>
          <w:iCs w:val="1"/>
          <w:color w:val="auto"/>
        </w:rPr>
        <w:t>/s/ Ronit Simantov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207454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5">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9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Ronit Simantov, M.D.</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Chief Executive Officer, President and Director </w:t>
      </w:r>
      <w:r>
        <w:rPr>
          <w:rFonts w:ascii="Times New Roman" w:cs="Times New Roman" w:eastAsia="Times New Roman" w:hAnsi="Times New Roman"/>
          <w:sz w:val="16"/>
          <w:szCs w:val="16"/>
          <w:i w:val="1"/>
          <w:iCs w:val="1"/>
          <w:color w:val="auto"/>
        </w:rPr>
        <w:t>(Principal Executive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Financial Officer &amp; Head of Corporate Strategy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Corporate Controller, Treasurer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(Principal Accounting Officer)</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March 27, 2025</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2025</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2025</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2025</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2025</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2025</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2025</w:t>
      </w:r>
    </w:p>
    <w:p>
      <w:pPr>
        <w:spacing w:after="0" w:line="483" w:lineRule="exact"/>
        <w:rPr>
          <w:sz w:val="20"/>
          <w:szCs w:val="20"/>
          <w:color w:val="auto"/>
        </w:rPr>
      </w:pPr>
    </w:p>
    <w:p>
      <w:pPr>
        <w:sectPr>
          <w:pgSz w:w="11900" w:h="16838" w:orient="portrait"/>
          <w:cols w:equalWidth="0" w:num="3">
            <w:col w:w="2800" w:space="640"/>
            <w:col w:w="5660" w:space="720"/>
            <w:col w:w="1420"/>
          </w:cols>
          <w:pgMar w:left="320" w:top="1201" w:right="339" w:bottom="1440" w:gutter="0" w:footer="0" w:header="0"/>
          <w:type w:val="continuous"/>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0" w:lineRule="exact"/>
        <w:rPr>
          <w:sz w:val="20"/>
          <w:szCs w:val="20"/>
          <w:color w:val="auto"/>
        </w:rPr>
      </w:pPr>
    </w:p>
    <w:p>
      <w:pPr>
        <w:spacing w:after="0" w:line="223"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Tempest Therapeutics, Inc. (the “Company,” or “we,” “us,” and “our”) has two classes of securities registered under Section 12 of the Securities Exchange Act of 1934, as amended: (a) our common stock and (b) Series A junior participating preferred purchase rights (“Series A Preferred Shares”).</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following descriptions of our capital stock, provisions of our restated certificate of incorporation, as amended (the “Restated Certificate”), amended and restated bylaws (the “Bylaws”), certificate of designation of rights, preferences and privileges of Series A Preferred Shares (the “Certificate of Designations”), the Rights Agreement (as defined below), and certain provisions of Delaware law are summaries and do not purport to be complete. You should also refer to the Restated Certificate, the Bylaws, the Certificate of Designations, and the Rights Agreement which are incorporated by reference as exhibits to the Annual Report on Form 10-K of which this Exhibit 4.1 is a part. We encourage you to read these documents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Restated Certificate authorizes us to issue up to 100,000,000 shares of common stock, $0.001 par value per share, and 5,000,000 shares of preferred stock, $0.001 par value per share, of which 100,000 shares are designated as Series A Preferred Shares. All other shares of preferred stock are undesignated. For a description of the rights of our Series A Preferred Shares, see below under the heading “Preferred Stock Purchase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Subject to preferences that may apply to any outstanding preferred stock, holders of common stock are entitled to receive proportionately any dividends as may be declared by our board of directors.</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Preferred Shares, upon issuance of any such shares, and of any other series of preferred stock that we may designate and issue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Pursuant to our Restated Certificate, our board of directors has the authority to determine the number, rights, preferences, privileges and restrictions of each series of preferred stock that it may, from time to time, issue,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6" w:name="page127"/>
    <w:bookmarkEnd w:id="126"/>
    <w:p>
      <w:pPr>
        <w:spacing w:after="0" w:line="19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General Corporation Law of the State of Delaware (“DGCL”), the state of our incorporation,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 Purchase Rights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October 10, 2023, our board of directors declared a dividend of one preferred share purchase right (“Right”) to purchase one-thousandth of one share of Series A Preferred Shares for each outstanding share of our common stock to the stockholders of record as of the close of business on October 23, 2023 (the “Record Date”), and adopted a limited duration stockholder rights plan (the “Rights Plan”), as set forth in the Rights Agreement, dated as of October 10, 2023, as amended by Amendment No. 1 to Rights Agreement, dated as of October 9, 2024, and as further amended by Amendment No. 2 to Rights Agreement, dated as of December 5, 2024 (collectively, the “Rights Agreement”), by and between the Company and Computershare Trust Company, N.A., as Rights Agent. The Rights Agent currently serves as our transfer agent with respect to our common stock and also has been appointed transfer agent with respect to the Series A Preferred Shares, if any, that may be issued pursuant to the exercise of rights under the Rights Agreement. The Rights will expire immediately following our 2025 Annual Meeting of Stockholders, or, if our stockholders approve the Rights Plan at or prior to such meeting, on October 10, 2026 (“Final Expiration Date”), unless the rights are earlier redeemed or exchanged by the Company. We do not have any obligation under the Rights Agreement to seek stockholder approval for the Rights Plan.</w:t>
      </w:r>
    </w:p>
    <w:p>
      <w:pPr>
        <w:spacing w:after="0" w:line="194"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In general terms, the Rights Agreement works by imposing a significant penalty upon any person or group that acquires beneficial ownership of 10% (15% in the case of a passive institutional investor) or more of the outstanding shares of our common stock without the approval of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Rights will not be exercisable and will trade with shares of our common stock until the earlier to occur of (a) the tenth calendar day (or such later date as may be determined by our board of directors) after a person or group acquires beneficial ownership of 10% (15% in the case of a passive institutional investor) or more of our outstanding common stock (an “Acquiring Person”) or (b) the tenth business day (or such later date as may be determined by action of our board of directors prior to such time as any person or entity becomes an Acquiring Person) following the date of commencement of, or the first announcement of, an intention to commence, a tender offer or exchange offer, the consummation of which would result in any person or entity or group of persons or entities acting in concert becoming an Acquiring Person; provided, however, the term “Acquiring Person” is subject to certain customary exceptions whereby certain stockholders that would have otherwise been an Acquiring Person are excluded from the definition of “Acquiring Person.” Any Rights held by an Acquiring Person are null and void and may not be exercised. Any stockholders with beneficial ownership of our common stock above the applicable threshold as of the time of this announcement are grandfathered at their current ownership levels but are not permitted to increase their ownership without triggering the Rights. Prior to exercise, the Right does not give its holder any dividend, voting or liquidation rights.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Price</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date when the Rights separate from our common stock and become exercisable is referred to herein as the “Distribution Date.” After the Distribution Date, each Right will entitle the holder to purchase one-thousandth (1/1000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of a Preferred Share for $25.00, subject to adjustment (the “Exercise Price”). Each one-thousandth (1/1000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of a Series A Preferred Share has economic terms similar to that of one share of our common stock. The Exercise Price payable, and the number of Series A Preferred Shares or other securities or other property issuable upon exercise of the Rights will be subject to adjustment from time to time to prevent dilution in the event of a stock dividend on, or a subdivision, combination or reclassification of, the Series A Preferred Shares. The exercise of Rights to purchase Series A Preferred Shares will at all times be subject to the availability of a sufficient number of authorized but unissued Series A Preferred Shares. Notwithstanding the foregoing, with certain exceptions, no adjustment in the Exercise Price will be required until cumulative adjustments require an adjustment of at least 1% in such Exercise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Price. No fractional shares will be issued (other than fractions which are integral multiples of the number of one one-hundredth (1/100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of a Series A Preferred Share issuable upon the exercise of one Right, which may, at our election, be evidenced by depositary receipts), and in lieu thereof, an adjustment in cash will be made based on the market price of the Series A Preferred Shares on the last trading day prior to the date of exercise.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Consequences of a Person or Group Becoming an Acquiring Person</w:t>
      </w:r>
    </w:p>
    <w:p>
      <w:pPr>
        <w:spacing w:after="0" w:line="227" w:lineRule="exact"/>
        <w:rPr>
          <w:sz w:val="20"/>
          <w:szCs w:val="20"/>
          <w:color w:val="auto"/>
        </w:rPr>
      </w:pPr>
    </w:p>
    <w:p>
      <w:pPr>
        <w:ind w:left="760" w:right="600" w:hanging="378"/>
        <w:spacing w:after="0" w:line="284"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Flip-In</w:t>
      </w:r>
      <w:r>
        <w:rPr>
          <w:rFonts w:ascii="Times New Roman" w:cs="Times New Roman" w:eastAsia="Times New Roman" w:hAnsi="Times New Roman"/>
          <w:sz w:val="18"/>
          <w:szCs w:val="18"/>
          <w:color w:val="auto"/>
        </w:rPr>
        <w:t>. If a person or group becomes an Acquiring Person, all holders of Rights except the Acquiring Person or its affiliates may,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Price, purchase shares of our common stock with a market value of twice the Exercise Price.</w:t>
      </w:r>
    </w:p>
    <w:p>
      <w:pPr>
        <w:spacing w:after="0" w:line="117" w:lineRule="exact"/>
        <w:rPr>
          <w:rFonts w:ascii="Times New Roman" w:cs="Times New Roman" w:eastAsia="Times New Roman" w:hAnsi="Times New Roman"/>
          <w:sz w:val="18"/>
          <w:szCs w:val="18"/>
          <w:color w:val="auto"/>
        </w:rPr>
      </w:pPr>
    </w:p>
    <w:p>
      <w:pPr>
        <w:ind w:left="760" w:right="160" w:hanging="378"/>
        <w:spacing w:after="0" w:line="267"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In lieu of “flip-in” feature described above, our board of directors may, at its option at any time after a person or group becomes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Acquiring Person, exchange the Rights (other than Rights owned by the Acquiring Person or its affiliates), in whole or in part, for shares of our common stock at an exchange ratio of one share of our common stock per Right (subject to adjustment).</w:t>
      </w:r>
    </w:p>
    <w:p>
      <w:pPr>
        <w:spacing w:after="0" w:line="146" w:lineRule="exact"/>
        <w:rPr>
          <w:rFonts w:ascii="Times New Roman" w:cs="Times New Roman" w:eastAsia="Times New Roman" w:hAnsi="Times New Roman"/>
          <w:sz w:val="18"/>
          <w:szCs w:val="18"/>
          <w:color w:val="auto"/>
        </w:rPr>
      </w:pPr>
    </w:p>
    <w:p>
      <w:pPr>
        <w:ind w:left="760" w:right="220" w:hanging="378"/>
        <w:spacing w:after="0" w:line="267"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Flip-Over</w:t>
      </w:r>
      <w:r>
        <w:rPr>
          <w:rFonts w:ascii="Times New Roman" w:cs="Times New Roman" w:eastAsia="Times New Roman" w:hAnsi="Times New Roman"/>
          <w:sz w:val="18"/>
          <w:szCs w:val="18"/>
          <w:color w:val="auto"/>
        </w:rPr>
        <w:t>. If we are later acquired in a merger or similar transaction after the Distribution Date, all holders of Rights except the Acquiring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or its affiliates may purchase, for the Exercise Price, a number of shares of our common stock of the person engaging in the transaction having a market value of twice the Exercise Price.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of the Series A Preferred Shares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Each Series A Preferred Share, if issued:</w:t>
      </w:r>
    </w:p>
    <w:p>
      <w:pPr>
        <w:spacing w:after="0" w:line="225" w:lineRule="exact"/>
        <w:rPr>
          <w:sz w:val="20"/>
          <w:szCs w:val="20"/>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redeemable;</w:t>
      </w:r>
    </w:p>
    <w:p>
      <w:pPr>
        <w:spacing w:after="0" w:line="184"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and if any dividend is declared on our common stock, entitle the holder to a preferential quarterly dividend payment equal to 1,000 times the aggregate per share price of all cash and non-cash dividends declared per share of our common stock;</w:t>
      </w:r>
    </w:p>
    <w:p>
      <w:pPr>
        <w:spacing w:after="0" w:line="121" w:lineRule="exact"/>
        <w:rPr>
          <w:rFonts w:ascii="Times New Roman" w:cs="Times New Roman" w:eastAsia="Times New Roman" w:hAnsi="Times New Roman"/>
          <w:sz w:val="18"/>
          <w:szCs w:val="18"/>
          <w:color w:val="auto"/>
        </w:rPr>
      </w:pPr>
    </w:p>
    <w:p>
      <w:pPr>
        <w:ind w:left="760" w:right="180" w:hanging="378"/>
        <w:spacing w:after="0" w:line="312" w:lineRule="auto"/>
        <w:tabs>
          <w:tab w:leader="none" w:pos="7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 entitle the holder upon liquidation either to receive $1,000 plus an amount equal to accrued and unpaid dividends and distributions thereon or an aggregate amount per share equal to 1,000 times the aggregate amount to be distributed per share to holders of our common stock;</w:t>
      </w:r>
    </w:p>
    <w:p>
      <w:pPr>
        <w:spacing w:after="0" w:line="112"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have 1,000 votes, voting together with our common stock;</w:t>
      </w:r>
    </w:p>
    <w:p>
      <w:pPr>
        <w:spacing w:after="0" w:line="184"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our common stock are exchanged via merger, consolidation, or a similar transaction, will entitle the holder to a per share payment equal to 1,000 times the amount of consideration received per share of our common stock; and</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A Preferred Shares would rank junior to any other series of the Company’s preferred stock.</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value of one-thousandth interest in a Preferred Share is intended to approximate the value of one share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Expiration; Amendments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Rights will expire on the Final Expiration Date. The terms of the Rights Agreement may be amended by our board of directors without the consent of the holders of the Rights. After a person or group becomes an Acquiring Person, our board of directors may not amend the Rights Agreement in a way that adversely affects holders of the Rights.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board of directors may redeem the Rights for $0.001 per Right at any time prior to the earlier of (A) such time as any person or group becomes an Acquiring Person or (B) the close of business on the Final Expiration Date. Following the expiration of the above periods, the Rights become nonredeemable. If our board of directors redeems any Rights, it must redeem all of the Rights. Once the Rights are redeemed, the only right of the holders of Rights will be to receive the redemption price of $0.001 per Right. The redemption price will be adjusted if the Company effects a stock split or stock dividend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Rights will have the benefit of certain customary anti-dilution provisions.</w:t>
      </w:r>
    </w:p>
    <w:p>
      <w:pPr>
        <w:spacing w:after="0" w:line="22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Rights Agreement does not contain any dead-hand, slow-hand, no-hand or similar feature that limits the ability of a future board of directors to redeem the Rights. Until a Right is exercised, the holder thereof, as such, will have no rights as a stockholder of the Company, including, without limitation, the right to vote or to receive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January 15, 2021, TempestTx, Inc. (formerly Tempest Therapeutics, Inc., “Legacy Tempest”) issued warrants for the purchase of shares of preferred stock of TempestTx, Inc. to Oxford Finance LLC (the “Warrants”). Upon the closing of Legacy Tempest’s business combination with the Company, in accordance with the terms of the Agreement and Plan of Merger, dated as of March 29, 2021, by and among the Company, Legacy Tempest and Mars Merger Corp., a Delaware corporation and a wholly owned subsidiary of the Company (“Merger Sub”), pursuant to which, among other matters, Merger Sub merged with and into Legacy Tempest, with Legacy Tempest continuing as a wholly owned subsidiary of the Company and the surviving corporation of the merger (the ”Merger”), the Company assumed all of the outstanding Warrants. Following the Merger, the Warrants were restated and become exercisable for shares of the Company’s common stock. As of December 31, 2024, Warrants exercisable into 6,036 shares of common stock remained outstanding. The Warrants are exercisable at any time and from time to time, in whole or in part, until their expiration on January 15, 2031, at an exercise price of $24.84 per share (subject to customary adjustments), and may also be exercised on a cashless basis. The issuance of common stock upon exercise of the warrants is not covered by an effective registration statement.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2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62" w:lineRule="exact"/>
        <w:rPr>
          <w:sz w:val="20"/>
          <w:szCs w:val="20"/>
          <w:color w:val="auto"/>
        </w:rPr>
      </w:pPr>
    </w:p>
    <w:p>
      <w:pPr>
        <w:ind w:left="760" w:right="640" w:hanging="378"/>
        <w:spacing w:after="0" w:line="282" w:lineRule="auto"/>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121" w:lineRule="exact"/>
        <w:rPr>
          <w:rFonts w:ascii="Times New Roman" w:cs="Times New Roman" w:eastAsia="Times New Roman" w:hAnsi="Times New Roman"/>
          <w:sz w:val="18"/>
          <w:szCs w:val="18"/>
          <w:color w:val="auto"/>
        </w:rPr>
      </w:pPr>
    </w:p>
    <w:p>
      <w:pPr>
        <w:ind w:left="760" w:right="100" w:hanging="378"/>
        <w:spacing w:after="0" w:line="258" w:lineRule="auto"/>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56" w:lineRule="exact"/>
        <w:rPr>
          <w:rFonts w:ascii="Times New Roman" w:cs="Times New Roman" w:eastAsia="Times New Roman" w:hAnsi="Times New Roman"/>
          <w:sz w:val="18"/>
          <w:szCs w:val="18"/>
          <w:color w:val="auto"/>
        </w:rPr>
      </w:pPr>
    </w:p>
    <w:p>
      <w:pPr>
        <w:ind w:left="760" w:right="440" w:hanging="378"/>
        <w:spacing w:after="0" w:line="266" w:lineRule="auto"/>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98" w:lineRule="exact"/>
        <w:rPr>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84"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134"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21"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Restated Certificate and Bylaws divide our board of directors into three classes with staggered three year terms. In addition, our Restated Certificate and Bylaws provide that directors may be removed only for cause and only by the affirmative vote of the holders of 75% of our shares of capital stock present in person or by proxy and entitled to vote. Under our Restated Certificate and Bylaws, any vacancy on our board of directors, including a vacancy resulting from an enlargement of our board of directors, may be filled only by vote of a majority of our directors then in office. Furthermore, our Restated Certificate provides that the authorized number of directors may be changed only by the resolution of our board of directors, subject to the rights of any holders of preferred stock to elect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standards of any exchange on which our shares are listed.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 of Stockholders; Advance Notice Requirements for Stockholder Proposals and Director Nominations; Stockholder Action</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Restated Certificate and Bylaws provide that only our board of directors, the chairman of the board or our chief executive officer may call special meetings of stockholders, and the business transacted at a special meeting of stockholders shall be limited to matters relating to the purpose or purposes stated in the notice of meeting. 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of the preceding year’s annual meeting. Our Bylaws specify the requirements as to form and content of all stockholders’ notices. These requirements may preclude stockholders from bringing matters before the stockholders at an annual or special meeting. Our Restated Certificate and Bylaws provide that our stockholders may not take any action by written consent in lieu of a meeting.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 Majority Voting</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 a greater percentage. Our bylaws may be amended or repealed by a majority vote of our board of directors or the affirmative vote of the holders of at least 75% of the votes that all of our stockholders would be entitled to cast in any election of directors. In addition, the affirmative vote of the holders of at least 75% of the votes that all of our stockholders would be entitled to cast in any election of directors is required to amend or repeal or to adopt any provisions inconsistent with certain of the provisions of our Restated Certificate.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shall, to the fullest extent permitted by applicable law, be the sole and exclusive forum for (A) any derivative action or proceeding brought on behalf of the Company; (B) any action asserting a claim of breach of a fiduciary duty owed by any director, officer or other employee of the Company to the Company or the Company’s stockholders; (C) any action asserting a claim against the Company or any director or officer or other employee of the Company arising pursuant to any provision of the DGCL, our Restated Certificate or our Bylaws; or (D) any action asserting a claim against the Company or any director or officer or other employee of the Company governed by the internal affairs doctrine.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Restated Certificate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0"/>
          <w:szCs w:val="20"/>
          <w:b w:val="1"/>
          <w:bCs w:val="1"/>
          <w:color w:val="auto"/>
        </w:rPr>
        <w:t>Exhibit 4.2</w:t>
      </w:r>
    </w:p>
    <w:p>
      <w:pPr>
        <w:spacing w:after="0" w:line="200" w:lineRule="exact"/>
        <w:rPr>
          <w:sz w:val="20"/>
          <w:szCs w:val="20"/>
          <w:color w:val="auto"/>
        </w:rPr>
      </w:pP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WARRANT AND THE SHARES ISSUABLE HEREUNDER HAVE NOT BEEN REGISTERED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179"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RESTATED WARRANT TO PURCHASE STOCK [ ]</w:t>
            </w:r>
          </w:p>
        </w:tc>
      </w:tr>
      <w:tr>
        <w:trPr>
          <w:trHeight w:val="41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TEMPEST THERAPEUTICS, INC., a Delaware corporation</w:t>
            </w:r>
          </w:p>
        </w:tc>
      </w:tr>
      <w:tr>
        <w:trPr>
          <w:trHeight w:val="194"/>
        </w:trPr>
        <w:tc>
          <w:tcPr>
            <w:tcW w:w="25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Number of Shares:</w:t>
            </w:r>
          </w:p>
        </w:tc>
        <w:tc>
          <w:tcPr>
            <w:tcW w:w="3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  ]</w:t>
            </w:r>
          </w:p>
        </w:tc>
        <w:tc>
          <w:tcPr>
            <w:tcW w:w="8180" w:type="dxa"/>
            <w:vAlign w:val="bottom"/>
          </w:tcPr>
          <w:p>
            <w:pPr>
              <w:spacing w:after="0"/>
              <w:rPr>
                <w:sz w:val="16"/>
                <w:szCs w:val="16"/>
                <w:color w:val="auto"/>
              </w:rPr>
            </w:pPr>
          </w:p>
        </w:tc>
      </w:tr>
      <w:tr>
        <w:trPr>
          <w:trHeight w:val="218"/>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Type/Series of Stock:</w:t>
            </w: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Warrant Price:</w:t>
            </w: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$24.84 per share</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15, 2021</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Restated Issue Date:</w:t>
            </w: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 2021</w:t>
            </w:r>
          </w:p>
        </w:tc>
      </w:tr>
      <w:tr>
        <w:trPr>
          <w:trHeight w:val="21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15, 2031 (See also Section 5.1(b))</w:t>
            </w:r>
          </w:p>
        </w:tc>
      </w:tr>
      <w:tr>
        <w:trPr>
          <w:trHeight w:val="22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This Warrant to Purchase Stock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is issued in connection with that certain Loan and Security Agreement,</w:t>
            </w:r>
          </w:p>
        </w:tc>
      </w:tr>
      <w:tr>
        <w:trPr>
          <w:trHeight w:val="212"/>
        </w:trPr>
        <w:tc>
          <w:tcPr>
            <w:tcW w:w="256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January 15, 2021, among Oxford Finance LLC, as Lender and Collateral Agent, the Lenders from time to time</w:t>
            </w:r>
          </w:p>
        </w:tc>
      </w:tr>
      <w:tr>
        <w:trPr>
          <w:trHeight w:val="238"/>
        </w:trPr>
        <w:tc>
          <w:tcPr>
            <w:tcW w:w="256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party thereto, and the Company (as modified, amended and/or restated from time to time,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THIS WARRANT CERTIFIES THAT, for good and valuable consideration, OXFORD FINANCE LLC (“</w:t>
      </w:r>
      <w:r>
        <w:rPr>
          <w:rFonts w:ascii="Times New Roman" w:cs="Times New Roman" w:eastAsia="Times New Roman" w:hAnsi="Times New Roman"/>
          <w:sz w:val="18"/>
          <w:szCs w:val="18"/>
          <w:b w:val="1"/>
          <w:bCs w:val="1"/>
          <w:color w:val="auto"/>
        </w:rPr>
        <w:t>Oxford</w:t>
      </w:r>
      <w:r>
        <w:rPr>
          <w:rFonts w:ascii="Times New Roman" w:cs="Times New Roman" w:eastAsia="Times New Roman" w:hAnsi="Times New Roman"/>
          <w:sz w:val="18"/>
          <w:szCs w:val="18"/>
          <w:color w:val="auto"/>
        </w:rPr>
        <w:t>” and, together with any successor or permitted assignee or transferee of this Warrant or of any shares issued upon exercise hereof,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to purchase the number of fully paid and non-assessable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above-stated Type/Series of Stock (the “</w:t>
      </w: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18"/>
          <w:szCs w:val="18"/>
          <w:color w:val="auto"/>
        </w:rPr>
        <w:t>”) of the above-named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at the above-stated Warrant Price, all as set forth above and as adjusted pursuant to Section 2 of this Warrant, subject to the provisions and upon the terms and conditions set forth in this Warrant.</w:t>
      </w:r>
    </w:p>
    <w:p>
      <w:pPr>
        <w:spacing w:after="0" w:line="179"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This Warrant amends and restates in its entirety that certain Warrant to Purchase Stock 3 (the “</w:t>
      </w:r>
      <w:r>
        <w:rPr>
          <w:rFonts w:ascii="Times New Roman" w:cs="Times New Roman" w:eastAsia="Times New Roman" w:hAnsi="Times New Roman"/>
          <w:sz w:val="18"/>
          <w:szCs w:val="18"/>
          <w:b w:val="1"/>
          <w:bCs w:val="1"/>
          <w:color w:val="auto"/>
        </w:rPr>
        <w:t>Prior Warrant</w:t>
      </w:r>
      <w:r>
        <w:rPr>
          <w:rFonts w:ascii="Times New Roman" w:cs="Times New Roman" w:eastAsia="Times New Roman" w:hAnsi="Times New Roman"/>
          <w:sz w:val="18"/>
          <w:szCs w:val="18"/>
          <w:color w:val="auto"/>
        </w:rPr>
        <w:t>”).issued on January 15, 2021 by TempestTX, Inc., a Delaware corporation (formerly, Tempest Therapeutics, Inc.) (“</w:t>
      </w:r>
      <w:r>
        <w:rPr>
          <w:rFonts w:ascii="Times New Roman" w:cs="Times New Roman" w:eastAsia="Times New Roman" w:hAnsi="Times New Roman"/>
          <w:sz w:val="18"/>
          <w:szCs w:val="18"/>
          <w:b w:val="1"/>
          <w:bCs w:val="1"/>
          <w:color w:val="auto"/>
        </w:rPr>
        <w:t>Private Tempest</w:t>
      </w:r>
      <w:r>
        <w:rPr>
          <w:rFonts w:ascii="Times New Roman" w:cs="Times New Roman" w:eastAsia="Times New Roman" w:hAnsi="Times New Roman"/>
          <w:sz w:val="18"/>
          <w:szCs w:val="18"/>
          <w:color w:val="auto"/>
        </w:rPr>
        <w:t>”). On June 25, 2021, Private Tempest completed a merger with Millendo Therapeutics, Inc. pursuant to that certain Agreement and Plan of Merger, dated March 29, 2021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Pursuant to the Merger Agreement, immediately prior to the effective time of the merger, the Prior Warrant was exchanged for this Warrant. The Prior Warrant is hereby superseded in its entirety by the terms hereof and is no longer of any force or effect.</w:t>
      </w:r>
    </w:p>
    <w:p>
      <w:pPr>
        <w:spacing w:after="0" w:line="18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SECTION 1.</w:t>
      </w:r>
      <w:r>
        <w:rPr>
          <w:rFonts w:ascii="Times New Roman" w:cs="Times New Roman" w:eastAsia="Times New Roman" w:hAnsi="Times New Roman"/>
          <w:sz w:val="18"/>
          <w:szCs w:val="18"/>
          <w:u w:val="single" w:color="auto"/>
          <w:color w:val="auto"/>
        </w:rPr>
        <w:t>EXERCISE.</w:t>
      </w:r>
    </w:p>
    <w:p>
      <w:pPr>
        <w:spacing w:after="0" w:line="225" w:lineRule="exact"/>
        <w:rPr>
          <w:sz w:val="20"/>
          <w:szCs w:val="20"/>
          <w:color w:val="auto"/>
        </w:rPr>
      </w:pPr>
    </w:p>
    <w:p>
      <w:pPr>
        <w:jc w:val="both"/>
        <w:ind w:right="20" w:firstLine="1497"/>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80"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X = Y(A-B)/A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32" w:name="page133"/>
    <w:bookmarkEnd w:id="132"/>
    <w:p>
      <w:pPr>
        <w:ind w:left="76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X = the number of Shares to be issued to the Holder;</w:t>
      </w:r>
    </w:p>
    <w:p>
      <w:pPr>
        <w:spacing w:after="0" w:line="225" w:lineRule="exact"/>
        <w:rPr>
          <w:sz w:val="20"/>
          <w:szCs w:val="20"/>
          <w:color w:val="auto"/>
        </w:rPr>
      </w:pPr>
    </w:p>
    <w:p>
      <w:pPr>
        <w:ind w:left="3000" w:right="20" w:hanging="748"/>
        <w:spacing w:after="0" w:line="282" w:lineRule="auto"/>
        <w:rPr>
          <w:sz w:val="20"/>
          <w:szCs w:val="20"/>
          <w:color w:val="auto"/>
        </w:rPr>
      </w:pPr>
      <w:r>
        <w:rPr>
          <w:rFonts w:ascii="Times New Roman" w:cs="Times New Roman" w:eastAsia="Times New Roman" w:hAnsi="Times New Roman"/>
          <w:sz w:val="18"/>
          <w:szCs w:val="18"/>
          <w:color w:val="auto"/>
        </w:rPr>
        <w:t>Y = the number of Shares with respect to which this Warrant is being exercised (inclusive of the Shares surrendered to the Company in payment of the aggregate Warrant Price);</w:t>
      </w:r>
    </w:p>
    <w:p>
      <w:pPr>
        <w:spacing w:after="0" w:line="16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 = the Fair Market Value (as determined pursuant to Section 1.3 below) of one Share; and</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 = the Warrant Price.</w:t>
      </w:r>
    </w:p>
    <w:p>
      <w:pPr>
        <w:spacing w:after="0" w:line="225"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If the Company’s common stock is then traded or quoted on a nationally recognized securities exchange, inter-dealer quotation system or over-the-counter market (a “</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88"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Book-Entry and New Warrant</w:t>
      </w:r>
      <w:r>
        <w:rPr>
          <w:rFonts w:ascii="Times New Roman" w:cs="Times New Roman" w:eastAsia="Times New Roman" w:hAnsi="Times New Roman"/>
          <w:sz w:val="18"/>
          <w:szCs w:val="18"/>
          <w:color w:val="auto"/>
        </w:rPr>
        <w:t>. Within a reasonable time after Holder exercises this Warrant in the manner set forth in Section 1.1 or 1.2 above, a new book-entry shall be made representing the Shares issued to Holder upon such exercise, if this Warrant has not been fully exercised and has not expired, a new warrant of like tenor representing the Shares not so acquired.</w:t>
      </w:r>
    </w:p>
    <w:p>
      <w:pPr>
        <w:spacing w:after="0" w:line="176"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Replacement of Warrant</w:t>
      </w:r>
      <w:r>
        <w:rPr>
          <w:rFonts w:ascii="Times New Roman" w:cs="Times New Roman" w:eastAsia="Times New Roman" w:hAnsi="Times New Roman"/>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0"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u w:val="single" w:color="auto"/>
          <w:color w:val="auto"/>
        </w:rPr>
        <w:t>Treatment of Warrant Upon Acquisition of Company</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2040" w:hanging="535"/>
        <w:spacing w:after="0"/>
        <w:tabs>
          <w:tab w:leader="none" w:pos="20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For the purpose of this Warrant,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means any transaction or series of related transactions involving:</w:t>
      </w:r>
    </w:p>
    <w:p>
      <w:pPr>
        <w:spacing w:after="0" w:line="31" w:lineRule="exact"/>
        <w:rPr>
          <w:rFonts w:ascii="Times New Roman" w:cs="Times New Roman" w:eastAsia="Times New Roman" w:hAnsi="Times New Roman"/>
          <w:sz w:val="18"/>
          <w:szCs w:val="18"/>
          <w:color w:val="auto"/>
        </w:rPr>
      </w:pPr>
    </w:p>
    <w:p>
      <w:pPr>
        <w:jc w:val="both"/>
        <w:ind w:firstLine="8"/>
        <w:spacing w:after="0" w:line="251" w:lineRule="auto"/>
        <w:tabs>
          <w:tab w:leader="none" w:pos="23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(iii) any sale or other transfer by the stockholders of the Company of shares representing at least a majority of the Company’s then-total outstanding combined voting power, other than any transaction or series of transactions effected principally for bona fide equity financing purposes in which cash is received by the Company or any successor or indebtedness of the Company is cancelled or converted or a combination thereof; or (iv) any Liquidation Event (as defined in the Company’s Amended and Restated Certificate of Incorporation, as may be amended and/or restated from time to time (the “</w:t>
      </w:r>
      <w:r>
        <w:rPr>
          <w:rFonts w:ascii="Times New Roman" w:cs="Times New Roman" w:eastAsia="Times New Roman" w:hAnsi="Times New Roman"/>
          <w:sz w:val="18"/>
          <w:szCs w:val="18"/>
          <w:b w:val="1"/>
          <w:bCs w:val="1"/>
          <w:color w:val="auto"/>
        </w:rPr>
        <w:t>Restated Certificate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3" w:name="page134"/>
    <w:bookmarkEnd w:id="133"/>
    <w:p>
      <w:pPr>
        <w:jc w:val="both"/>
        <w:ind w:firstLine="1505"/>
        <w:spacing w:after="0" w:line="258" w:lineRule="auto"/>
        <w:tabs>
          <w:tab w:leader="none" w:pos="20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Warrant at Acquisition</w:t>
      </w:r>
      <w:r>
        <w:rPr>
          <w:rFonts w:ascii="Times New Roman" w:cs="Times New Roman" w:eastAsia="Times New Roman" w:hAnsi="Times New Roman"/>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Times New Roman" w:cs="Times New Roman" w:eastAsia="Times New Roman" w:hAnsi="Times New Roman"/>
          <w:sz w:val="18"/>
          <w:szCs w:val="18"/>
          <w:b w:val="1"/>
          <w:bCs w:val="1"/>
          <w:color w:val="auto"/>
        </w:rPr>
        <w:t>Cash/Public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either (i) Holder shall exercise this Warrant pursuant to Section 1.1 and/or 1.2 and such exercise will be deemed effective immediately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and contingent upon the consummation of such Acquisition or (ii) if Holder elects not to exercise the Warrant, this Warrant will expire immediately prior to the consummation of such Acquisition.</w:t>
      </w:r>
    </w:p>
    <w:p>
      <w:pPr>
        <w:spacing w:after="0" w:line="183" w:lineRule="exact"/>
        <w:rPr>
          <w:rFonts w:ascii="Times New Roman" w:cs="Times New Roman" w:eastAsia="Times New Roman" w:hAnsi="Times New Roman"/>
          <w:sz w:val="18"/>
          <w:szCs w:val="18"/>
          <w:color w:val="auto"/>
        </w:rPr>
      </w:pPr>
    </w:p>
    <w:p>
      <w:pPr>
        <w:jc w:val="both"/>
        <w:ind w:firstLine="1505"/>
        <w:spacing w:after="0" w:line="254" w:lineRule="auto"/>
        <w:tabs>
          <w:tab w:leader="none" w:pos="20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Holder with written notice of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88" w:lineRule="exact"/>
        <w:rPr>
          <w:rFonts w:ascii="Times New Roman" w:cs="Times New Roman" w:eastAsia="Times New Roman" w:hAnsi="Times New Roman"/>
          <w:sz w:val="18"/>
          <w:szCs w:val="18"/>
          <w:color w:val="auto"/>
        </w:rPr>
      </w:pPr>
    </w:p>
    <w:p>
      <w:pPr>
        <w:jc w:val="both"/>
        <w:ind w:firstLine="1505"/>
        <w:spacing w:after="0" w:line="254" w:lineRule="auto"/>
        <w:tabs>
          <w:tab w:leader="none" w:pos="20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of any Acquisition other than a Cash/Public Acquisition defined above, the Company shall use reasonable efforts to ensure that the acquiring, surviving or successor entity shall assume the obligations of this Warrant, and this Warrant shall upon closing of such Acquisition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 If, however, the acquiring, surviving or successor entity does not agree to assume the obligations of this Warrant, the Company shall provide Holder with written notice of such Acquisition (together with such reasonable information as Holder may reasonably require regarding the treatment of this Warrant in connection with such contemplated Acquisition giving rise to such notice), which is to be delivered to Holder not less than seven (7) Business Days prior to the closing of such Acquisition and the Holder may, in its discretion, exercise this Warrant prior to such Acquisition.</w:t>
      </w:r>
    </w:p>
    <w:p>
      <w:pPr>
        <w:spacing w:after="0" w:line="184"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Warrant, “</w:t>
      </w:r>
      <w:r>
        <w:rPr>
          <w:rFonts w:ascii="Times New Roman" w:cs="Times New Roman" w:eastAsia="Times New Roman" w:hAnsi="Times New Roman"/>
          <w:sz w:val="18"/>
          <w:szCs w:val="18"/>
          <w:b w:val="1"/>
          <w:bCs w:val="1"/>
          <w:color w:val="auto"/>
        </w:rPr>
        <w:t>Marketable Securities</w:t>
      </w:r>
      <w:r>
        <w:rPr>
          <w:rFonts w:ascii="Times New Roman" w:cs="Times New Roman" w:eastAsia="Times New Roman" w:hAnsi="Times New Roman"/>
          <w:sz w:val="18"/>
          <w:szCs w:val="18"/>
          <w:color w:val="auto"/>
        </w:rPr>
        <w:t>” means securities meeting all of the following requirements: (i) the issuer thereof is then subject to the reporting requirements of Section 13 or Section 15(d) of the Securities Exchange Act of 1934, as amended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and is then current in its filing of all required reports and other information under the Act and the Exchange Act; (ii) the class and series of shares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security of the issuer that would be received by Holder in connection with the Acquisition were Holder to exercise this Warrant on 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Cash/Public Acquisition.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2.</w:t>
      </w:r>
      <w:r>
        <w:rPr>
          <w:rFonts w:ascii="Times New Roman" w:cs="Times New Roman" w:eastAsia="Times New Roman" w:hAnsi="Times New Roman"/>
          <w:sz w:val="18"/>
          <w:szCs w:val="18"/>
          <w:u w:val="single" w:color="auto"/>
          <w:color w:val="auto"/>
        </w:rPr>
        <w:t>ADJUSTMENTS TO THE SHARES AND WARRANT PRICE.</w:t>
      </w:r>
    </w:p>
    <w:p>
      <w:pPr>
        <w:spacing w:after="0" w:line="225"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Stock Dividends, Splits, Etc</w:t>
      </w:r>
      <w:r>
        <w:rPr>
          <w:rFonts w:ascii="Times New Roman" w:cs="Times New Roman" w:eastAsia="Times New Roman" w:hAnsi="Times New Roman"/>
          <w:sz w:val="18"/>
          <w:szCs w:val="18"/>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4" w:name="page135"/>
    <w:bookmarkEnd w:id="134"/>
    <w:p>
      <w:pPr>
        <w:jc w:val="both"/>
        <w:ind w:firstLine="1497"/>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Reclassification, Exchange, Combinations or Substitution</w:t>
      </w:r>
      <w:r>
        <w:rPr>
          <w:rFonts w:ascii="Times New Roman" w:cs="Times New Roman" w:eastAsia="Times New Roman" w:hAnsi="Times New Roman"/>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87"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Intentionally Left Blank</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u w:val="single" w:color="auto"/>
          <w:color w:val="auto"/>
        </w:rPr>
        <w:t>Intentionally Left Blank</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No Fractional Share</w:t>
      </w:r>
      <w:r>
        <w:rPr>
          <w:rFonts w:ascii="Times New Roman" w:cs="Times New Roman" w:eastAsia="Times New Roman" w:hAnsi="Times New Roman"/>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Notice/Certificate as to Adjustments</w:t>
      </w:r>
      <w:r>
        <w:rPr>
          <w:rFonts w:ascii="Times New Roman" w:cs="Times New Roman" w:eastAsia="Times New Roman" w:hAnsi="Times New Roman"/>
          <w:sz w:val="18"/>
          <w:szCs w:val="18"/>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President or Chief Executive Officer, including computations of such adjustment and the Warrant Price, Class and number of Shares in effect upon the date of such adjustment.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w:t>
      </w:r>
      <w:r>
        <w:rPr>
          <w:rFonts w:ascii="Times New Roman" w:cs="Times New Roman" w:eastAsia="Times New Roman" w:hAnsi="Times New Roman"/>
          <w:sz w:val="18"/>
          <w:szCs w:val="18"/>
          <w:u w:val="single" w:color="auto"/>
          <w:color w:val="auto"/>
        </w:rPr>
        <w:t>REPRESENTATIONS AND COVENANTS OF THE COMPANY.</w:t>
      </w:r>
    </w:p>
    <w:p>
      <w:pPr>
        <w:spacing w:after="0" w:line="225"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the Holder as follows:</w:t>
      </w:r>
    </w:p>
    <w:p>
      <w:pPr>
        <w:spacing w:after="0" w:line="225" w:lineRule="exact"/>
        <w:rPr>
          <w:sz w:val="20"/>
          <w:szCs w:val="20"/>
          <w:color w:val="auto"/>
        </w:rPr>
      </w:pPr>
    </w:p>
    <w:p>
      <w:pPr>
        <w:jc w:val="both"/>
        <w:ind w:firstLine="1505"/>
        <w:spacing w:after="0" w:line="256" w:lineRule="auto"/>
        <w:tabs>
          <w:tab w:leader="none" w:pos="20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under the Financing Agreements,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187"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Notice of Certain Events</w:t>
      </w:r>
      <w:r>
        <w:rPr>
          <w:rFonts w:ascii="Times New Roman" w:cs="Times New Roman" w:eastAsia="Times New Roman" w:hAnsi="Times New Roman"/>
          <w:sz w:val="18"/>
          <w:szCs w:val="18"/>
          <w:color w:val="auto"/>
        </w:rPr>
        <w:t>. If the Company proposes at any time to:</w:t>
      </w:r>
    </w:p>
    <w:p>
      <w:pPr>
        <w:spacing w:after="0" w:line="225" w:lineRule="exact"/>
        <w:rPr>
          <w:sz w:val="20"/>
          <w:szCs w:val="20"/>
          <w:color w:val="auto"/>
        </w:rPr>
      </w:pPr>
    </w:p>
    <w:p>
      <w:pPr>
        <w:ind w:firstLine="1505"/>
        <w:spacing w:after="0" w:line="282" w:lineRule="auto"/>
        <w:tabs>
          <w:tab w:leader="none" w:pos="20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any dividend or distribution upon the outstanding shares of the Class or common stock, whether in cash, property, stock, or other securities and whether or not a regular cash dividend;</w:t>
      </w:r>
    </w:p>
    <w:p>
      <w:pPr>
        <w:spacing w:after="0" w:line="161"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161"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reclassification, exchange, combination, substitution, reorganization or recapitalization of the outstanding shares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w:t>
      </w:r>
    </w:p>
    <w:p>
      <w:pPr>
        <w:spacing w:after="0" w:line="206"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 Acquisition or to liquidate, dissolve or wind 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in connection with each such event, the Company shall give Holder:</w:t>
      </w:r>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5" w:name="page136"/>
    <w:bookmarkEnd w:id="135"/>
    <w:p>
      <w:pPr>
        <w:jc w:val="both"/>
        <w:ind w:firstLine="2254"/>
        <w:spacing w:after="0" w:line="266" w:lineRule="auto"/>
        <w:tabs>
          <w:tab w:leader="none" w:pos="25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 and</w:t>
      </w:r>
    </w:p>
    <w:p>
      <w:pPr>
        <w:spacing w:after="0" w:line="175" w:lineRule="exact"/>
        <w:rPr>
          <w:rFonts w:ascii="Times New Roman" w:cs="Times New Roman" w:eastAsia="Times New Roman" w:hAnsi="Times New Roman"/>
          <w:sz w:val="18"/>
          <w:szCs w:val="18"/>
          <w:color w:val="auto"/>
        </w:rPr>
      </w:pPr>
    </w:p>
    <w:p>
      <w:pPr>
        <w:jc w:val="both"/>
        <w:ind w:firstLine="2254"/>
        <w:spacing w:after="0" w:line="266" w:lineRule="auto"/>
        <w:tabs>
          <w:tab w:leader="none" w:pos="25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7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SECTION 4.</w:t>
      </w:r>
      <w:r>
        <w:rPr>
          <w:rFonts w:ascii="Times New Roman" w:cs="Times New Roman" w:eastAsia="Times New Roman" w:hAnsi="Times New Roman"/>
          <w:sz w:val="18"/>
          <w:szCs w:val="18"/>
          <w:u w:val="single" w:color="auto"/>
          <w:color w:val="auto"/>
        </w:rPr>
        <w:t>REPRESENTATIONS, WARRANTIES OF THE HOLDER.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Holder represents and warrants to, and agrees with, the Company as follows:</w:t>
      </w:r>
    </w:p>
    <w:p>
      <w:pPr>
        <w:spacing w:after="0" w:line="225"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Purchase for Own Account</w:t>
      </w:r>
      <w:r>
        <w:rPr>
          <w:rFonts w:ascii="Times New Roman" w:cs="Times New Roman" w:eastAsia="Times New Roman" w:hAnsi="Times New Roman"/>
          <w:sz w:val="18"/>
          <w:szCs w:val="18"/>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76"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87"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Investment Experience</w:t>
      </w:r>
      <w:r>
        <w:rPr>
          <w:rFonts w:ascii="Times New Roman" w:cs="Times New Roman" w:eastAsia="Times New Roman" w:hAnsi="Times New Roman"/>
          <w:sz w:val="18"/>
          <w:szCs w:val="18"/>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87"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u w:val="single" w:color="auto"/>
          <w:color w:val="auto"/>
        </w:rPr>
        <w:t>Accredited Investor Status</w:t>
      </w:r>
      <w:r>
        <w:rPr>
          <w:rFonts w:ascii="Times New Roman" w:cs="Times New Roman" w:eastAsia="Times New Roman" w:hAnsi="Times New Roman"/>
          <w:sz w:val="18"/>
          <w:szCs w:val="18"/>
          <w:color w:val="auto"/>
        </w:rPr>
        <w:t>. Holder is an “accredited investor” within the meaning of Regulation D promulgated under the Act.</w:t>
      </w:r>
    </w:p>
    <w:p>
      <w:pPr>
        <w:spacing w:after="0" w:line="22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The Act</w:t>
      </w:r>
      <w:r>
        <w:rPr>
          <w:rFonts w:ascii="Times New Roman" w:cs="Times New Roman" w:eastAsia="Times New Roman" w:hAnsi="Times New Roman"/>
          <w:sz w:val="18"/>
          <w:szCs w:val="18"/>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83"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u w:val="single" w:color="auto"/>
          <w:color w:val="auto"/>
        </w:rPr>
        <w:t>Intentionally Left Blank</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6" w:name="page137"/>
    <w:bookmarkEnd w:id="136"/>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u w:val="single" w:color="auto"/>
          <w:color w:val="auto"/>
        </w:rPr>
        <w:t>No Voting Rights</w:t>
      </w:r>
      <w:r>
        <w:rPr>
          <w:rFonts w:ascii="Times New Roman" w:cs="Times New Roman" w:eastAsia="Times New Roman" w:hAnsi="Times New Roman"/>
          <w:sz w:val="18"/>
          <w:szCs w:val="18"/>
          <w:color w:val="auto"/>
        </w:rPr>
        <w:t>. Holder, as a Holder of this Warrant, will not have any voting rights until the exercise of this Warrant.</w:t>
      </w:r>
    </w:p>
    <w:p>
      <w:pPr>
        <w:spacing w:after="0" w:line="2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SECTION 5.</w:t>
      </w: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auto"/>
        </w:rPr>
        <w:t>Term; Automatic Cashless Exercise Upon Expiration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505"/>
        <w:spacing w:after="0" w:line="282" w:lineRule="auto"/>
        <w:tabs>
          <w:tab w:leader="none" w:pos="20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Subject to the provisions of Section 1.6 above, this Warrant is exercisable in whole or in part at any time and from time to time on or before 6:00 PM, Eastern time, on the Expiration Date and shall be void thereafter.</w:t>
      </w:r>
    </w:p>
    <w:p>
      <w:pPr>
        <w:spacing w:after="0" w:line="161"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Cashless Exercise upon Expiration</w:t>
      </w:r>
      <w:r>
        <w:rPr>
          <w:rFonts w:ascii="Times New Roman" w:cs="Times New Roman" w:eastAsia="Times New Roman" w:hAnsi="Times New Roman"/>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a new book-entry shall be made representing the Shares (or such other securities) issued upon such exercise to Holder.</w:t>
      </w:r>
    </w:p>
    <w:p>
      <w:pPr>
        <w:spacing w:after="0" w:line="183"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Intentionally Left Blank</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u w:val="single" w:color="auto"/>
          <w:color w:val="auto"/>
        </w:rPr>
        <w:t>Intentionally Left Blank</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Transfer Procedure</w:t>
      </w:r>
      <w:r>
        <w:rPr>
          <w:rFonts w:ascii="Times New Roman" w:cs="Times New Roman" w:eastAsia="Times New Roman" w:hAnsi="Times New Roman"/>
          <w:sz w:val="18"/>
          <w:szCs w:val="18"/>
          <w:color w:val="auto"/>
        </w:rPr>
        <w:t>. After receipt by Oxford of the executed Warrant, Oxford may transfer all or part of this Warrant to one or more of Oxford’s affiliates (each, an “</w:t>
      </w:r>
      <w:r>
        <w:rPr>
          <w:rFonts w:ascii="Times New Roman" w:cs="Times New Roman" w:eastAsia="Times New Roman" w:hAnsi="Times New Roman"/>
          <w:sz w:val="18"/>
          <w:szCs w:val="18"/>
          <w:b w:val="1"/>
          <w:bCs w:val="1"/>
          <w:color w:val="auto"/>
        </w:rPr>
        <w:t>Oxford Affiliate</w:t>
      </w:r>
      <w:r>
        <w:rPr>
          <w:rFonts w:ascii="Times New Roman" w:cs="Times New Roman" w:eastAsia="Times New Roman" w:hAnsi="Times New Roman"/>
          <w:sz w:val="18"/>
          <w:szCs w:val="18"/>
          <w:color w:val="auto"/>
        </w:rPr>
        <w:t>”), by execution of an Assignment substantially in the form of Appendix 2. Subject to the provisions of Article 5.3 and upon providing the Company with written notice, Oxford, any such Oxford Affiliate and any subsequent Holder, may transfer all or part of this Warrant or the Shares issuable upon exercise of this Warrant (or the Shares issuable directly or indirectly, upon conversion of the Shares, if any) to any other transferee, provided, however, in connection with any such transfer, the Oxford Affiliate(s)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w:t>
      </w:r>
    </w:p>
    <w:p>
      <w:pPr>
        <w:spacing w:after="0" w:line="189"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8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Oxford Finance LLC</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115 South Union Street</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Suite 300</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Alexandria, VA 22314</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Telephone:</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Facsimile:</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Notice to the Company shall be addressed as follows until Holder receives notice of a change in address:</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7000 Shoreline Court</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Suite 275</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7" w:name="page138"/>
    <w:bookmarkEnd w:id="137"/>
    <w:p>
      <w:pPr>
        <w:ind w:left="2260"/>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3175 Hanover Street</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Palo Alto, CA 94304-1130</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Attn: John Hale</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Fax: (650) 849-7400</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Email: jhale@cooley.com</w:t>
      </w:r>
    </w:p>
    <w:p>
      <w:pPr>
        <w:spacing w:after="0" w:line="207"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76"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62"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Counterparts; Facsimile/Electronic Signatures</w:t>
      </w:r>
      <w:r>
        <w:rPr>
          <w:rFonts w:ascii="Times New Roman" w:cs="Times New Roman" w:eastAsia="Times New Roman" w:hAnsi="Times New Roman"/>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76"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governed by and construed in accordance with the laws of the State of California, without giving effect to its principles regarding conflicts of law.</w:t>
      </w:r>
    </w:p>
    <w:p>
      <w:pPr>
        <w:spacing w:after="0" w:line="162"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Warrant are for purposes of reference only and shall not limit or otherwise affect the meaning of any provision of this Warrant.</w:t>
      </w:r>
    </w:p>
    <w:p>
      <w:pPr>
        <w:spacing w:after="0" w:line="158" w:lineRule="exact"/>
        <w:rPr>
          <w:sz w:val="20"/>
          <w:szCs w:val="20"/>
          <w:color w:val="auto"/>
        </w:rPr>
      </w:pPr>
    </w:p>
    <w:p>
      <w:pPr>
        <w:jc w:val="center"/>
        <w:ind w:right="-259"/>
        <w:spacing w:after="0"/>
        <w:tabs>
          <w:tab w:leader="none" w:pos="20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8"/>
          <w:szCs w:val="18"/>
          <w:u w:val="single" w:color="auto"/>
          <w:color w:val="auto"/>
        </w:rPr>
        <w:t>Business Days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is any day that is not a Saturday, Sunday or a day on which Oxford is closed.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8" w:name="page139"/>
    <w:bookmarkEnd w:id="138"/>
    <w:p>
      <w:pPr>
        <w:ind w:firstLine="749"/>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Warrant to Purchase Stock to be executed by their duly authorized representatives effective as of the Issue Date written above.</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“HOLDER”</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OXFORD FINANCE LLC</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(Print)</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10.32</w:t>
      </w:r>
    </w:p>
    <w:p>
      <w:pPr>
        <w:spacing w:after="0" w:line="200" w:lineRule="exact"/>
        <w:rPr>
          <w:sz w:val="20"/>
          <w:szCs w:val="20"/>
          <w:color w:val="auto"/>
        </w:rPr>
      </w:pPr>
    </w:p>
    <w:p>
      <w:pPr>
        <w:ind w:right="40" w:firstLine="8"/>
        <w:spacing w:after="0" w:line="245" w:lineRule="auto"/>
        <w:tabs>
          <w:tab w:leader="none" w:pos="380" w:val="left"/>
        </w:tabs>
        <w:numPr>
          <w:ilvl w:val="0"/>
          <w:numId w:val="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Certain confidential information contained in this document, marked by brackets, has been omitted because it is both (a) not material and (b) is the type that the registrant treats as private or confidential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w:t>
      </w:r>
      <w:r>
        <w:rPr>
          <w:rFonts w:ascii="Arial" w:cs="Arial" w:eastAsia="Arial" w:hAnsi="Arial"/>
          <w:sz w:val="17"/>
          <w:szCs w:val="17"/>
          <w:b w:val="1"/>
          <w:bCs w:val="1"/>
          <w:color w:val="auto"/>
        </w:rPr>
        <w:t>aster</w:t>
      </w:r>
      <w:r>
        <w:rPr>
          <w:rFonts w:ascii="Arial" w:cs="Arial" w:eastAsia="Arial" w:hAnsi="Arial"/>
          <w:sz w:val="25"/>
          <w:szCs w:val="25"/>
          <w:b w:val="1"/>
          <w:bCs w:val="1"/>
          <w:color w:val="auto"/>
        </w:rPr>
        <w:t xml:space="preserve"> C</w:t>
      </w:r>
      <w:r>
        <w:rPr>
          <w:rFonts w:ascii="Arial" w:cs="Arial" w:eastAsia="Arial" w:hAnsi="Arial"/>
          <w:sz w:val="17"/>
          <w:szCs w:val="17"/>
          <w:b w:val="1"/>
          <w:bCs w:val="1"/>
          <w:color w:val="auto"/>
        </w:rPr>
        <w:t>linical</w:t>
      </w:r>
      <w:r>
        <w:rPr>
          <w:rFonts w:ascii="Arial" w:cs="Arial" w:eastAsia="Arial" w:hAnsi="Arial"/>
          <w:sz w:val="25"/>
          <w:szCs w:val="25"/>
          <w:b w:val="1"/>
          <w:bCs w:val="1"/>
          <w:color w:val="auto"/>
        </w:rPr>
        <w:t xml:space="preserve"> S</w:t>
      </w:r>
      <w:r>
        <w:rPr>
          <w:rFonts w:ascii="Arial" w:cs="Arial" w:eastAsia="Arial" w:hAnsi="Arial"/>
          <w:sz w:val="17"/>
          <w:szCs w:val="17"/>
          <w:b w:val="1"/>
          <w:bCs w:val="1"/>
          <w:color w:val="auto"/>
        </w:rPr>
        <w:t>upply</w:t>
      </w:r>
      <w:r>
        <w:rPr>
          <w:rFonts w:ascii="Arial" w:cs="Arial" w:eastAsia="Arial" w:hAnsi="Arial"/>
          <w:sz w:val="25"/>
          <w:szCs w:val="25"/>
          <w:b w:val="1"/>
          <w:bCs w:val="1"/>
          <w:color w:val="auto"/>
        </w:rPr>
        <w:t xml:space="preserve"> A</w:t>
      </w:r>
      <w:r>
        <w:rPr>
          <w:rFonts w:ascii="Arial" w:cs="Arial" w:eastAsia="Arial" w:hAnsi="Arial"/>
          <w:sz w:val="17"/>
          <w:szCs w:val="17"/>
          <w:b w:val="1"/>
          <w:bCs w:val="1"/>
          <w:color w:val="auto"/>
        </w:rPr>
        <w:t>greement</w:t>
      </w:r>
    </w:p>
    <w:p>
      <w:pPr>
        <w:spacing w:after="0" w:line="30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MASTER CLINICAL SUPPLY AGREEMENT</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 effective as of the date of last signature on the signature page below (“</w:t>
      </w:r>
      <w:r>
        <w:rPr>
          <w:rFonts w:ascii="Arial" w:cs="Arial" w:eastAsia="Arial" w:hAnsi="Arial"/>
          <w:sz w:val="20"/>
          <w:szCs w:val="20"/>
          <w:b w:val="1"/>
          <w:bCs w:val="1"/>
          <w:color w:val="auto"/>
        </w:rPr>
        <w:t>Effective Date</w:t>
      </w:r>
      <w:r>
        <w:rPr>
          <w:rFonts w:ascii="Arial" w:cs="Arial" w:eastAsia="Arial" w:hAnsi="Arial"/>
          <w:sz w:val="20"/>
          <w:szCs w:val="20"/>
          <w:color w:val="auto"/>
        </w:rPr>
        <w:t xml:space="preserve">”) is by and between </w:t>
      </w:r>
      <w:r>
        <w:rPr>
          <w:rFonts w:ascii="Arial" w:cs="Arial" w:eastAsia="Arial" w:hAnsi="Arial"/>
          <w:sz w:val="20"/>
          <w:szCs w:val="20"/>
          <w:b w:val="1"/>
          <w:bCs w:val="1"/>
          <w:color w:val="auto"/>
        </w:rPr>
        <w:t>T</w:t>
      </w:r>
      <w:r>
        <w:rPr>
          <w:rFonts w:ascii="Arial" w:cs="Arial" w:eastAsia="Arial" w:hAnsi="Arial"/>
          <w:sz w:val="13"/>
          <w:szCs w:val="13"/>
          <w:b w:val="1"/>
          <w:bCs w:val="1"/>
          <w:color w:val="auto"/>
        </w:rPr>
        <w:t>empest</w:t>
      </w:r>
      <w:r>
        <w:rPr>
          <w:rFonts w:ascii="Arial" w:cs="Arial" w:eastAsia="Arial" w:hAnsi="Arial"/>
          <w:sz w:val="20"/>
          <w:szCs w:val="20"/>
          <w:color w:val="auto"/>
        </w:rPr>
        <w:t xml:space="preserve"> </w:t>
      </w:r>
      <w:r>
        <w:rPr>
          <w:rFonts w:ascii="Arial" w:cs="Arial" w:eastAsia="Arial" w:hAnsi="Arial"/>
          <w:sz w:val="20"/>
          <w:szCs w:val="20"/>
          <w:b w:val="1"/>
          <w:bCs w:val="1"/>
          <w:color w:val="auto"/>
        </w:rPr>
        <w:t>T</w:t>
      </w:r>
      <w:r>
        <w:rPr>
          <w:rFonts w:ascii="Arial" w:cs="Arial" w:eastAsia="Arial" w:hAnsi="Arial"/>
          <w:sz w:val="13"/>
          <w:szCs w:val="13"/>
          <w:b w:val="1"/>
          <w:bCs w:val="1"/>
          <w:color w:val="auto"/>
        </w:rPr>
        <w:t>herapeutics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xml:space="preserve"> having a principal place of business at 2000 Sierra Point Parkway, Suite 400, Brisbane, CA 94005 (“</w:t>
      </w:r>
      <w:r>
        <w:rPr>
          <w:rFonts w:ascii="Arial" w:cs="Arial" w:eastAsia="Arial" w:hAnsi="Arial"/>
          <w:sz w:val="20"/>
          <w:szCs w:val="20"/>
          <w:b w:val="1"/>
          <w:bCs w:val="1"/>
          <w:color w:val="auto"/>
        </w:rPr>
        <w:t>COMPANY</w:t>
      </w:r>
      <w:r>
        <w:rPr>
          <w:rFonts w:ascii="Arial" w:cs="Arial" w:eastAsia="Arial" w:hAnsi="Arial"/>
          <w:sz w:val="20"/>
          <w:szCs w:val="20"/>
          <w:color w:val="auto"/>
        </w:rPr>
        <w:t xml:space="preserve">”) and </w:t>
      </w:r>
      <w:r>
        <w:rPr>
          <w:rFonts w:ascii="Arial" w:cs="Arial" w:eastAsia="Arial" w:hAnsi="Arial"/>
          <w:sz w:val="20"/>
          <w:szCs w:val="20"/>
          <w:b w:val="1"/>
          <w:bCs w:val="1"/>
          <w:color w:val="auto"/>
        </w:rPr>
        <w:t>F. H</w:t>
      </w:r>
      <w:r>
        <w:rPr>
          <w:rFonts w:ascii="Arial" w:cs="Arial" w:eastAsia="Arial" w:hAnsi="Arial"/>
          <w:sz w:val="13"/>
          <w:szCs w:val="13"/>
          <w:b w:val="1"/>
          <w:bCs w:val="1"/>
          <w:color w:val="auto"/>
        </w:rPr>
        <w:t>offmann</w:t>
      </w:r>
      <w:r>
        <w:rPr>
          <w:rFonts w:ascii="Arial" w:cs="Arial" w:eastAsia="Arial" w:hAnsi="Arial"/>
          <w:sz w:val="20"/>
          <w:szCs w:val="20"/>
          <w:b w:val="1"/>
          <w:bCs w:val="1"/>
          <w:color w:val="auto"/>
        </w:rPr>
        <w:t>-L</w:t>
      </w:r>
      <w:r>
        <w:rPr>
          <w:rFonts w:ascii="Arial" w:cs="Arial" w:eastAsia="Arial" w:hAnsi="Arial"/>
          <w:sz w:val="13"/>
          <w:szCs w:val="13"/>
          <w:b w:val="1"/>
          <w:bCs w:val="1"/>
          <w:color w:val="auto"/>
        </w:rPr>
        <w:t>a</w:t>
      </w:r>
      <w:r>
        <w:rPr>
          <w:rFonts w:ascii="Arial" w:cs="Arial" w:eastAsia="Arial" w:hAnsi="Arial"/>
          <w:sz w:val="20"/>
          <w:szCs w:val="20"/>
          <w:color w:val="auto"/>
        </w:rPr>
        <w:t xml:space="preserve"> </w:t>
      </w:r>
      <w:r>
        <w:rPr>
          <w:rFonts w:ascii="Arial" w:cs="Arial" w:eastAsia="Arial" w:hAnsi="Arial"/>
          <w:sz w:val="20"/>
          <w:szCs w:val="20"/>
          <w:b w:val="1"/>
          <w:bCs w:val="1"/>
          <w:color w:val="auto"/>
        </w:rPr>
        <w:t>R</w:t>
      </w:r>
      <w:r>
        <w:rPr>
          <w:rFonts w:ascii="Arial" w:cs="Arial" w:eastAsia="Arial" w:hAnsi="Arial"/>
          <w:sz w:val="13"/>
          <w:szCs w:val="13"/>
          <w:b w:val="1"/>
          <w:bCs w:val="1"/>
          <w:color w:val="auto"/>
        </w:rPr>
        <w:t>oche</w:t>
      </w:r>
      <w:r>
        <w:rPr>
          <w:rFonts w:ascii="Arial" w:cs="Arial" w:eastAsia="Arial" w:hAnsi="Arial"/>
          <w:sz w:val="20"/>
          <w:szCs w:val="20"/>
          <w:color w:val="auto"/>
        </w:rPr>
        <w:t xml:space="preserve"> </w:t>
      </w:r>
      <w:r>
        <w:rPr>
          <w:rFonts w:ascii="Arial" w:cs="Arial" w:eastAsia="Arial" w:hAnsi="Arial"/>
          <w:sz w:val="20"/>
          <w:szCs w:val="20"/>
          <w:b w:val="1"/>
          <w:bCs w:val="1"/>
          <w:color w:val="auto"/>
        </w:rPr>
        <w:t>L</w:t>
      </w:r>
      <w:r>
        <w:rPr>
          <w:rFonts w:ascii="Arial" w:cs="Arial" w:eastAsia="Arial" w:hAnsi="Arial"/>
          <w:sz w:val="13"/>
          <w:szCs w:val="13"/>
          <w:b w:val="1"/>
          <w:bCs w:val="1"/>
          <w:color w:val="auto"/>
        </w:rPr>
        <w:t>td</w:t>
      </w:r>
      <w:r>
        <w:rPr>
          <w:rFonts w:ascii="Arial" w:cs="Arial" w:eastAsia="Arial" w:hAnsi="Arial"/>
          <w:sz w:val="20"/>
          <w:szCs w:val="20"/>
          <w:b w:val="1"/>
          <w:bCs w:val="1"/>
          <w:color w:val="auto"/>
        </w:rPr>
        <w:t>,</w:t>
      </w:r>
      <w:r>
        <w:rPr>
          <w:rFonts w:ascii="Arial" w:cs="Arial" w:eastAsia="Arial" w:hAnsi="Arial"/>
          <w:sz w:val="20"/>
          <w:szCs w:val="20"/>
          <w:color w:val="auto"/>
        </w:rPr>
        <w:t xml:space="preserve"> having a place of business at Grenzacherstrasse 124, CH-4070 Basel, Switzerland (“</w:t>
      </w:r>
      <w:r>
        <w:rPr>
          <w:rFonts w:ascii="Arial" w:cs="Arial" w:eastAsia="Arial" w:hAnsi="Arial"/>
          <w:sz w:val="20"/>
          <w:szCs w:val="20"/>
          <w:b w:val="1"/>
          <w:bCs w:val="1"/>
          <w:color w:val="auto"/>
        </w:rPr>
        <w:t>ROCHE</w:t>
      </w:r>
      <w:r>
        <w:rPr>
          <w:rFonts w:ascii="Arial" w:cs="Arial" w:eastAsia="Arial" w:hAnsi="Arial"/>
          <w:sz w:val="20"/>
          <w:szCs w:val="20"/>
          <w:color w:val="auto"/>
        </w:rPr>
        <w:t>”). ROCHE and COMPANY are each referred to herein as a “</w:t>
      </w:r>
      <w:r>
        <w:rPr>
          <w:rFonts w:ascii="Arial" w:cs="Arial" w:eastAsia="Arial" w:hAnsi="Arial"/>
          <w:sz w:val="20"/>
          <w:szCs w:val="20"/>
          <w:b w:val="1"/>
          <w:bCs w:val="1"/>
          <w:color w:val="auto"/>
        </w:rPr>
        <w:t>Party</w:t>
      </w:r>
      <w:r>
        <w:rPr>
          <w:rFonts w:ascii="Arial" w:cs="Arial" w:eastAsia="Arial" w:hAnsi="Arial"/>
          <w:sz w:val="20"/>
          <w:szCs w:val="20"/>
          <w:color w:val="auto"/>
        </w:rPr>
        <w:t>” and are collectively referred to as the “</w:t>
      </w:r>
      <w:r>
        <w:rPr>
          <w:rFonts w:ascii="Arial" w:cs="Arial" w:eastAsia="Arial" w:hAnsi="Arial"/>
          <w:sz w:val="20"/>
          <w:szCs w:val="20"/>
          <w:b w:val="1"/>
          <w:bCs w:val="1"/>
          <w:color w:val="auto"/>
        </w:rPr>
        <w:t>Parties</w:t>
      </w:r>
      <w:r>
        <w:rPr>
          <w:rFonts w:ascii="Arial" w:cs="Arial" w:eastAsia="Arial" w:hAnsi="Arial"/>
          <w:sz w:val="20"/>
          <w:szCs w:val="20"/>
          <w:color w:val="auto"/>
        </w:rPr>
        <w:t>”</w:t>
      </w:r>
      <w:r>
        <w:rPr>
          <w:rFonts w:ascii="Arial" w:cs="Arial" w:eastAsia="Arial" w:hAnsi="Arial"/>
          <w:sz w:val="20"/>
          <w:szCs w:val="20"/>
          <w:b w:val="1"/>
          <w:bCs w:val="1"/>
          <w:color w:val="auto"/>
        </w:rPr>
        <w: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COMPANY is developing amezalpat (TPST-1120), a proprietary compound in development for the treatment of</w:t>
      </w:r>
    </w:p>
    <w:p>
      <w:pPr>
        <w:spacing w:after="0" w:line="231" w:lineRule="auto"/>
        <w:rPr>
          <w:sz w:val="20"/>
          <w:szCs w:val="20"/>
          <w:color w:val="auto"/>
        </w:rPr>
      </w:pPr>
      <w:r>
        <w:rPr>
          <w:rFonts w:ascii="Arial" w:cs="Arial" w:eastAsia="Arial" w:hAnsi="Arial"/>
          <w:sz w:val="20"/>
          <w:szCs w:val="20"/>
          <w:color w:val="auto"/>
        </w:rPr>
        <w:t>hepatocellular carcinoma and other advanced solid tumors;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ROCHE is currently developing or has developed atezolizumab (TECENTRIQ®)</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for the treatment of advanced solid tumors; and</w:t>
      </w:r>
    </w:p>
    <w:p>
      <w:pPr>
        <w:spacing w:after="0" w:line="182" w:lineRule="exact"/>
        <w:rPr>
          <w:sz w:val="20"/>
          <w:szCs w:val="20"/>
          <w:color w:val="auto"/>
        </w:rPr>
      </w:pPr>
    </w:p>
    <w:p>
      <w:pPr>
        <w:spacing w:after="0" w:line="235"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COMPANY desires ROCHE to supply atezolizumab to COMPANY, and ROCHE is willing to supply atezolizumab to</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in accordance with the terms of this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Agreement, for use in one or more clinical studies of TPST-1120 in combination with the atezolizumab.</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NOW, THEREFORE, </w:t>
      </w:r>
      <w:r>
        <w:rPr>
          <w:rFonts w:ascii="Arial" w:cs="Arial" w:eastAsia="Arial" w:hAnsi="Arial"/>
          <w:sz w:val="19"/>
          <w:szCs w:val="19"/>
          <w:color w:val="auto"/>
        </w:rPr>
        <w:t>in consideration of the following mutual promises, covenants and conditions and any sums to be paid, the</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Parties hereto agree as follows:</w:t>
      </w:r>
    </w:p>
    <w:p>
      <w:pPr>
        <w:spacing w:after="0" w:line="182" w:lineRule="exact"/>
        <w:rPr>
          <w:sz w:val="20"/>
          <w:szCs w:val="20"/>
          <w:color w:val="auto"/>
        </w:rPr>
      </w:pPr>
    </w:p>
    <w:p>
      <w:pPr>
        <w:ind w:left="440" w:hanging="432"/>
        <w:spacing w:after="0"/>
        <w:tabs>
          <w:tab w:leader="none" w:pos="440"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Request for Roche Compound</w:t>
      </w:r>
    </w:p>
    <w:p>
      <w:pPr>
        <w:spacing w:after="0" w:line="202" w:lineRule="exact"/>
        <w:rPr>
          <w:sz w:val="20"/>
          <w:szCs w:val="20"/>
          <w:color w:val="auto"/>
        </w:rPr>
      </w:pPr>
    </w:p>
    <w:p>
      <w:pPr>
        <w:jc w:val="both"/>
        <w:ind w:firstLine="674"/>
        <w:spacing w:after="0"/>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u w:val="single" w:color="auto"/>
          <w:color w:val="auto"/>
        </w:rPr>
        <w:t>Notice</w:t>
      </w:r>
      <w:r>
        <w:rPr>
          <w:rFonts w:ascii="Arial" w:cs="Arial" w:eastAsia="Arial" w:hAnsi="Arial"/>
          <w:sz w:val="20"/>
          <w:szCs w:val="20"/>
          <w:color w:val="auto"/>
        </w:rPr>
        <w:t>. When COMPANY desires to run a clinical study of amezalpat (TPST-1120) (“</w:t>
      </w:r>
      <w:r>
        <w:rPr>
          <w:rFonts w:ascii="Arial" w:cs="Arial" w:eastAsia="Arial" w:hAnsi="Arial"/>
          <w:sz w:val="20"/>
          <w:szCs w:val="20"/>
          <w:b w:val="1"/>
          <w:bCs w:val="1"/>
          <w:color w:val="auto"/>
        </w:rPr>
        <w:t>Company Compound</w:t>
      </w:r>
      <w:r>
        <w:rPr>
          <w:rFonts w:ascii="Arial" w:cs="Arial" w:eastAsia="Arial" w:hAnsi="Arial"/>
          <w:sz w:val="20"/>
          <w:szCs w:val="20"/>
          <w:color w:val="auto"/>
        </w:rPr>
        <w:t>”) in</w:t>
      </w:r>
      <w:r>
        <w:rPr>
          <w:rFonts w:ascii="Arial" w:cs="Arial" w:eastAsia="Arial" w:hAnsi="Arial"/>
          <w:sz w:val="20"/>
          <w:szCs w:val="20"/>
          <w:b w:val="1"/>
          <w:bCs w:val="1"/>
          <w:color w:val="auto"/>
        </w:rPr>
        <w:t xml:space="preserve"> </w:t>
      </w:r>
      <w:r>
        <w:rPr>
          <w:rFonts w:ascii="Arial" w:cs="Arial" w:eastAsia="Arial" w:hAnsi="Arial"/>
          <w:sz w:val="20"/>
          <w:szCs w:val="20"/>
          <w:color w:val="auto"/>
        </w:rPr>
        <w:t>combination with atezolizumab (“</w:t>
      </w:r>
      <w:r>
        <w:rPr>
          <w:rFonts w:ascii="Arial" w:cs="Arial" w:eastAsia="Arial" w:hAnsi="Arial"/>
          <w:sz w:val="20"/>
          <w:szCs w:val="20"/>
          <w:b w:val="1"/>
          <w:bCs w:val="1"/>
          <w:color w:val="auto"/>
        </w:rPr>
        <w:t>Roche Compound</w:t>
      </w:r>
      <w:r>
        <w:rPr>
          <w:rFonts w:ascii="Arial" w:cs="Arial" w:eastAsia="Arial" w:hAnsi="Arial"/>
          <w:sz w:val="20"/>
          <w:szCs w:val="20"/>
          <w:color w:val="auto"/>
        </w:rPr>
        <w:t>”), (each, a “</w:t>
      </w:r>
      <w:r>
        <w:rPr>
          <w:rFonts w:ascii="Arial" w:cs="Arial" w:eastAsia="Arial" w:hAnsi="Arial"/>
          <w:sz w:val="20"/>
          <w:szCs w:val="20"/>
          <w:b w:val="1"/>
          <w:bCs w:val="1"/>
          <w:color w:val="auto"/>
        </w:rPr>
        <w:t>Proposed Study</w:t>
      </w: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xml:space="preserve"> and wishes to receive Roche Compound under this Agreement for use in the control arm of such Proposed Study and, in combination with the Company Compound, in the experimental arm of such Proposed Study, COMPANY will provide ROCHE with written notice [***] (“</w:t>
      </w:r>
      <w:r>
        <w:rPr>
          <w:rFonts w:ascii="Arial" w:cs="Arial" w:eastAsia="Arial" w:hAnsi="Arial"/>
          <w:sz w:val="20"/>
          <w:szCs w:val="20"/>
          <w:b w:val="1"/>
          <w:bCs w:val="1"/>
          <w:color w:val="auto"/>
        </w:rPr>
        <w:t>Proposed Protocol</w:t>
      </w:r>
      <w:r>
        <w:rPr>
          <w:rFonts w:ascii="Arial" w:cs="Arial" w:eastAsia="Arial" w:hAnsi="Arial"/>
          <w:sz w:val="20"/>
          <w:szCs w:val="20"/>
          <w:color w:val="auto"/>
        </w:rPr>
        <w:t>”).</w:t>
      </w:r>
    </w:p>
    <w:p>
      <w:pPr>
        <w:spacing w:after="0" w:line="120" w:lineRule="exact"/>
        <w:rPr>
          <w:sz w:val="20"/>
          <w:szCs w:val="20"/>
          <w:color w:val="auto"/>
        </w:rPr>
      </w:pPr>
    </w:p>
    <w:p>
      <w:pPr>
        <w:jc w:val="both"/>
        <w:ind w:firstLine="674"/>
        <w:spacing w:after="0" w:line="230" w:lineRule="auto"/>
        <w:rPr>
          <w:sz w:val="20"/>
          <w:szCs w:val="20"/>
          <w:color w:val="auto"/>
        </w:rPr>
      </w:pPr>
      <w:r>
        <w:rPr>
          <w:rFonts w:ascii="Arial" w:cs="Arial" w:eastAsia="Arial" w:hAnsi="Arial"/>
          <w:sz w:val="20"/>
          <w:szCs w:val="20"/>
          <w:b w:val="1"/>
          <w:bCs w:val="1"/>
          <w:color w:val="auto"/>
        </w:rPr>
        <w:t xml:space="preserve">1.2 </w:t>
      </w:r>
      <w:r>
        <w:rPr>
          <w:rFonts w:ascii="Arial" w:cs="Arial" w:eastAsia="Arial" w:hAnsi="Arial"/>
          <w:sz w:val="20"/>
          <w:szCs w:val="20"/>
          <w:u w:val="single" w:color="auto"/>
          <w:color w:val="auto"/>
        </w:rPr>
        <w:t>CSA Supplements</w:t>
      </w:r>
      <w:r>
        <w:rPr>
          <w:rFonts w:ascii="Arial" w:cs="Arial" w:eastAsia="Arial" w:hAnsi="Arial"/>
          <w:sz w:val="20"/>
          <w:szCs w:val="20"/>
          <w:color w:val="auto"/>
        </w:rPr>
        <w:t>. After receipt of notice pursuant to the foregoing Section 1.1, ROCHE will determine and provide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notice to COMPANY in a timely manner as to whether it will supply the Roche Compound to COMPANY for use in the Proposed Study in accordance with such Proposed Protocol. If ROCHE agrees to supply the Roche Compound, the Parties will promptly execute a mutually acceptable Clinical Supply Agreement Supplement in substantially the form attached hereto as </w:t>
      </w:r>
      <w:r>
        <w:rPr>
          <w:rFonts w:ascii="Arial" w:cs="Arial" w:eastAsia="Arial" w:hAnsi="Arial"/>
          <w:sz w:val="20"/>
          <w:szCs w:val="20"/>
          <w:u w:val="single" w:color="auto"/>
          <w:color w:val="auto"/>
        </w:rPr>
        <w:t>Appendix 1</w:t>
      </w:r>
      <w:r>
        <w:rPr>
          <w:rFonts w:ascii="Arial" w:cs="Arial" w:eastAsia="Arial" w:hAnsi="Arial"/>
          <w:sz w:val="20"/>
          <w:szCs w:val="20"/>
          <w:color w:val="auto"/>
        </w:rPr>
        <w:t xml:space="preserve"> (each, a “</w:t>
      </w:r>
      <w:r>
        <w:rPr>
          <w:rFonts w:ascii="Arial" w:cs="Arial" w:eastAsia="Arial" w:hAnsi="Arial"/>
          <w:sz w:val="20"/>
          <w:szCs w:val="20"/>
          <w:b w:val="1"/>
          <w:bCs w:val="1"/>
          <w:color w:val="auto"/>
        </w:rPr>
        <w:t>CSA Supplement</w:t>
      </w:r>
      <w:r>
        <w:rPr>
          <w:rFonts w:ascii="Arial" w:cs="Arial" w:eastAsia="Arial" w:hAnsi="Arial"/>
          <w:sz w:val="20"/>
          <w:szCs w:val="20"/>
          <w:color w:val="auto"/>
        </w:rPr>
        <w:t>”) that [***]. Upon the execution of a CSA Supplement for a Proposed Study, it shall be deemed to be a “</w:t>
      </w:r>
      <w:r>
        <w:rPr>
          <w:rFonts w:ascii="Arial" w:cs="Arial" w:eastAsia="Arial" w:hAnsi="Arial"/>
          <w:sz w:val="20"/>
          <w:szCs w:val="20"/>
          <w:b w:val="1"/>
          <w:bCs w:val="1"/>
          <w:color w:val="auto"/>
        </w:rPr>
        <w:t>Study</w:t>
      </w:r>
      <w:r>
        <w:rPr>
          <w:rFonts w:ascii="Arial" w:cs="Arial" w:eastAsia="Arial" w:hAnsi="Arial"/>
          <w:sz w:val="20"/>
          <w:szCs w:val="20"/>
          <w:color w:val="auto"/>
        </w:rPr>
        <w:t>” and the Proposed Protocol for it shall be deemed to be a “</w:t>
      </w:r>
      <w:r>
        <w:rPr>
          <w:rFonts w:ascii="Arial" w:cs="Arial" w:eastAsia="Arial" w:hAnsi="Arial"/>
          <w:sz w:val="20"/>
          <w:szCs w:val="20"/>
          <w:b w:val="1"/>
          <w:bCs w:val="1"/>
          <w:color w:val="auto"/>
        </w:rPr>
        <w:t>Protocol</w:t>
      </w:r>
      <w:r>
        <w:rPr>
          <w:rFonts w:ascii="Arial" w:cs="Arial" w:eastAsia="Arial" w:hAnsi="Arial"/>
          <w:sz w:val="20"/>
          <w:szCs w:val="20"/>
          <w:color w:val="auto"/>
        </w:rPr>
        <w:t>.” The terms of this Agreement shall be incorporated by reference and made part of each CSA Supplement. In the event of a conflict between the terms of a CSA Supplement and the terms of this Agreement, the terms of this Agreement will control, unless otherwise agreed by both Parties in the relevant CSA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1005840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0" w:name="page141"/>
    <w:bookmarkEnd w:id="140"/>
    <w:p>
      <w:pPr>
        <w:spacing w:after="0" w:line="150" w:lineRule="exact"/>
        <w:rPr>
          <w:sz w:val="20"/>
          <w:szCs w:val="20"/>
          <w:color w:val="auto"/>
        </w:rPr>
      </w:pPr>
    </w:p>
    <w:p>
      <w:pPr>
        <w:jc w:val="both"/>
        <w:ind w:firstLine="674"/>
        <w:spacing w:after="0" w:line="230" w:lineRule="auto"/>
        <w:rPr>
          <w:sz w:val="20"/>
          <w:szCs w:val="20"/>
          <w:color w:val="auto"/>
        </w:rPr>
      </w:pPr>
      <w:r>
        <w:rPr>
          <w:rFonts w:ascii="Arial" w:cs="Arial" w:eastAsia="Arial" w:hAnsi="Arial"/>
          <w:sz w:val="20"/>
          <w:szCs w:val="20"/>
          <w:color w:val="auto"/>
        </w:rPr>
        <w:t xml:space="preserve">Supplement, making express reference to this Section 1.2. Each CSA Supplement will be a unique agreement and will stand alone with respect to any other CSA Supplement entered into under this Agreement. As of the Effective Date, the Parties have agreed that Roche will supply the Roche Compound to COMPANY for use in the Study entitled “A Phase 3 Randomized, Double-Blind, Placebo-Controlled Study of TPST-1120 in Combination with Atezolizumab plus Bevacizumab Compared with Placebo plus Atezolizumab plus Bevacizumab in Patients with Unresectable or Metastatic Hepatocellular Carcinoma (HCC) not Previously Treated with Systemic Therapy” (the </w:t>
      </w:r>
      <w:r>
        <w:rPr>
          <w:rFonts w:ascii="Arial" w:cs="Arial" w:eastAsia="Arial" w:hAnsi="Arial"/>
          <w:sz w:val="20"/>
          <w:szCs w:val="20"/>
          <w:b w:val="1"/>
          <w:bCs w:val="1"/>
          <w:color w:val="auto"/>
        </w:rPr>
        <w:t>“First Study”),</w:t>
      </w:r>
      <w:r>
        <w:rPr>
          <w:rFonts w:ascii="Arial" w:cs="Arial" w:eastAsia="Arial" w:hAnsi="Arial"/>
          <w:sz w:val="20"/>
          <w:szCs w:val="20"/>
          <w:color w:val="auto"/>
        </w:rPr>
        <w:t xml:space="preserve"> and are entering into, as of the Effective Date, a CSA Supplement for the First Study. As a result, Section 1.1 and the first two sentences of this Section 1.2 do not apply to the First Study, but the First Study and the Protocol (as referred to in the relevant CSA Supplement) and CSA Supplement for the First Study shall otherwise be subject to the same rights and obligations under this Agreement as other Studies, Protocols and CSA Supplements.</w:t>
      </w:r>
    </w:p>
    <w:p>
      <w:pPr>
        <w:spacing w:after="0" w:line="143" w:lineRule="exact"/>
        <w:rPr>
          <w:sz w:val="20"/>
          <w:szCs w:val="20"/>
          <w:color w:val="auto"/>
        </w:rPr>
      </w:pPr>
    </w:p>
    <w:p>
      <w:pPr>
        <w:jc w:val="both"/>
        <w:ind w:firstLine="674"/>
        <w:spacing w:after="0" w:line="235" w:lineRule="auto"/>
        <w:rPr>
          <w:sz w:val="20"/>
          <w:szCs w:val="20"/>
          <w:color w:val="auto"/>
        </w:rPr>
      </w:pPr>
      <w:r>
        <w:rPr>
          <w:rFonts w:ascii="Arial" w:cs="Arial" w:eastAsia="Arial" w:hAnsi="Arial"/>
          <w:sz w:val="20"/>
          <w:szCs w:val="20"/>
          <w:b w:val="1"/>
          <w:bCs w:val="1"/>
          <w:color w:val="auto"/>
        </w:rPr>
        <w:t xml:space="preserve">1.3 </w:t>
      </w:r>
      <w:r>
        <w:rPr>
          <w:rFonts w:ascii="Arial" w:cs="Arial" w:eastAsia="Arial" w:hAnsi="Arial"/>
          <w:sz w:val="20"/>
          <w:szCs w:val="20"/>
          <w:u w:val="single" w:color="auto"/>
          <w:color w:val="auto"/>
        </w:rPr>
        <w:t>Quality Agreement</w:t>
      </w:r>
      <w:r>
        <w:rPr>
          <w:rFonts w:ascii="Arial" w:cs="Arial" w:eastAsia="Arial" w:hAnsi="Arial"/>
          <w:sz w:val="20"/>
          <w:szCs w:val="20"/>
          <w:color w:val="auto"/>
        </w:rPr>
        <w:t>. The Parties will execute an agreement defining quality requirements for the Roche Compound</w:t>
      </w:r>
      <w:r>
        <w:rPr>
          <w:rFonts w:ascii="Arial" w:cs="Arial" w:eastAsia="Arial" w:hAnsi="Arial"/>
          <w:sz w:val="20"/>
          <w:szCs w:val="20"/>
          <w:b w:val="1"/>
          <w:bCs w:val="1"/>
          <w:color w:val="auto"/>
        </w:rPr>
        <w:t xml:space="preserve"> </w:t>
      </w:r>
      <w:r>
        <w:rPr>
          <w:rFonts w:ascii="Arial" w:cs="Arial" w:eastAsia="Arial" w:hAnsi="Arial"/>
          <w:sz w:val="20"/>
          <w:szCs w:val="20"/>
          <w:color w:val="auto"/>
        </w:rPr>
        <w:t>which are typical for this kind of transaction (“</w:t>
      </w:r>
      <w:r>
        <w:rPr>
          <w:rFonts w:ascii="Arial" w:cs="Arial" w:eastAsia="Arial" w:hAnsi="Arial"/>
          <w:sz w:val="20"/>
          <w:szCs w:val="20"/>
          <w:b w:val="1"/>
          <w:bCs w:val="1"/>
          <w:color w:val="auto"/>
        </w:rPr>
        <w:t>Quality Agreement</w:t>
      </w:r>
      <w:r>
        <w:rPr>
          <w:rFonts w:ascii="Arial" w:cs="Arial" w:eastAsia="Arial" w:hAnsi="Arial"/>
          <w:sz w:val="20"/>
          <w:szCs w:val="20"/>
          <w:color w:val="auto"/>
        </w:rPr>
        <w:t>”) within [***] days of the Effective Date or such longer period as is agreed between the Parties in writing (which may be by email). [***]. In the event of a conflict between the Quality Agreement and this Agreement, the Quality Agreement will govern and control with respect to [***], and this Agreement will govern and control with respect to all other terms. The Quality Agreement will [***].</w:t>
      </w:r>
    </w:p>
    <w:p>
      <w:pPr>
        <w:spacing w:after="0" w:line="170" w:lineRule="exact"/>
        <w:rPr>
          <w:sz w:val="20"/>
          <w:szCs w:val="20"/>
          <w:color w:val="auto"/>
        </w:rPr>
      </w:pPr>
    </w:p>
    <w:p>
      <w:pPr>
        <w:ind w:left="440" w:hanging="432"/>
        <w:spacing w:after="0"/>
        <w:tabs>
          <w:tab w:leader="none" w:pos="440"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Protocol</w:t>
      </w:r>
    </w:p>
    <w:p>
      <w:pPr>
        <w:spacing w:after="0" w:line="191" w:lineRule="exact"/>
        <w:rPr>
          <w:sz w:val="20"/>
          <w:szCs w:val="20"/>
          <w:color w:val="auto"/>
        </w:rPr>
      </w:pPr>
    </w:p>
    <w:p>
      <w:pPr>
        <w:jc w:val="both"/>
        <w:ind w:left="600" w:right="80"/>
        <w:spacing w:after="0" w:line="234" w:lineRule="auto"/>
        <w:rPr>
          <w:sz w:val="20"/>
          <w:szCs w:val="20"/>
          <w:color w:val="auto"/>
        </w:rPr>
      </w:pPr>
      <w:r>
        <w:rPr>
          <w:rFonts w:ascii="Arial" w:cs="Arial" w:eastAsia="Arial" w:hAnsi="Arial"/>
          <w:sz w:val="20"/>
          <w:szCs w:val="20"/>
          <w:color w:val="auto"/>
        </w:rPr>
        <w:t>COMPANY will prepare the Protocol for each Study, and any subsequent changes thereto. The final draft of the Protocol will be submitted to ROCHE for its review. Any material changes to the Protocol will be provided (in electronic form) to ROCHE at least [***] days in advance of implementing changes, or if not available [***] days in advance, as soon as reasonably available so that ROCHE may evaluate [***]. The Parties acknowledge that any Protocol (including all amendments) will be [***].</w:t>
      </w:r>
    </w:p>
    <w:p>
      <w:pPr>
        <w:spacing w:after="0" w:line="173" w:lineRule="exact"/>
        <w:rPr>
          <w:sz w:val="20"/>
          <w:szCs w:val="20"/>
          <w:color w:val="auto"/>
        </w:rPr>
      </w:pPr>
    </w:p>
    <w:p>
      <w:pPr>
        <w:ind w:left="440" w:hanging="432"/>
        <w:spacing w:after="0"/>
        <w:tabs>
          <w:tab w:leader="none" w:pos="440"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Conduct of the Study</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3.1  </w:t>
      </w:r>
      <w:r>
        <w:rPr>
          <w:rFonts w:ascii="Arial" w:cs="Arial" w:eastAsia="Arial" w:hAnsi="Arial"/>
          <w:sz w:val="20"/>
          <w:szCs w:val="20"/>
          <w:u w:val="single" w:color="auto"/>
          <w:color w:val="auto"/>
        </w:rPr>
        <w:t>Compliance.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will perform each Study in accordance with the</w:t>
      </w:r>
    </w:p>
    <w:p>
      <w:pPr>
        <w:spacing w:after="0" w:line="6"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relevant Protocol and this Agreement. COMPANY will comply with all applicable laws, rules and regulations (“</w:t>
      </w:r>
      <w:r>
        <w:rPr>
          <w:rFonts w:ascii="Arial" w:cs="Arial" w:eastAsia="Arial" w:hAnsi="Arial"/>
          <w:sz w:val="20"/>
          <w:szCs w:val="20"/>
          <w:b w:val="1"/>
          <w:bCs w:val="1"/>
          <w:color w:val="auto"/>
        </w:rPr>
        <w:t>Applicable</w:t>
      </w:r>
      <w:r>
        <w:rPr>
          <w:rFonts w:ascii="Arial" w:cs="Arial" w:eastAsia="Arial" w:hAnsi="Arial"/>
          <w:sz w:val="20"/>
          <w:szCs w:val="20"/>
          <w:color w:val="auto"/>
        </w:rPr>
        <w:t xml:space="preserve"> </w:t>
      </w:r>
      <w:r>
        <w:rPr>
          <w:rFonts w:ascii="Arial" w:cs="Arial" w:eastAsia="Arial" w:hAnsi="Arial"/>
          <w:sz w:val="20"/>
          <w:szCs w:val="20"/>
          <w:b w:val="1"/>
          <w:bCs w:val="1"/>
          <w:color w:val="auto"/>
        </w:rPr>
        <w:t>Laws</w:t>
      </w:r>
      <w:r>
        <w:rPr>
          <w:rFonts w:ascii="Arial" w:cs="Arial" w:eastAsia="Arial" w:hAnsi="Arial"/>
          <w:sz w:val="20"/>
          <w:szCs w:val="20"/>
          <w:color w:val="auto"/>
        </w:rPr>
        <w:t>”) in connection with the conduct of any Study under this Agreement and the respective CSA Supplement.</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3.2  </w:t>
      </w:r>
      <w:r>
        <w:rPr>
          <w:rFonts w:ascii="Arial" w:cs="Arial" w:eastAsia="Arial" w:hAnsi="Arial"/>
          <w:sz w:val="20"/>
          <w:szCs w:val="20"/>
          <w:u w:val="single" w:color="auto"/>
          <w:color w:val="auto"/>
        </w:rPr>
        <w:t>Updates.</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will provide written updates regarding [***] for the sole purpose of [***].</w:t>
      </w:r>
    </w:p>
    <w:p>
      <w:pPr>
        <w:spacing w:after="0" w:line="162" w:lineRule="exact"/>
        <w:rPr>
          <w:sz w:val="20"/>
          <w:szCs w:val="20"/>
          <w:color w:val="auto"/>
        </w:rPr>
      </w:pPr>
    </w:p>
    <w:p>
      <w:pPr>
        <w:ind w:right="20" w:firstLine="674"/>
        <w:spacing w:after="0" w:line="270" w:lineRule="auto"/>
        <w:rPr>
          <w:sz w:val="20"/>
          <w:szCs w:val="20"/>
          <w:color w:val="auto"/>
        </w:rPr>
      </w:pPr>
      <w:r>
        <w:rPr>
          <w:rFonts w:ascii="Arial" w:cs="Arial" w:eastAsia="Arial" w:hAnsi="Arial"/>
          <w:sz w:val="20"/>
          <w:szCs w:val="20"/>
          <w:b w:val="1"/>
          <w:bCs w:val="1"/>
          <w:color w:val="auto"/>
        </w:rPr>
        <w:t xml:space="preserve">3.3 </w:t>
      </w:r>
      <w:r>
        <w:rPr>
          <w:rFonts w:ascii="Arial" w:cs="Arial" w:eastAsia="Arial" w:hAnsi="Arial"/>
          <w:sz w:val="20"/>
          <w:szCs w:val="20"/>
          <w:u w:val="single" w:color="auto"/>
          <w:color w:val="auto"/>
        </w:rPr>
        <w:t>Final Study Report.</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shall summarize the findings of each Study in a final study report in accordance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with Applicable Laws and guidance and ICH-GCP </w:t>
      </w:r>
      <w:r>
        <w:rPr>
          <w:rFonts w:ascii="Arial" w:cs="Arial" w:eastAsia="Arial" w:hAnsi="Arial"/>
          <w:sz w:val="20"/>
          <w:szCs w:val="20"/>
          <w:b w:val="1"/>
          <w:bCs w:val="1"/>
          <w:color w:val="auto"/>
        </w:rPr>
        <w:t>(“Final</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48" w:lineRule="exact"/>
        <w:rPr>
          <w:sz w:val="20"/>
          <w:szCs w:val="20"/>
          <w:color w:val="auto"/>
        </w:rPr>
      </w:pPr>
    </w:p>
    <w:p>
      <w:pPr>
        <w:jc w:val="both"/>
        <w:ind w:firstLine="674"/>
        <w:spacing w:after="0" w:line="259" w:lineRule="auto"/>
        <w:rPr>
          <w:sz w:val="20"/>
          <w:szCs w:val="20"/>
          <w:color w:val="auto"/>
        </w:rPr>
      </w:pPr>
      <w:r>
        <w:rPr>
          <w:rFonts w:ascii="Arial" w:cs="Arial" w:eastAsia="Arial" w:hAnsi="Arial"/>
          <w:sz w:val="20"/>
          <w:szCs w:val="20"/>
          <w:b w:val="1"/>
          <w:bCs w:val="1"/>
          <w:color w:val="auto"/>
        </w:rPr>
        <w:t>Study Report</w:t>
      </w:r>
      <w:r>
        <w:rPr>
          <w:rFonts w:ascii="Arial" w:cs="Arial" w:eastAsia="Arial" w:hAnsi="Arial"/>
          <w:sz w:val="20"/>
          <w:szCs w:val="20"/>
          <w:color w:val="auto"/>
        </w:rPr>
        <w:t>”) and will provide the Final Study Report to ROCHE within [***] months after [***]. The Final Study Report</w:t>
      </w:r>
      <w:r>
        <w:rPr>
          <w:rFonts w:ascii="Arial" w:cs="Arial" w:eastAsia="Arial" w:hAnsi="Arial"/>
          <w:sz w:val="20"/>
          <w:szCs w:val="20"/>
          <w:b w:val="1"/>
          <w:bCs w:val="1"/>
          <w:color w:val="auto"/>
        </w:rPr>
        <w:t xml:space="preserve"> </w:t>
      </w:r>
      <w:r>
        <w:rPr>
          <w:rFonts w:ascii="Arial" w:cs="Arial" w:eastAsia="Arial" w:hAnsi="Arial"/>
          <w:sz w:val="20"/>
          <w:szCs w:val="20"/>
          <w:color w:val="auto"/>
        </w:rPr>
        <w:t>will [***].</w:t>
      </w:r>
    </w:p>
    <w:p>
      <w:pPr>
        <w:spacing w:after="0" w:line="125" w:lineRule="exact"/>
        <w:rPr>
          <w:sz w:val="20"/>
          <w:szCs w:val="20"/>
          <w:color w:val="auto"/>
        </w:rPr>
      </w:pPr>
    </w:p>
    <w:p>
      <w:pPr>
        <w:jc w:val="both"/>
        <w:ind w:firstLine="674"/>
        <w:spacing w:after="0" w:line="233" w:lineRule="auto"/>
        <w:rPr>
          <w:sz w:val="20"/>
          <w:szCs w:val="20"/>
          <w:color w:val="auto"/>
        </w:rPr>
      </w:pPr>
      <w:r>
        <w:rPr>
          <w:rFonts w:ascii="Arial" w:cs="Arial" w:eastAsia="Arial" w:hAnsi="Arial"/>
          <w:sz w:val="20"/>
          <w:szCs w:val="20"/>
          <w:b w:val="1"/>
          <w:bCs w:val="1"/>
          <w:color w:val="auto"/>
        </w:rPr>
        <w:t xml:space="preserve">3.4 </w:t>
      </w:r>
      <w:r>
        <w:rPr>
          <w:rFonts w:ascii="Arial" w:cs="Arial" w:eastAsia="Arial" w:hAnsi="Arial"/>
          <w:sz w:val="20"/>
          <w:szCs w:val="20"/>
          <w:u w:val="single" w:color="auto"/>
          <w:color w:val="auto"/>
        </w:rPr>
        <w:t>Affiliates</w:t>
      </w:r>
      <w:r>
        <w:rPr>
          <w:rFonts w:ascii="Arial" w:cs="Arial" w:eastAsia="Arial" w:hAnsi="Arial"/>
          <w:sz w:val="20"/>
          <w:szCs w:val="20"/>
          <w:color w:val="auto"/>
        </w:rPr>
        <w:t>. In this Agreement, an “</w:t>
      </w:r>
      <w:r>
        <w:rPr>
          <w:rFonts w:ascii="Arial" w:cs="Arial" w:eastAsia="Arial" w:hAnsi="Arial"/>
          <w:sz w:val="20"/>
          <w:szCs w:val="20"/>
          <w:b w:val="1"/>
          <w:bCs w:val="1"/>
          <w:color w:val="auto"/>
        </w:rPr>
        <w:t>Affiliate</w:t>
      </w:r>
      <w:r>
        <w:rPr>
          <w:rFonts w:ascii="Arial" w:cs="Arial" w:eastAsia="Arial" w:hAnsi="Arial"/>
          <w:sz w:val="20"/>
          <w:szCs w:val="20"/>
          <w:color w:val="auto"/>
        </w:rPr>
        <w:t>” of a Party shall mean: (a) organizations, which directly or indirectly</w:t>
      </w:r>
      <w:r>
        <w:rPr>
          <w:rFonts w:ascii="Arial" w:cs="Arial" w:eastAsia="Arial" w:hAnsi="Arial"/>
          <w:sz w:val="20"/>
          <w:szCs w:val="20"/>
          <w:b w:val="1"/>
          <w:bCs w:val="1"/>
          <w:color w:val="auto"/>
        </w:rPr>
        <w:t xml:space="preserve"> </w:t>
      </w:r>
      <w:r>
        <w:rPr>
          <w:rFonts w:ascii="Arial" w:cs="Arial" w:eastAsia="Arial" w:hAnsi="Arial"/>
          <w:sz w:val="20"/>
          <w:szCs w:val="20"/>
          <w:color w:val="auto"/>
        </w:rPr>
        <w:t>control such Party; (b) organizations, which are directly or indirectly controlled by such Party; (c) organizations, which are controlled, directly or indirectly, by the ultimate parent company of such Party; “control” as per (a) to (c) is defined as owning more than fifty percent of the voting stock of a company or having otherwise the power to govern the financial and the operating policies or to appoint the management of an organization. [***]. All rights and obligations of each Party may be exercised or performed by its Affiliates[***].</w:t>
      </w:r>
    </w:p>
    <w:p>
      <w:pPr>
        <w:spacing w:after="0" w:line="132" w:lineRule="exact"/>
        <w:rPr>
          <w:sz w:val="20"/>
          <w:szCs w:val="20"/>
          <w:color w:val="auto"/>
        </w:rPr>
      </w:pPr>
    </w:p>
    <w:p>
      <w:pPr>
        <w:jc w:val="both"/>
        <w:ind w:firstLine="674"/>
        <w:spacing w:after="0" w:line="259" w:lineRule="auto"/>
        <w:rPr>
          <w:sz w:val="20"/>
          <w:szCs w:val="20"/>
          <w:color w:val="auto"/>
        </w:rPr>
      </w:pPr>
      <w:r>
        <w:rPr>
          <w:rFonts w:ascii="Arial" w:cs="Arial" w:eastAsia="Arial" w:hAnsi="Arial"/>
          <w:sz w:val="20"/>
          <w:szCs w:val="20"/>
          <w:b w:val="1"/>
          <w:bCs w:val="1"/>
          <w:color w:val="auto"/>
        </w:rPr>
        <w:t xml:space="preserve">3.5 </w:t>
      </w:r>
      <w:r>
        <w:rPr>
          <w:rFonts w:ascii="Arial" w:cs="Arial" w:eastAsia="Arial" w:hAnsi="Arial"/>
          <w:sz w:val="20"/>
          <w:szCs w:val="20"/>
          <w:u w:val="single" w:color="auto"/>
          <w:color w:val="auto"/>
        </w:rPr>
        <w:t>Subcontracting</w:t>
      </w:r>
      <w:r>
        <w:rPr>
          <w:rFonts w:ascii="Arial" w:cs="Arial" w:eastAsia="Arial" w:hAnsi="Arial"/>
          <w:sz w:val="20"/>
          <w:szCs w:val="20"/>
          <w:color w:val="auto"/>
        </w:rPr>
        <w:t>. COMPANY may use subcontractors in the performance of the Study and activities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3.6  </w:t>
      </w:r>
      <w:r>
        <w:rPr>
          <w:rFonts w:ascii="Arial" w:cs="Arial" w:eastAsia="Arial" w:hAnsi="Arial"/>
          <w:sz w:val="20"/>
          <w:szCs w:val="20"/>
          <w:color w:val="auto"/>
        </w:rPr>
        <w:t>[***]</w:t>
      </w:r>
    </w:p>
    <w:p>
      <w:pPr>
        <w:spacing w:after="0" w:line="175" w:lineRule="exact"/>
        <w:rPr>
          <w:sz w:val="20"/>
          <w:szCs w:val="20"/>
          <w:color w:val="auto"/>
        </w:rPr>
      </w:pPr>
    </w:p>
    <w:p>
      <w:pPr>
        <w:jc w:val="both"/>
        <w:ind w:firstLine="674"/>
        <w:spacing w:after="0" w:line="259" w:lineRule="auto"/>
        <w:rPr>
          <w:sz w:val="20"/>
          <w:szCs w:val="20"/>
          <w:color w:val="auto"/>
        </w:rPr>
      </w:pPr>
      <w:r>
        <w:rPr>
          <w:rFonts w:ascii="Arial" w:cs="Arial" w:eastAsia="Arial" w:hAnsi="Arial"/>
          <w:sz w:val="20"/>
          <w:szCs w:val="20"/>
          <w:b w:val="1"/>
          <w:bCs w:val="1"/>
          <w:color w:val="auto"/>
        </w:rPr>
        <w:t xml:space="preserve">3.7 </w:t>
      </w:r>
      <w:r>
        <w:rPr>
          <w:rFonts w:ascii="Arial" w:cs="Arial" w:eastAsia="Arial" w:hAnsi="Arial"/>
          <w:sz w:val="20"/>
          <w:szCs w:val="20"/>
          <w:u w:val="single" w:color="auto"/>
          <w:color w:val="auto"/>
        </w:rPr>
        <w:t>EU Clinical Trials Regulation</w:t>
      </w:r>
      <w:r>
        <w:rPr>
          <w:rFonts w:ascii="Arial" w:cs="Arial" w:eastAsia="Arial" w:hAnsi="Arial"/>
          <w:sz w:val="20"/>
          <w:szCs w:val="20"/>
          <w:color w:val="auto"/>
        </w:rPr>
        <w:t>. Where COMPANY runs the Study in any country to which the EU Clinical Trials</w:t>
      </w:r>
      <w:r>
        <w:rPr>
          <w:rFonts w:ascii="Arial" w:cs="Arial" w:eastAsia="Arial" w:hAnsi="Arial"/>
          <w:sz w:val="20"/>
          <w:szCs w:val="20"/>
          <w:b w:val="1"/>
          <w:bCs w:val="1"/>
          <w:color w:val="auto"/>
        </w:rPr>
        <w:t xml:space="preserve"> </w:t>
      </w:r>
      <w:r>
        <w:rPr>
          <w:rFonts w:ascii="Arial" w:cs="Arial" w:eastAsia="Arial" w:hAnsi="Arial"/>
          <w:sz w:val="20"/>
          <w:szCs w:val="20"/>
          <w:color w:val="auto"/>
        </w:rPr>
        <w:t>Regulation 536/2014 applies, it will comply with the terms of Appendix 3.</w:t>
      </w:r>
    </w:p>
    <w:p>
      <w:pPr>
        <w:spacing w:after="0" w:line="111" w:lineRule="exact"/>
        <w:rPr>
          <w:sz w:val="20"/>
          <w:szCs w:val="20"/>
          <w:color w:val="auto"/>
        </w:rPr>
      </w:pPr>
    </w:p>
    <w:p>
      <w:pPr>
        <w:ind w:left="680"/>
        <w:spacing w:after="0"/>
        <w:tabs>
          <w:tab w:leader="none" w:pos="1160" w:val="left"/>
        </w:tabs>
        <w:rPr>
          <w:sz w:val="20"/>
          <w:szCs w:val="20"/>
          <w:color w:val="auto"/>
        </w:rPr>
      </w:pPr>
      <w:r>
        <w:rPr>
          <w:rFonts w:ascii="Arial" w:cs="Arial" w:eastAsia="Arial" w:hAnsi="Arial"/>
          <w:sz w:val="20"/>
          <w:szCs w:val="20"/>
          <w:b w:val="1"/>
          <w:bCs w:val="1"/>
          <w:color w:val="auto"/>
        </w:rPr>
        <w:t>3.8</w:t>
      </w:r>
      <w:r>
        <w:rPr>
          <w:sz w:val="20"/>
          <w:szCs w:val="20"/>
          <w:color w:val="auto"/>
        </w:rPr>
        <w:tab/>
      </w:r>
      <w:r>
        <w:rPr>
          <w:rFonts w:ascii="Arial" w:cs="Arial" w:eastAsia="Arial" w:hAnsi="Arial"/>
          <w:sz w:val="20"/>
          <w:szCs w:val="20"/>
          <w:u w:val="single" w:color="auto"/>
          <w:color w:val="auto"/>
        </w:rPr>
        <w:t>Quality Monitoring and Interpretation</w:t>
      </w:r>
      <w:r>
        <w:rPr>
          <w:rFonts w:ascii="Arial" w:cs="Arial" w:eastAsia="Arial" w:hAnsi="Arial"/>
          <w:sz w:val="20"/>
          <w:szCs w:val="20"/>
          <w:color w:val="auto"/>
        </w:rPr>
        <w:t>. Quality monitoring and interpretation of [***] shall be carried out [***].</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COMPANY shall [***].</w:t>
      </w:r>
    </w:p>
    <w:p>
      <w:pPr>
        <w:spacing w:after="0" w:line="182" w:lineRule="exact"/>
        <w:rPr>
          <w:sz w:val="20"/>
          <w:szCs w:val="20"/>
          <w:color w:val="auto"/>
        </w:rPr>
      </w:pPr>
    </w:p>
    <w:p>
      <w:pPr>
        <w:ind w:left="440" w:hanging="432"/>
        <w:spacing w:after="0"/>
        <w:tabs>
          <w:tab w:leader="none" w:pos="44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Regulatory Matters and Safety</w:t>
      </w:r>
    </w:p>
    <w:p>
      <w:pPr>
        <w:spacing w:after="0" w:line="162" w:lineRule="exact"/>
        <w:rPr>
          <w:sz w:val="20"/>
          <w:szCs w:val="20"/>
          <w:color w:val="auto"/>
        </w:rPr>
      </w:pPr>
    </w:p>
    <w:p>
      <w:pPr>
        <w:jc w:val="both"/>
        <w:ind w:firstLine="674"/>
        <w:spacing w:after="0" w:line="259" w:lineRule="auto"/>
        <w:rPr>
          <w:sz w:val="20"/>
          <w:szCs w:val="20"/>
          <w:color w:val="auto"/>
        </w:rPr>
      </w:pPr>
      <w:r>
        <w:rPr>
          <w:rFonts w:ascii="Arial" w:cs="Arial" w:eastAsia="Arial" w:hAnsi="Arial"/>
          <w:sz w:val="20"/>
          <w:szCs w:val="20"/>
          <w:b w:val="1"/>
          <w:bCs w:val="1"/>
          <w:color w:val="auto"/>
        </w:rPr>
        <w:t xml:space="preserve">4.1 </w:t>
      </w:r>
      <w:r>
        <w:rPr>
          <w:rFonts w:ascii="Arial" w:cs="Arial" w:eastAsia="Arial" w:hAnsi="Arial"/>
          <w:sz w:val="20"/>
          <w:szCs w:val="20"/>
          <w:u w:val="single" w:color="auto"/>
          <w:color w:val="auto"/>
        </w:rPr>
        <w:t>Regulatory Interactions</w:t>
      </w:r>
      <w:r>
        <w:rPr>
          <w:rFonts w:ascii="Arial" w:cs="Arial" w:eastAsia="Arial" w:hAnsi="Arial"/>
          <w:sz w:val="20"/>
          <w:szCs w:val="20"/>
          <w:color w:val="auto"/>
        </w:rPr>
        <w:t>. COMPANY will [***] with a copy of [***]. ROCHE will have the right (but not the obligation)</w:t>
      </w:r>
      <w:r>
        <w:rPr>
          <w:rFonts w:ascii="Arial" w:cs="Arial" w:eastAsia="Arial" w:hAnsi="Arial"/>
          <w:sz w:val="20"/>
          <w:szCs w:val="20"/>
          <w:b w:val="1"/>
          <w:bCs w:val="1"/>
          <w:color w:val="auto"/>
        </w:rPr>
        <w:t xml:space="preserve"> </w:t>
      </w:r>
      <w:r>
        <w:rPr>
          <w:rFonts w:ascii="Arial" w:cs="Arial" w:eastAsia="Arial" w:hAnsi="Arial"/>
          <w:sz w:val="20"/>
          <w:szCs w:val="20"/>
          <w:color w:val="auto"/>
        </w:rPr>
        <w:t>to provide comments to any response to such notice [***]. ROCHE will [***]. ROCHE will [***] with a copy of [***].</w:t>
      </w:r>
    </w:p>
    <w:p>
      <w:pPr>
        <w:spacing w:after="0" w:line="125" w:lineRule="exact"/>
        <w:rPr>
          <w:sz w:val="20"/>
          <w:szCs w:val="20"/>
          <w:color w:val="auto"/>
        </w:rPr>
      </w:pPr>
    </w:p>
    <w:p>
      <w:pPr>
        <w:jc w:val="both"/>
        <w:ind w:firstLine="674"/>
        <w:spacing w:after="0" w:line="235" w:lineRule="auto"/>
        <w:rPr>
          <w:sz w:val="20"/>
          <w:szCs w:val="20"/>
          <w:color w:val="auto"/>
        </w:rPr>
      </w:pPr>
      <w:r>
        <w:rPr>
          <w:rFonts w:ascii="Arial" w:cs="Arial" w:eastAsia="Arial" w:hAnsi="Arial"/>
          <w:sz w:val="20"/>
          <w:szCs w:val="20"/>
          <w:b w:val="1"/>
          <w:bCs w:val="1"/>
          <w:color w:val="auto"/>
        </w:rPr>
        <w:t xml:space="preserve">4.2 </w:t>
      </w:r>
      <w:r>
        <w:rPr>
          <w:rFonts w:ascii="Arial" w:cs="Arial" w:eastAsia="Arial" w:hAnsi="Arial"/>
          <w:sz w:val="20"/>
          <w:szCs w:val="20"/>
          <w:u w:val="single" w:color="auto"/>
          <w:color w:val="auto"/>
        </w:rPr>
        <w:t>Safety Data Exchange and Adverse Event Reporting.</w:t>
      </w:r>
      <w:r>
        <w:rPr>
          <w:rFonts w:ascii="Arial" w:cs="Arial" w:eastAsia="Arial" w:hAnsi="Arial"/>
          <w:sz w:val="20"/>
          <w:szCs w:val="20"/>
          <w:b w:val="1"/>
          <w:bCs w:val="1"/>
          <w:color w:val="auto"/>
        </w:rPr>
        <w:t xml:space="preserve"> </w:t>
      </w:r>
      <w:r>
        <w:rPr>
          <w:rFonts w:ascii="Arial" w:cs="Arial" w:eastAsia="Arial" w:hAnsi="Arial"/>
          <w:sz w:val="20"/>
          <w:szCs w:val="20"/>
          <w:color w:val="auto"/>
        </w:rPr>
        <w:t>All serious adverse event</w:t>
      </w:r>
      <w:r>
        <w:rPr>
          <w:rFonts w:ascii="Arial" w:cs="Arial" w:eastAsia="Arial" w:hAnsi="Arial"/>
          <w:sz w:val="20"/>
          <w:szCs w:val="20"/>
          <w:b w:val="1"/>
          <w:bCs w:val="1"/>
          <w:color w:val="auto"/>
        </w:rPr>
        <w:t xml:space="preserve"> (“SAE”) </w:t>
      </w:r>
      <w:r>
        <w:rPr>
          <w:rFonts w:ascii="Arial" w:cs="Arial" w:eastAsia="Arial" w:hAnsi="Arial"/>
          <w:sz w:val="20"/>
          <w:szCs w:val="20"/>
          <w:color w:val="auto"/>
        </w:rPr>
        <w:t>reports arising from any</w:t>
      </w:r>
      <w:r>
        <w:rPr>
          <w:rFonts w:ascii="Arial" w:cs="Arial" w:eastAsia="Arial" w:hAnsi="Arial"/>
          <w:sz w:val="20"/>
          <w:szCs w:val="20"/>
          <w:b w:val="1"/>
          <w:bCs w:val="1"/>
          <w:color w:val="auto"/>
        </w:rPr>
        <w:t xml:space="preserve"> </w:t>
      </w:r>
      <w:r>
        <w:rPr>
          <w:rFonts w:ascii="Arial" w:cs="Arial" w:eastAsia="Arial" w:hAnsi="Arial"/>
          <w:sz w:val="20"/>
          <w:szCs w:val="20"/>
          <w:color w:val="auto"/>
        </w:rPr>
        <w:t>aspect of [***] in accordance with the terms of a safety data exchange agreement or pharmacovigilance agreement (“</w:t>
      </w:r>
      <w:r>
        <w:rPr>
          <w:rFonts w:ascii="Arial" w:cs="Arial" w:eastAsia="Arial" w:hAnsi="Arial"/>
          <w:sz w:val="20"/>
          <w:szCs w:val="20"/>
          <w:b w:val="1"/>
          <w:bCs w:val="1"/>
          <w:color w:val="auto"/>
        </w:rPr>
        <w:t>Safety</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 entered into by the Parties. COMPANY shall [***]. In the event of a conflict between the Safety Agreement and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 the Safety Agreement will govern and control with respect to [***], and (b) this Agreement will govern and control with respect to all other terms.</w:t>
      </w:r>
    </w:p>
    <w:p>
      <w:pPr>
        <w:spacing w:after="0" w:line="130" w:lineRule="exact"/>
        <w:rPr>
          <w:sz w:val="20"/>
          <w:szCs w:val="20"/>
          <w:color w:val="auto"/>
        </w:rPr>
      </w:pPr>
    </w:p>
    <w:p>
      <w:pPr>
        <w:ind w:left="440" w:hanging="432"/>
        <w:spacing w:after="0"/>
        <w:tabs>
          <w:tab w:leader="none" w:pos="44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Commencement and Termination</w:t>
      </w:r>
    </w:p>
    <w:p>
      <w:pPr>
        <w:spacing w:after="0" w:line="162" w:lineRule="exact"/>
        <w:rPr>
          <w:sz w:val="20"/>
          <w:szCs w:val="20"/>
          <w:color w:val="auto"/>
        </w:rPr>
      </w:pPr>
    </w:p>
    <w:p>
      <w:pPr>
        <w:jc w:val="both"/>
        <w:ind w:firstLine="674"/>
        <w:spacing w:after="0" w:line="259" w:lineRule="auto"/>
        <w:rPr>
          <w:sz w:val="20"/>
          <w:szCs w:val="20"/>
          <w:color w:val="auto"/>
        </w:rPr>
      </w:pPr>
      <w:r>
        <w:rPr>
          <w:rFonts w:ascii="Arial" w:cs="Arial" w:eastAsia="Arial" w:hAnsi="Arial"/>
          <w:sz w:val="20"/>
          <w:szCs w:val="20"/>
          <w:b w:val="1"/>
          <w:bCs w:val="1"/>
          <w:color w:val="auto"/>
        </w:rPr>
        <w:t xml:space="preserve">5.1 </w:t>
      </w:r>
      <w:r>
        <w:rPr>
          <w:rFonts w:ascii="Arial" w:cs="Arial" w:eastAsia="Arial" w:hAnsi="Arial"/>
          <w:sz w:val="20"/>
          <w:szCs w:val="20"/>
          <w:color w:val="auto"/>
        </w:rPr>
        <w:t>This Agreement begins on the Effective Date and will continue in force for [***] years, subject to the last sentence of</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5.2, unless terminated earlier by either Party as per the following provisions in this Section 5.</w:t>
      </w:r>
    </w:p>
    <w:p>
      <w:pPr>
        <w:spacing w:after="0" w:line="125" w:lineRule="exact"/>
        <w:rPr>
          <w:sz w:val="20"/>
          <w:szCs w:val="20"/>
          <w:color w:val="auto"/>
        </w:rPr>
      </w:pPr>
    </w:p>
    <w:p>
      <w:pPr>
        <w:jc w:val="both"/>
        <w:ind w:firstLine="674"/>
        <w:spacing w:after="0" w:line="242" w:lineRule="auto"/>
        <w:rPr>
          <w:sz w:val="20"/>
          <w:szCs w:val="20"/>
          <w:color w:val="auto"/>
        </w:rPr>
      </w:pPr>
      <w:r>
        <w:rPr>
          <w:rFonts w:ascii="Arial" w:cs="Arial" w:eastAsia="Arial" w:hAnsi="Arial"/>
          <w:sz w:val="20"/>
          <w:szCs w:val="20"/>
          <w:b w:val="1"/>
          <w:bCs w:val="1"/>
          <w:color w:val="auto"/>
        </w:rPr>
        <w:t xml:space="preserve">5.2 </w:t>
      </w:r>
      <w:r>
        <w:rPr>
          <w:rFonts w:ascii="Arial" w:cs="Arial" w:eastAsia="Arial" w:hAnsi="Arial"/>
          <w:sz w:val="20"/>
          <w:szCs w:val="20"/>
          <w:color w:val="auto"/>
        </w:rPr>
        <w:t>Either Party may terminate this Agreement upon sixty (60) days’ prior written notice to the other Party. Upon</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of this Agreement, any CSA Supplement will continue in effect, unless separately terminated as provided in Section 5.3, and this Agreement will stay in effect with respect solely to each such CSA Supplement until it is completed.</w:t>
      </w:r>
    </w:p>
    <w:p>
      <w:pPr>
        <w:spacing w:after="0" w:line="128" w:lineRule="exact"/>
        <w:rPr>
          <w:sz w:val="20"/>
          <w:szCs w:val="20"/>
          <w:color w:val="auto"/>
        </w:rPr>
      </w:pPr>
    </w:p>
    <w:p>
      <w:pPr>
        <w:jc w:val="both"/>
        <w:ind w:firstLine="674"/>
        <w:spacing w:after="0" w:line="233" w:lineRule="auto"/>
        <w:rPr>
          <w:sz w:val="20"/>
          <w:szCs w:val="20"/>
          <w:color w:val="auto"/>
        </w:rPr>
      </w:pPr>
      <w:r>
        <w:rPr>
          <w:rFonts w:ascii="Arial" w:cs="Arial" w:eastAsia="Arial" w:hAnsi="Arial"/>
          <w:sz w:val="20"/>
          <w:szCs w:val="20"/>
          <w:b w:val="1"/>
          <w:bCs w:val="1"/>
          <w:color w:val="auto"/>
        </w:rPr>
        <w:t xml:space="preserve">5.3 </w:t>
      </w:r>
      <w:r>
        <w:rPr>
          <w:rFonts w:ascii="Arial" w:cs="Arial" w:eastAsia="Arial" w:hAnsi="Arial"/>
          <w:sz w:val="20"/>
          <w:szCs w:val="20"/>
          <w:color w:val="auto"/>
        </w:rPr>
        <w:t>The term of each CSA Supplement shall be as stated in the CSA Supplement unless terminated earlier as per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following provisions in this Section 5.3. ROCHE may terminate an individual CSA Supplement upon written notice with immediate effect for [***] issues that impair ROCHE’s ability to supply the Roche Compound, or factors beyond ROCHE’s control. COMPANY may terminate an individual CSA Supplement upon [***] days’ prior written notice for any reason;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COMPANY may terminate any CSA Supplement with immediate effect for [***] issues with respect to the Company Compound, 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factors beyond COMPANY’s reasonable control that would reasonably be expected to have [***] impact on COMPANY’s ability to conduct the Study in accordance with such CSA Supplement.</w:t>
      </w:r>
    </w:p>
    <w:p>
      <w:pPr>
        <w:spacing w:after="0" w:line="126" w:lineRule="exact"/>
        <w:rPr>
          <w:sz w:val="20"/>
          <w:szCs w:val="20"/>
          <w:color w:val="auto"/>
        </w:rPr>
      </w:pPr>
    </w:p>
    <w:p>
      <w:pPr>
        <w:jc w:val="both"/>
        <w:ind w:right="20" w:firstLine="674"/>
        <w:spacing w:after="0" w:line="259" w:lineRule="auto"/>
        <w:rPr>
          <w:sz w:val="20"/>
          <w:szCs w:val="20"/>
          <w:color w:val="auto"/>
        </w:rPr>
      </w:pPr>
      <w:r>
        <w:rPr>
          <w:rFonts w:ascii="Arial" w:cs="Arial" w:eastAsia="Arial" w:hAnsi="Arial"/>
          <w:sz w:val="20"/>
          <w:szCs w:val="20"/>
          <w:b w:val="1"/>
          <w:bCs w:val="1"/>
          <w:color w:val="auto"/>
        </w:rPr>
        <w:t xml:space="preserve">5.4 </w:t>
      </w:r>
      <w:r>
        <w:rPr>
          <w:rFonts w:ascii="Arial" w:cs="Arial" w:eastAsia="Arial" w:hAnsi="Arial"/>
          <w:sz w:val="20"/>
          <w:szCs w:val="20"/>
          <w:color w:val="auto"/>
        </w:rPr>
        <w:t>In the event that treatment of the first patient with the Roche Compound in a particular Study does not occur within</w:t>
      </w:r>
      <w:r>
        <w:rPr>
          <w:rFonts w:ascii="Arial" w:cs="Arial" w:eastAsia="Arial" w:hAnsi="Arial"/>
          <w:sz w:val="20"/>
          <w:szCs w:val="20"/>
          <w:b w:val="1"/>
          <w:bCs w:val="1"/>
          <w:color w:val="auto"/>
        </w:rPr>
        <w:t xml:space="preserve"> </w:t>
      </w:r>
      <w:r>
        <w:rPr>
          <w:rFonts w:ascii="Arial" w:cs="Arial" w:eastAsia="Arial" w:hAnsi="Arial"/>
          <w:sz w:val="20"/>
          <w:szCs w:val="20"/>
          <w:color w:val="auto"/>
        </w:rPr>
        <w:t>one (1) year of the effective date of a CSA Supplement, ROCHE may terminate such CSA Supplement upon [***] days’ notice.</w:t>
      </w:r>
    </w:p>
    <w:p>
      <w:pPr>
        <w:spacing w:after="0" w:line="111" w:lineRule="exact"/>
        <w:rPr>
          <w:sz w:val="20"/>
          <w:szCs w:val="20"/>
          <w:color w:val="auto"/>
        </w:rPr>
      </w:pPr>
    </w:p>
    <w:p>
      <w:pPr>
        <w:jc w:val="both"/>
        <w:ind w:firstLine="674"/>
        <w:spacing w:after="0" w:line="233" w:lineRule="auto"/>
        <w:rPr>
          <w:sz w:val="20"/>
          <w:szCs w:val="20"/>
          <w:color w:val="auto"/>
        </w:rPr>
      </w:pPr>
      <w:r>
        <w:rPr>
          <w:rFonts w:ascii="Arial" w:cs="Arial" w:eastAsia="Arial" w:hAnsi="Arial"/>
          <w:sz w:val="20"/>
          <w:szCs w:val="20"/>
          <w:b w:val="1"/>
          <w:bCs w:val="1"/>
          <w:color w:val="auto"/>
        </w:rPr>
        <w:t xml:space="preserve">5.5 </w:t>
      </w:r>
      <w:r>
        <w:rPr>
          <w:rFonts w:ascii="Arial" w:cs="Arial" w:eastAsia="Arial" w:hAnsi="Arial"/>
          <w:sz w:val="20"/>
          <w:szCs w:val="20"/>
          <w:color w:val="auto"/>
        </w:rPr>
        <w:t>If, at any time, ROCHE reasonably believes that the Roche Compound is being used in an unsafe manner and</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fails to promptly incorporate reasonable changes proposed by ROCHE into the Protocol to address the safe use of the Roche Compound or the guidance provided by regulatory authorities, then [***] if COMPANY fails to incorporate such changes (within [***] days, or another time period to be mutually agreed upon by the Parties, after the Parties’ agreement upon such changes) into the Protocol, ROCHE may terminate the relevant CSA Supplement(s) with immediate effect and stop the supply of the Roche Compound under such terminated CSA Supplement.</w:t>
      </w:r>
    </w:p>
    <w:p>
      <w:pPr>
        <w:spacing w:after="0" w:line="159" w:lineRule="exact"/>
        <w:rPr>
          <w:sz w:val="20"/>
          <w:szCs w:val="20"/>
          <w:color w:val="auto"/>
        </w:rPr>
      </w:pPr>
    </w:p>
    <w:p>
      <w:pPr>
        <w:jc w:val="both"/>
        <w:ind w:left="80" w:right="80" w:firstLine="669"/>
        <w:spacing w:after="0" w:line="231" w:lineRule="auto"/>
        <w:rPr>
          <w:sz w:val="20"/>
          <w:szCs w:val="20"/>
          <w:color w:val="auto"/>
        </w:rPr>
      </w:pPr>
      <w:r>
        <w:rPr>
          <w:rFonts w:ascii="Arial" w:cs="Arial" w:eastAsia="Arial" w:hAnsi="Arial"/>
          <w:sz w:val="20"/>
          <w:szCs w:val="20"/>
          <w:b w:val="1"/>
          <w:bCs w:val="1"/>
          <w:color w:val="auto"/>
        </w:rPr>
        <w:t xml:space="preserve">5.6 </w:t>
      </w:r>
      <w:r>
        <w:rPr>
          <w:rFonts w:ascii="Arial" w:cs="Arial" w:eastAsia="Arial" w:hAnsi="Arial"/>
          <w:sz w:val="20"/>
          <w:szCs w:val="20"/>
          <w:color w:val="auto"/>
        </w:rPr>
        <w:t>If ROCHE or COMPANY is in material breach of this Agreement and/or a particular CSA Supplement(s)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Breaching Party</w:t>
      </w:r>
      <w:r>
        <w:rPr>
          <w:rFonts w:ascii="Arial" w:cs="Arial" w:eastAsia="Arial" w:hAnsi="Arial"/>
          <w:sz w:val="20"/>
          <w:szCs w:val="20"/>
          <w:color w:val="auto"/>
        </w:rPr>
        <w:t>”), the other Party (the “</w:t>
      </w:r>
      <w:r>
        <w:rPr>
          <w:rFonts w:ascii="Arial" w:cs="Arial" w:eastAsia="Arial" w:hAnsi="Arial"/>
          <w:sz w:val="20"/>
          <w:szCs w:val="20"/>
          <w:b w:val="1"/>
          <w:bCs w:val="1"/>
          <w:color w:val="auto"/>
        </w:rPr>
        <w:t>Non-Breaching Party</w:t>
      </w:r>
      <w:r>
        <w:rPr>
          <w:rFonts w:ascii="Arial" w:cs="Arial" w:eastAsia="Arial" w:hAnsi="Arial"/>
          <w:sz w:val="20"/>
          <w:szCs w:val="20"/>
          <w:color w:val="auto"/>
        </w:rPr>
        <w:t>”) will give the Breaching Party notice specifying the nature of such breach. If the breach is capable of cure, the Breaching Party will have a period of thirty (30) calendar days after receipt of such notice to cure such material breach (the “</w:t>
      </w:r>
      <w:r>
        <w:rPr>
          <w:rFonts w:ascii="Arial" w:cs="Arial" w:eastAsia="Arial" w:hAnsi="Arial"/>
          <w:sz w:val="20"/>
          <w:szCs w:val="20"/>
          <w:b w:val="1"/>
          <w:bCs w:val="1"/>
          <w:color w:val="auto"/>
        </w:rPr>
        <w:t>Cure Period</w:t>
      </w:r>
      <w:r>
        <w:rPr>
          <w:rFonts w:ascii="Arial" w:cs="Arial" w:eastAsia="Arial" w:hAnsi="Arial"/>
          <w:sz w:val="20"/>
          <w:szCs w:val="20"/>
          <w:color w:val="auto"/>
        </w:rPr>
        <w:t>”) in a manner reasonably acceptable to the Non-Breaching Party. The Non-Breaching Party will have the right to terminate this Agreement and/or the relevant CSA Supplement(s), upon written notice, in the event that the Breaching Party has not cured such breach within the Cure Period. If such breach is not capable of cure, the Non-Breaching Party will have the right to terminate this Agreement upon written notice to the Breaching Party, which notice may take effect immediately.</w:t>
      </w:r>
    </w:p>
    <w:p>
      <w:pPr>
        <w:spacing w:after="0" w:line="135" w:lineRule="exact"/>
        <w:rPr>
          <w:sz w:val="20"/>
          <w:szCs w:val="20"/>
          <w:color w:val="auto"/>
        </w:rPr>
      </w:pPr>
    </w:p>
    <w:p>
      <w:pPr>
        <w:jc w:val="both"/>
        <w:ind w:firstLine="674"/>
        <w:spacing w:after="0" w:line="233" w:lineRule="auto"/>
        <w:rPr>
          <w:sz w:val="20"/>
          <w:szCs w:val="20"/>
          <w:color w:val="auto"/>
        </w:rPr>
      </w:pPr>
      <w:r>
        <w:rPr>
          <w:rFonts w:ascii="Arial" w:cs="Arial" w:eastAsia="Arial" w:hAnsi="Arial"/>
          <w:sz w:val="20"/>
          <w:szCs w:val="20"/>
          <w:color w:val="auto"/>
        </w:rPr>
        <w:t xml:space="preserve">5.7 </w:t>
      </w:r>
      <w:r>
        <w:rPr>
          <w:rFonts w:ascii="Arial" w:cs="Arial" w:eastAsia="Arial" w:hAnsi="Arial"/>
          <w:sz w:val="20"/>
          <w:szCs w:val="20"/>
          <w:u w:val="single" w:color="auto"/>
          <w:color w:val="auto"/>
        </w:rPr>
        <w:t>Change of Control.</w:t>
      </w:r>
      <w:r>
        <w:rPr>
          <w:rFonts w:ascii="Arial" w:cs="Arial" w:eastAsia="Arial" w:hAnsi="Arial"/>
          <w:sz w:val="20"/>
          <w:szCs w:val="20"/>
          <w:color w:val="auto"/>
        </w:rPr>
        <w:t xml:space="preserve"> If there is a change of “control” (as defined in Section 3.4) of the ultimate parent company of a Party (“</w:t>
      </w:r>
      <w:r>
        <w:rPr>
          <w:rFonts w:ascii="Arial" w:cs="Arial" w:eastAsia="Arial" w:hAnsi="Arial"/>
          <w:sz w:val="20"/>
          <w:szCs w:val="20"/>
          <w:b w:val="1"/>
          <w:bCs w:val="1"/>
          <w:color w:val="auto"/>
        </w:rPr>
        <w:t>Change of Control</w:t>
      </w:r>
      <w:r>
        <w:rPr>
          <w:rFonts w:ascii="Arial" w:cs="Arial" w:eastAsia="Arial" w:hAnsi="Arial"/>
          <w:sz w:val="20"/>
          <w:szCs w:val="20"/>
          <w:color w:val="auto"/>
        </w:rPr>
        <w:t>”), then the Party experiencing such Change of Control (“</w:t>
      </w:r>
      <w:r>
        <w:rPr>
          <w:rFonts w:ascii="Arial" w:cs="Arial" w:eastAsia="Arial" w:hAnsi="Arial"/>
          <w:sz w:val="20"/>
          <w:szCs w:val="20"/>
          <w:b w:val="1"/>
          <w:bCs w:val="1"/>
          <w:color w:val="auto"/>
        </w:rPr>
        <w:t>Acquired Party</w:t>
      </w:r>
      <w:r>
        <w:rPr>
          <w:rFonts w:ascii="Arial" w:cs="Arial" w:eastAsia="Arial" w:hAnsi="Arial"/>
          <w:sz w:val="20"/>
          <w:szCs w:val="20"/>
          <w:color w:val="auto"/>
        </w:rPr>
        <w:t>”) will provide written notice to the other Party (“</w:t>
      </w:r>
      <w:r>
        <w:rPr>
          <w:rFonts w:ascii="Arial" w:cs="Arial" w:eastAsia="Arial" w:hAnsi="Arial"/>
          <w:sz w:val="20"/>
          <w:szCs w:val="20"/>
          <w:b w:val="1"/>
          <w:bCs w:val="1"/>
          <w:color w:val="auto"/>
        </w:rPr>
        <w:t>Non-Acquired Party</w:t>
      </w:r>
      <w:r>
        <w:rPr>
          <w:rFonts w:ascii="Arial" w:cs="Arial" w:eastAsia="Arial" w:hAnsi="Arial"/>
          <w:sz w:val="20"/>
          <w:szCs w:val="20"/>
          <w:color w:val="auto"/>
        </w:rPr>
        <w:t>”) [***], subject to any confidentiality obligations of the Acquired Party then in effect (but in any event will notify the Non-Acquired Party [***]). Upon receipt of such notice the Non-Acquired Party may terminate this Agreement and all CSA Supplements entered into under it immediately upon notice to the Acquired Party, such notice to be given within [***]. [***].</w:t>
      </w:r>
    </w:p>
    <w:p>
      <w:pPr>
        <w:spacing w:after="0" w:line="143" w:lineRule="exact"/>
        <w:rPr>
          <w:sz w:val="20"/>
          <w:szCs w:val="20"/>
          <w:color w:val="auto"/>
        </w:rPr>
      </w:pPr>
    </w:p>
    <w:p>
      <w:pPr>
        <w:jc w:val="both"/>
        <w:ind w:firstLine="674"/>
        <w:spacing w:after="0" w:line="242" w:lineRule="auto"/>
        <w:rPr>
          <w:sz w:val="20"/>
          <w:szCs w:val="20"/>
          <w:color w:val="auto"/>
        </w:rPr>
      </w:pPr>
      <w:r>
        <w:rPr>
          <w:rFonts w:ascii="Arial" w:cs="Arial" w:eastAsia="Arial" w:hAnsi="Arial"/>
          <w:sz w:val="20"/>
          <w:szCs w:val="20"/>
          <w:b w:val="1"/>
          <w:bCs w:val="1"/>
          <w:color w:val="auto"/>
        </w:rPr>
        <w:t xml:space="preserve">5.8 </w:t>
      </w:r>
      <w:r>
        <w:rPr>
          <w:rFonts w:ascii="Arial" w:cs="Arial" w:eastAsia="Arial" w:hAnsi="Arial"/>
          <w:sz w:val="20"/>
          <w:szCs w:val="20"/>
          <w:color w:val="auto"/>
        </w:rPr>
        <w:t>Upon the expiration or termination of any individual CSA Supplement, COMPANY agrees, at the request of</w:t>
      </w:r>
      <w:r>
        <w:rPr>
          <w:rFonts w:ascii="Arial" w:cs="Arial" w:eastAsia="Arial" w:hAnsi="Arial"/>
          <w:sz w:val="20"/>
          <w:szCs w:val="20"/>
          <w:b w:val="1"/>
          <w:bCs w:val="1"/>
          <w:color w:val="auto"/>
        </w:rPr>
        <w:t xml:space="preserve"> </w:t>
      </w:r>
      <w:r>
        <w:rPr>
          <w:rFonts w:ascii="Arial" w:cs="Arial" w:eastAsia="Arial" w:hAnsi="Arial"/>
          <w:sz w:val="20"/>
          <w:szCs w:val="20"/>
          <w:color w:val="auto"/>
        </w:rPr>
        <w:t>ROCHE, to either (as specified by ROCHE) (a) promptly return all remaining samples of the Roche Compound [***], or (b) destroy such Roche Compound in accordance with Applicable Laws [***].</w:t>
      </w:r>
    </w:p>
    <w:p>
      <w:pPr>
        <w:spacing w:after="0" w:line="128" w:lineRule="exact"/>
        <w:rPr>
          <w:sz w:val="20"/>
          <w:szCs w:val="20"/>
          <w:color w:val="auto"/>
        </w:rPr>
      </w:pPr>
    </w:p>
    <w:p>
      <w:pPr>
        <w:jc w:val="both"/>
        <w:ind w:firstLine="674"/>
        <w:spacing w:after="0" w:line="242" w:lineRule="auto"/>
        <w:rPr>
          <w:sz w:val="20"/>
          <w:szCs w:val="20"/>
          <w:color w:val="auto"/>
        </w:rPr>
      </w:pPr>
      <w:r>
        <w:rPr>
          <w:rFonts w:ascii="Arial" w:cs="Arial" w:eastAsia="Arial" w:hAnsi="Arial"/>
          <w:sz w:val="20"/>
          <w:szCs w:val="20"/>
          <w:b w:val="1"/>
          <w:bCs w:val="1"/>
          <w:color w:val="auto"/>
        </w:rPr>
        <w:t xml:space="preserve">5.9 </w:t>
      </w:r>
      <w:r>
        <w:rPr>
          <w:rFonts w:ascii="Arial" w:cs="Arial" w:eastAsia="Arial" w:hAnsi="Arial"/>
          <w:sz w:val="20"/>
          <w:szCs w:val="20"/>
          <w:color w:val="auto"/>
        </w:rPr>
        <w:t>The provisions of Section 3.6, 7, 8, 9, 10, 11, 13, 14, 16-18, 19.3, 20, and 23 will survive the expiration or</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of this Agreement. Neither expiration nor termination will relieve the other Party of obligations accrued prior to such expiration or termination.</w:t>
      </w:r>
    </w:p>
    <w:p>
      <w:pPr>
        <w:spacing w:after="0" w:line="168" w:lineRule="exact"/>
        <w:rPr>
          <w:sz w:val="20"/>
          <w:szCs w:val="20"/>
          <w:color w:val="auto"/>
        </w:rPr>
      </w:pPr>
    </w:p>
    <w:p>
      <w:pPr>
        <w:ind w:left="440" w:hanging="432"/>
        <w:spacing w:after="0"/>
        <w:tabs>
          <w:tab w:leader="none" w:pos="44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Supply and Use of Roche Compound</w:t>
      </w:r>
    </w:p>
    <w:p>
      <w:pPr>
        <w:spacing w:after="0" w:line="162" w:lineRule="exact"/>
        <w:rPr>
          <w:sz w:val="20"/>
          <w:szCs w:val="20"/>
          <w:color w:val="auto"/>
        </w:rPr>
      </w:pPr>
    </w:p>
    <w:p>
      <w:pPr>
        <w:jc w:val="both"/>
        <w:ind w:firstLine="674"/>
        <w:spacing w:after="0" w:line="237" w:lineRule="auto"/>
        <w:rPr>
          <w:sz w:val="20"/>
          <w:szCs w:val="20"/>
          <w:color w:val="auto"/>
        </w:rPr>
      </w:pPr>
      <w:r>
        <w:rPr>
          <w:rFonts w:ascii="Arial" w:cs="Arial" w:eastAsia="Arial" w:hAnsi="Arial"/>
          <w:sz w:val="20"/>
          <w:szCs w:val="20"/>
          <w:b w:val="1"/>
          <w:bCs w:val="1"/>
          <w:color w:val="auto"/>
        </w:rPr>
        <w:t xml:space="preserve">6.1 </w:t>
      </w:r>
      <w:r>
        <w:rPr>
          <w:rFonts w:ascii="Arial" w:cs="Arial" w:eastAsia="Arial" w:hAnsi="Arial"/>
          <w:sz w:val="20"/>
          <w:szCs w:val="20"/>
          <w:color w:val="auto"/>
        </w:rPr>
        <w:t>ROCHE will provide COMPANY (or its designee) with the Roche Compound in the form and amounts as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the applicable CSA Supplement and in accordance with this Agreement, including this Section 6, together with a letter of cross-reference. The amount of Roche Compound specified in each CSA Supplement is the maximum amount of Roche Compound to be delivered pursuant to such CSA Supplement, unless the applicable CSA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50"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 xml:space="preserve">Supplement expressly states otherwise. The Parties will discuss in good faith and agree on [***]. Contact information for each of the Parties is provided in </w:t>
      </w:r>
      <w:r>
        <w:rPr>
          <w:rFonts w:ascii="Arial" w:cs="Arial" w:eastAsia="Arial" w:hAnsi="Arial"/>
          <w:sz w:val="20"/>
          <w:szCs w:val="20"/>
          <w:u w:val="single" w:color="auto"/>
          <w:color w:val="auto"/>
        </w:rPr>
        <w:t>Appendix 2.</w:t>
      </w:r>
      <w:r>
        <w:rPr>
          <w:rFonts w:ascii="Arial" w:cs="Arial" w:eastAsia="Arial" w:hAnsi="Arial"/>
          <w:sz w:val="20"/>
          <w:szCs w:val="20"/>
          <w:color w:val="auto"/>
        </w:rPr>
        <w:t xml:space="preserve"> COMPANY will provide the following: [***]</w:t>
      </w:r>
    </w:p>
    <w:p>
      <w:pPr>
        <w:spacing w:after="0" w:line="126" w:lineRule="exact"/>
        <w:rPr>
          <w:sz w:val="20"/>
          <w:szCs w:val="20"/>
          <w:color w:val="auto"/>
        </w:rPr>
      </w:pPr>
    </w:p>
    <w:p>
      <w:pPr>
        <w:ind w:right="20" w:firstLine="674"/>
        <w:spacing w:after="0" w:line="235" w:lineRule="auto"/>
        <w:rPr>
          <w:sz w:val="20"/>
          <w:szCs w:val="20"/>
          <w:color w:val="auto"/>
        </w:rPr>
      </w:pPr>
      <w:r>
        <w:rPr>
          <w:rFonts w:ascii="Arial" w:cs="Arial" w:eastAsia="Arial" w:hAnsi="Arial"/>
          <w:sz w:val="20"/>
          <w:szCs w:val="20"/>
          <w:b w:val="1"/>
          <w:bCs w:val="1"/>
          <w:color w:val="auto"/>
        </w:rPr>
        <w:t xml:space="preserve">6.2 </w:t>
      </w:r>
      <w:r>
        <w:rPr>
          <w:rFonts w:ascii="Arial" w:cs="Arial" w:eastAsia="Arial" w:hAnsi="Arial"/>
          <w:sz w:val="20"/>
          <w:szCs w:val="20"/>
          <w:color w:val="auto"/>
        </w:rPr>
        <w:t>ROCHE shall (a) supply COMPANY with Roche Compound as agreed in the applicable CSA Supplement and (b) if</w:t>
      </w:r>
      <w:r>
        <w:rPr>
          <w:rFonts w:ascii="Arial" w:cs="Arial" w:eastAsia="Arial" w:hAnsi="Arial"/>
          <w:sz w:val="20"/>
          <w:szCs w:val="20"/>
          <w:b w:val="1"/>
          <w:bCs w:val="1"/>
          <w:color w:val="auto"/>
        </w:rPr>
        <w:t xml:space="preserve"> </w:t>
      </w:r>
      <w:r>
        <w:rPr>
          <w:rFonts w:ascii="Arial" w:cs="Arial" w:eastAsia="Arial" w:hAnsi="Arial"/>
          <w:sz w:val="20"/>
          <w:szCs w:val="20"/>
          <w:color w:val="auto"/>
        </w:rPr>
        <w:t>necessary for such supply, upon COMPANY’s request, [***]. If any payment is to be made for the Roche</w:t>
      </w:r>
    </w:p>
    <w:p>
      <w:pPr>
        <w:spacing w:after="0"/>
        <w:rPr>
          <w:sz w:val="20"/>
          <w:szCs w:val="20"/>
          <w:color w:val="auto"/>
        </w:rPr>
      </w:pPr>
      <w:r>
        <w:rPr>
          <w:rFonts w:ascii="Arial" w:cs="Arial" w:eastAsia="Arial" w:hAnsi="Arial"/>
          <w:sz w:val="19"/>
          <w:szCs w:val="19"/>
          <w:color w:val="auto"/>
        </w:rPr>
        <w:t>Compound, ROCHE will invoice COMPANY following each shipment, and payment by COMPANY will be due to ROCHE within</w:t>
      </w:r>
    </w:p>
    <w:p>
      <w:pPr>
        <w:ind w:right="20" w:firstLine="8"/>
        <w:spacing w:after="0" w:line="225" w:lineRule="auto"/>
        <w:tabs>
          <w:tab w:leader="none" w:pos="418" w:val="left"/>
        </w:tabs>
        <w:numPr>
          <w:ilvl w:val="0"/>
          <w:numId w:val="67"/>
        </w:numPr>
        <w:rPr>
          <w:rFonts w:ascii="Arial" w:cs="Arial" w:eastAsia="Arial" w:hAnsi="Arial"/>
          <w:sz w:val="20"/>
          <w:szCs w:val="20"/>
          <w:color w:val="auto"/>
        </w:rPr>
      </w:pPr>
      <w:r>
        <w:rPr>
          <w:rFonts w:ascii="Arial" w:cs="Arial" w:eastAsia="Arial" w:hAnsi="Arial"/>
          <w:sz w:val="20"/>
          <w:szCs w:val="20"/>
          <w:color w:val="auto"/>
        </w:rPr>
        <w:t>days from the date of receipt of ROCHE’s invoice unless COMPANY issues a Replacement Request prior to the end of such [***] day period.</w:t>
      </w:r>
    </w:p>
    <w:p>
      <w:pPr>
        <w:ind w:right="20" w:firstLine="674"/>
        <w:spacing w:after="0" w:line="239" w:lineRule="auto"/>
        <w:rPr>
          <w:rFonts w:ascii="Arial" w:cs="Arial" w:eastAsia="Arial" w:hAnsi="Arial"/>
          <w:sz w:val="20"/>
          <w:szCs w:val="20"/>
          <w:color w:val="auto"/>
        </w:rPr>
      </w:pPr>
      <w:r>
        <w:rPr>
          <w:rFonts w:ascii="Arial" w:cs="Arial" w:eastAsia="Arial" w:hAnsi="Arial"/>
          <w:sz w:val="20"/>
          <w:szCs w:val="20"/>
          <w:b w:val="1"/>
          <w:bCs w:val="1"/>
          <w:color w:val="auto"/>
        </w:rPr>
        <w:t xml:space="preserve">6.3 </w:t>
      </w:r>
      <w:r>
        <w:rPr>
          <w:rFonts w:ascii="Arial" w:cs="Arial" w:eastAsia="Arial" w:hAnsi="Arial"/>
          <w:sz w:val="20"/>
          <w:szCs w:val="20"/>
          <w:color w:val="auto"/>
        </w:rPr>
        <w:t>COMPANY (or its designee) will reasonably, and in good faith, inspect all shipments of the Roche Compound upon</w:t>
      </w:r>
      <w:r>
        <w:rPr>
          <w:rFonts w:ascii="Arial" w:cs="Arial" w:eastAsia="Arial" w:hAnsi="Arial"/>
          <w:sz w:val="20"/>
          <w:szCs w:val="20"/>
          <w:b w:val="1"/>
          <w:bCs w:val="1"/>
          <w:color w:val="auto"/>
        </w:rPr>
        <w:t xml:space="preserve"> </w:t>
      </w:r>
      <w:r>
        <w:rPr>
          <w:rFonts w:ascii="Arial" w:cs="Arial" w:eastAsia="Arial" w:hAnsi="Arial"/>
          <w:sz w:val="20"/>
          <w:szCs w:val="20"/>
          <w:color w:val="auto"/>
        </w:rPr>
        <w:t>receipt and will notify ROCHE in writing in reasonable detail within [***] days from the receipt if [***]. [***].</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6.4  </w:t>
      </w:r>
      <w:r>
        <w:rPr>
          <w:rFonts w:ascii="Arial" w:cs="Arial" w:eastAsia="Arial" w:hAnsi="Arial"/>
          <w:sz w:val="20"/>
          <w:szCs w:val="20"/>
          <w:color w:val="auto"/>
        </w:rPr>
        <w:t>COMPANY agrees to [***] supplied by ROCHE [***] in accordance with [***], the Delivery of [***].</w:t>
      </w:r>
    </w:p>
    <w:p>
      <w:pPr>
        <w:spacing w:after="0" w:line="162" w:lineRule="exact"/>
        <w:rPr>
          <w:sz w:val="20"/>
          <w:szCs w:val="20"/>
          <w:color w:val="auto"/>
        </w:rPr>
      </w:pPr>
    </w:p>
    <w:p>
      <w:pPr>
        <w:jc w:val="both"/>
        <w:ind w:firstLine="674"/>
        <w:spacing w:after="0" w:line="259" w:lineRule="auto"/>
        <w:rPr>
          <w:sz w:val="20"/>
          <w:szCs w:val="20"/>
          <w:color w:val="auto"/>
        </w:rPr>
      </w:pPr>
      <w:r>
        <w:rPr>
          <w:rFonts w:ascii="Arial" w:cs="Arial" w:eastAsia="Arial" w:hAnsi="Arial"/>
          <w:sz w:val="20"/>
          <w:szCs w:val="20"/>
          <w:b w:val="1"/>
          <w:bCs w:val="1"/>
          <w:color w:val="auto"/>
        </w:rPr>
        <w:t xml:space="preserve">6.5 </w:t>
      </w:r>
      <w:r>
        <w:rPr>
          <w:rFonts w:ascii="Arial" w:cs="Arial" w:eastAsia="Arial" w:hAnsi="Arial"/>
          <w:sz w:val="20"/>
          <w:szCs w:val="20"/>
          <w:color w:val="auto"/>
        </w:rPr>
        <w:t>Terms of delivery of Roche Compound will be [***] (such delivery of Roche Compound, “</w:t>
      </w:r>
      <w:r>
        <w:rPr>
          <w:rFonts w:ascii="Arial" w:cs="Arial" w:eastAsia="Arial" w:hAnsi="Arial"/>
          <w:sz w:val="20"/>
          <w:szCs w:val="20"/>
          <w:b w:val="1"/>
          <w:bCs w:val="1"/>
          <w:color w:val="auto"/>
        </w:rPr>
        <w:t>Delivery</w:t>
      </w:r>
      <w:r>
        <w:rPr>
          <w:rFonts w:ascii="Arial" w:cs="Arial" w:eastAsia="Arial" w:hAnsi="Arial"/>
          <w:sz w:val="20"/>
          <w:szCs w:val="20"/>
          <w:color w:val="auto"/>
        </w:rPr>
        <w:t>”). Roche</w:t>
      </w:r>
      <w:r>
        <w:rPr>
          <w:rFonts w:ascii="Arial" w:cs="Arial" w:eastAsia="Arial" w:hAnsi="Arial"/>
          <w:sz w:val="20"/>
          <w:szCs w:val="20"/>
          <w:b w:val="1"/>
          <w:bCs w:val="1"/>
          <w:color w:val="auto"/>
        </w:rPr>
        <w:t xml:space="preserve"> </w:t>
      </w:r>
      <w:r>
        <w:rPr>
          <w:rFonts w:ascii="Arial" w:cs="Arial" w:eastAsia="Arial" w:hAnsi="Arial"/>
          <w:sz w:val="20"/>
          <w:szCs w:val="20"/>
          <w:color w:val="auto"/>
        </w:rPr>
        <w:t>Compound return to ROCHE, if any, will be [***]. The same [***] shall apply for return shipments [***].</w:t>
      </w:r>
    </w:p>
    <w:p>
      <w:pPr>
        <w:spacing w:after="0" w:line="125" w:lineRule="exact"/>
        <w:rPr>
          <w:sz w:val="20"/>
          <w:szCs w:val="20"/>
          <w:color w:val="auto"/>
        </w:rPr>
      </w:pPr>
    </w:p>
    <w:p>
      <w:pPr>
        <w:jc w:val="both"/>
        <w:ind w:right="20" w:firstLine="674"/>
        <w:spacing w:after="0" w:line="259" w:lineRule="auto"/>
        <w:rPr>
          <w:sz w:val="20"/>
          <w:szCs w:val="20"/>
          <w:color w:val="auto"/>
        </w:rPr>
      </w:pPr>
      <w:r>
        <w:rPr>
          <w:rFonts w:ascii="Arial" w:cs="Arial" w:eastAsia="Arial" w:hAnsi="Arial"/>
          <w:sz w:val="20"/>
          <w:szCs w:val="20"/>
          <w:b w:val="1"/>
          <w:bCs w:val="1"/>
          <w:color w:val="auto"/>
        </w:rPr>
        <w:t xml:space="preserve">6.6 </w:t>
      </w:r>
      <w:r>
        <w:rPr>
          <w:rFonts w:ascii="Arial" w:cs="Arial" w:eastAsia="Arial" w:hAnsi="Arial"/>
          <w:sz w:val="20"/>
          <w:szCs w:val="20"/>
          <w:color w:val="auto"/>
        </w:rPr>
        <w:t>ROCHE will promptly notify COMPANY of any [***] obtained after the Roche Compound has been provided to</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t>
      </w:r>
    </w:p>
    <w:p>
      <w:pPr>
        <w:spacing w:after="0" w:line="111" w:lineRule="exact"/>
        <w:rPr>
          <w:sz w:val="20"/>
          <w:szCs w:val="20"/>
          <w:color w:val="auto"/>
        </w:rPr>
      </w:pPr>
    </w:p>
    <w:p>
      <w:pPr>
        <w:jc w:val="both"/>
        <w:ind w:firstLine="674"/>
        <w:spacing w:after="0" w:line="259" w:lineRule="auto"/>
        <w:rPr>
          <w:sz w:val="20"/>
          <w:szCs w:val="20"/>
          <w:color w:val="auto"/>
        </w:rPr>
      </w:pPr>
      <w:r>
        <w:rPr>
          <w:rFonts w:ascii="Arial" w:cs="Arial" w:eastAsia="Arial" w:hAnsi="Arial"/>
          <w:sz w:val="20"/>
          <w:szCs w:val="20"/>
          <w:b w:val="1"/>
          <w:bCs w:val="1"/>
          <w:color w:val="auto"/>
        </w:rPr>
        <w:t xml:space="preserve">6.7 </w:t>
      </w:r>
      <w:r>
        <w:rPr>
          <w:rFonts w:ascii="Arial" w:cs="Arial" w:eastAsia="Arial" w:hAnsi="Arial"/>
          <w:sz w:val="20"/>
          <w:szCs w:val="20"/>
          <w:color w:val="auto"/>
        </w:rPr>
        <w:t>[***] If a potential recall situation arises due to reasons [***], then ROCHE will contact COMPANY as soon as</w:t>
      </w:r>
      <w:r>
        <w:rPr>
          <w:rFonts w:ascii="Arial" w:cs="Arial" w:eastAsia="Arial" w:hAnsi="Arial"/>
          <w:sz w:val="20"/>
          <w:szCs w:val="20"/>
          <w:b w:val="1"/>
          <w:bCs w:val="1"/>
          <w:color w:val="auto"/>
        </w:rPr>
        <w:t xml:space="preserve"> </w:t>
      </w:r>
      <w:r>
        <w:rPr>
          <w:rFonts w:ascii="Arial" w:cs="Arial" w:eastAsia="Arial" w:hAnsi="Arial"/>
          <w:sz w:val="20"/>
          <w:szCs w:val="20"/>
          <w:color w:val="auto"/>
        </w:rPr>
        <w:t>possible to begin the recall process. If [***], COMPANY will review the situation with ROCHE [***].</w:t>
      </w:r>
    </w:p>
    <w:p>
      <w:pPr>
        <w:spacing w:after="0" w:line="111" w:lineRule="exact"/>
        <w:rPr>
          <w:sz w:val="20"/>
          <w:szCs w:val="20"/>
          <w:color w:val="auto"/>
        </w:rPr>
      </w:pPr>
    </w:p>
    <w:p>
      <w:pPr>
        <w:jc w:val="both"/>
        <w:ind w:firstLine="674"/>
        <w:spacing w:after="0" w:line="242" w:lineRule="auto"/>
        <w:rPr>
          <w:sz w:val="20"/>
          <w:szCs w:val="20"/>
          <w:color w:val="auto"/>
        </w:rPr>
      </w:pPr>
      <w:r>
        <w:rPr>
          <w:rFonts w:ascii="Arial" w:cs="Arial" w:eastAsia="Arial" w:hAnsi="Arial"/>
          <w:sz w:val="20"/>
          <w:szCs w:val="20"/>
          <w:b w:val="1"/>
          <w:bCs w:val="1"/>
          <w:color w:val="auto"/>
        </w:rPr>
        <w:t xml:space="preserve">6.8 </w:t>
      </w:r>
      <w:r>
        <w:rPr>
          <w:rFonts w:ascii="Arial" w:cs="Arial" w:eastAsia="Arial" w:hAnsi="Arial"/>
          <w:sz w:val="20"/>
          <w:szCs w:val="20"/>
          <w:color w:val="auto"/>
        </w:rPr>
        <w:t>COMPANY will investigate any customer complaints [***]. If it is determined[***] that the complaint is solely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to the Roche Compound (i.e., not related to the Company Compound or any other actions by COMPANY subsequent to Delivery), [***].</w:t>
      </w:r>
    </w:p>
    <w:p>
      <w:pPr>
        <w:spacing w:after="0" w:line="141" w:lineRule="exact"/>
        <w:rPr>
          <w:sz w:val="20"/>
          <w:szCs w:val="20"/>
          <w:color w:val="auto"/>
        </w:rPr>
      </w:pPr>
    </w:p>
    <w:p>
      <w:pPr>
        <w:jc w:val="both"/>
        <w:ind w:firstLine="674"/>
        <w:spacing w:after="0" w:line="237" w:lineRule="auto"/>
        <w:rPr>
          <w:sz w:val="20"/>
          <w:szCs w:val="20"/>
          <w:color w:val="auto"/>
        </w:rPr>
      </w:pPr>
      <w:r>
        <w:rPr>
          <w:rFonts w:ascii="Arial" w:cs="Arial" w:eastAsia="Arial" w:hAnsi="Arial"/>
          <w:sz w:val="20"/>
          <w:szCs w:val="20"/>
          <w:b w:val="1"/>
          <w:bCs w:val="1"/>
          <w:color w:val="auto"/>
        </w:rPr>
        <w:t xml:space="preserve">6.9 </w:t>
      </w:r>
      <w:r>
        <w:rPr>
          <w:rFonts w:ascii="Arial" w:cs="Arial" w:eastAsia="Arial" w:hAnsi="Arial"/>
          <w:sz w:val="20"/>
          <w:szCs w:val="20"/>
          <w:color w:val="auto"/>
        </w:rPr>
        <w:t>In cases of supply issues outside of ROCHE’s reasonable control that prevent ROCHE from supplying the Roche</w:t>
      </w:r>
      <w:r>
        <w:rPr>
          <w:rFonts w:ascii="Arial" w:cs="Arial" w:eastAsia="Arial" w:hAnsi="Arial"/>
          <w:sz w:val="20"/>
          <w:szCs w:val="20"/>
          <w:b w:val="1"/>
          <w:bCs w:val="1"/>
          <w:color w:val="auto"/>
        </w:rPr>
        <w:t xml:space="preserve"> </w:t>
      </w:r>
      <w:r>
        <w:rPr>
          <w:rFonts w:ascii="Arial" w:cs="Arial" w:eastAsia="Arial" w:hAnsi="Arial"/>
          <w:sz w:val="20"/>
          <w:szCs w:val="20"/>
          <w:color w:val="auto"/>
        </w:rPr>
        <w:t>Compound in accordance with this Agreement, (a) ROCHE shall promptly notify COMPANY, (b) the Parties shall discuss in good faith mechanisms for minimizing the impact of such supply issues (or anticipated supply issues, as applicable) on the Studies [***].</w:t>
      </w:r>
    </w:p>
    <w:p>
      <w:pPr>
        <w:spacing w:after="0" w:line="131" w:lineRule="exact"/>
        <w:rPr>
          <w:sz w:val="20"/>
          <w:szCs w:val="20"/>
          <w:color w:val="auto"/>
        </w:rPr>
      </w:pPr>
    </w:p>
    <w:p>
      <w:pPr>
        <w:jc w:val="both"/>
        <w:ind w:firstLine="674"/>
        <w:spacing w:after="0" w:line="242" w:lineRule="auto"/>
        <w:rPr>
          <w:sz w:val="20"/>
          <w:szCs w:val="20"/>
          <w:color w:val="auto"/>
        </w:rPr>
      </w:pPr>
      <w:r>
        <w:rPr>
          <w:rFonts w:ascii="Arial" w:cs="Arial" w:eastAsia="Arial" w:hAnsi="Arial"/>
          <w:sz w:val="20"/>
          <w:szCs w:val="20"/>
          <w:b w:val="1"/>
          <w:bCs w:val="1"/>
          <w:color w:val="auto"/>
        </w:rPr>
        <w:t xml:space="preserve">6.10 </w:t>
      </w:r>
      <w:r>
        <w:rPr>
          <w:rFonts w:ascii="Arial" w:cs="Arial" w:eastAsia="Arial" w:hAnsi="Arial"/>
          <w:sz w:val="20"/>
          <w:szCs w:val="20"/>
          <w:color w:val="auto"/>
        </w:rPr>
        <w:t>The Parties acknowledge that COMPANY may be supported by a contract research organization (“</w:t>
      </w:r>
      <w:r>
        <w:rPr>
          <w:rFonts w:ascii="Arial" w:cs="Arial" w:eastAsia="Arial" w:hAnsi="Arial"/>
          <w:sz w:val="20"/>
          <w:szCs w:val="20"/>
          <w:b w:val="1"/>
          <w:bCs w:val="1"/>
          <w:color w:val="auto"/>
        </w:rPr>
        <w:t>CRO</w:t>
      </w:r>
      <w:r>
        <w:rPr>
          <w:rFonts w:ascii="Arial" w:cs="Arial" w:eastAsia="Arial" w:hAnsi="Arial"/>
          <w:sz w:val="20"/>
          <w:szCs w:val="20"/>
          <w:color w:val="auto"/>
        </w:rPr>
        <w:t>”) or a</w:t>
      </w:r>
      <w:r>
        <w:rPr>
          <w:rFonts w:ascii="Arial" w:cs="Arial" w:eastAsia="Arial" w:hAnsi="Arial"/>
          <w:sz w:val="20"/>
          <w:szCs w:val="20"/>
          <w:b w:val="1"/>
          <w:bCs w:val="1"/>
          <w:color w:val="auto"/>
        </w:rPr>
        <w:t xml:space="preserve"> </w:t>
      </w:r>
      <w:r>
        <w:rPr>
          <w:rFonts w:ascii="Arial" w:cs="Arial" w:eastAsia="Arial" w:hAnsi="Arial"/>
          <w:sz w:val="20"/>
          <w:szCs w:val="20"/>
          <w:color w:val="auto"/>
        </w:rPr>
        <w:t>contract manufacturing organization (“</w:t>
      </w:r>
      <w:r>
        <w:rPr>
          <w:rFonts w:ascii="Arial" w:cs="Arial" w:eastAsia="Arial" w:hAnsi="Arial"/>
          <w:sz w:val="20"/>
          <w:szCs w:val="20"/>
          <w:b w:val="1"/>
          <w:bCs w:val="1"/>
          <w:color w:val="auto"/>
        </w:rPr>
        <w:t>CMO</w:t>
      </w:r>
      <w:r>
        <w:rPr>
          <w:rFonts w:ascii="Arial" w:cs="Arial" w:eastAsia="Arial" w:hAnsi="Arial"/>
          <w:sz w:val="20"/>
          <w:szCs w:val="20"/>
          <w:color w:val="auto"/>
        </w:rPr>
        <w:t>”) in certain logistics/ operational aspects for the conduct of the Study and/or the preparation or dispatch of the clinical trial kits. Although [***] directly to such a CRO or CMO, [***]. Moreover, [***].</w:t>
      </w:r>
    </w:p>
    <w:p>
      <w:pPr>
        <w:spacing w:after="0" w:line="168" w:lineRule="exact"/>
        <w:rPr>
          <w:sz w:val="20"/>
          <w:szCs w:val="20"/>
          <w:color w:val="auto"/>
        </w:rPr>
      </w:pPr>
    </w:p>
    <w:p>
      <w:pPr>
        <w:ind w:left="440" w:hanging="432"/>
        <w:spacing w:after="0"/>
        <w:tabs>
          <w:tab w:leader="none" w:pos="44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w:t>
      </w:r>
    </w:p>
    <w:p>
      <w:pPr>
        <w:spacing w:after="0" w:line="162" w:lineRule="exact"/>
        <w:rPr>
          <w:sz w:val="20"/>
          <w:szCs w:val="20"/>
          <w:color w:val="auto"/>
        </w:rPr>
      </w:pPr>
    </w:p>
    <w:p>
      <w:pPr>
        <w:jc w:val="both"/>
        <w:ind w:firstLine="674"/>
        <w:spacing w:after="0" w:line="231" w:lineRule="auto"/>
        <w:rPr>
          <w:sz w:val="20"/>
          <w:szCs w:val="20"/>
          <w:color w:val="auto"/>
        </w:rPr>
      </w:pPr>
      <w:r>
        <w:rPr>
          <w:rFonts w:ascii="Arial" w:cs="Arial" w:eastAsia="Arial" w:hAnsi="Arial"/>
          <w:sz w:val="20"/>
          <w:szCs w:val="20"/>
          <w:b w:val="1"/>
          <w:bCs w:val="1"/>
          <w:color w:val="auto"/>
        </w:rPr>
        <w:t xml:space="preserve">7.1 </w:t>
      </w:r>
      <w:r>
        <w:rPr>
          <w:rFonts w:ascii="Arial" w:cs="Arial" w:eastAsia="Arial" w:hAnsi="Arial"/>
          <w:sz w:val="20"/>
          <w:szCs w:val="20"/>
          <w:color w:val="auto"/>
        </w:rPr>
        <w:t>“</w:t>
      </w:r>
      <w:r>
        <w:rPr>
          <w:rFonts w:ascii="Arial" w:cs="Arial" w:eastAsia="Arial" w:hAnsi="Arial"/>
          <w:sz w:val="20"/>
          <w:szCs w:val="20"/>
          <w:b w:val="1"/>
          <w:bCs w:val="1"/>
          <w:color w:val="auto"/>
        </w:rPr>
        <w:t xml:space="preserve"> Confidential Information</w:t>
      </w:r>
      <w:r>
        <w:rPr>
          <w:rFonts w:ascii="Arial" w:cs="Arial" w:eastAsia="Arial" w:hAnsi="Arial"/>
          <w:sz w:val="20"/>
          <w:szCs w:val="20"/>
          <w:color w:val="auto"/>
        </w:rPr>
        <w:t>” means any information of a Party or its respective Affiliates (“</w:t>
      </w:r>
      <w:r>
        <w:rPr>
          <w:rFonts w:ascii="Arial" w:cs="Arial" w:eastAsia="Arial" w:hAnsi="Arial"/>
          <w:sz w:val="20"/>
          <w:szCs w:val="20"/>
          <w:b w:val="1"/>
          <w:bCs w:val="1"/>
          <w:color w:val="auto"/>
        </w:rPr>
        <w:t>Disclosing Party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disclosed by or on behalf of a Disclosing Party to the other Party or its respective Affiliates (“</w:t>
      </w:r>
      <w:r>
        <w:rPr>
          <w:rFonts w:ascii="Arial" w:cs="Arial" w:eastAsia="Arial" w:hAnsi="Arial"/>
          <w:sz w:val="20"/>
          <w:szCs w:val="20"/>
          <w:b w:val="1"/>
          <w:bCs w:val="1"/>
          <w:color w:val="auto"/>
        </w:rPr>
        <w:t>Receiving Party</w:t>
      </w:r>
      <w:r>
        <w:rPr>
          <w:rFonts w:ascii="Arial" w:cs="Arial" w:eastAsia="Arial" w:hAnsi="Arial"/>
          <w:sz w:val="20"/>
          <w:szCs w:val="20"/>
          <w:color w:val="auto"/>
        </w:rPr>
        <w:t>”) pursuant to or otherwise in connection with this Agreement that the Disclosing Party regards as confidential or proprietary in nature, whether in oral, written, graphic or electronic form. For the avoidance of doubt, the Confidential Information of a Party will include, without limitation, the identity, nature, chemical and physical characteristics of the Roche Compound (in the case of ROCHE) and Company Compound (in the case of COMPANY). For further clarity, (a) the Protocol and the Company Inventions shall be deemed COMPANY’s Confidential Information, (b) the Roche Inventions shall be deemed ROCHE’s Confidential Information and (c) except as otherwise required by Applicable Laws 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as otherwise set forth in this Agreement, (i) the terms of this Agreement, (ii) [***] and (iii) [***] will be [***].</w:t>
      </w:r>
    </w:p>
    <w:p>
      <w:pPr>
        <w:spacing w:after="0" w:line="173" w:lineRule="exact"/>
        <w:rPr>
          <w:sz w:val="20"/>
          <w:szCs w:val="20"/>
          <w:color w:val="auto"/>
        </w:rPr>
      </w:pPr>
    </w:p>
    <w:p>
      <w:pPr>
        <w:jc w:val="both"/>
        <w:ind w:firstLine="674"/>
        <w:spacing w:after="0" w:line="231" w:lineRule="auto"/>
        <w:rPr>
          <w:sz w:val="20"/>
          <w:szCs w:val="20"/>
          <w:color w:val="auto"/>
        </w:rPr>
      </w:pPr>
      <w:r>
        <w:rPr>
          <w:rFonts w:ascii="Arial" w:cs="Arial" w:eastAsia="Arial" w:hAnsi="Arial"/>
          <w:sz w:val="20"/>
          <w:szCs w:val="20"/>
          <w:b w:val="1"/>
          <w:bCs w:val="1"/>
          <w:color w:val="auto"/>
        </w:rPr>
        <w:t xml:space="preserve">7.2 </w:t>
      </w:r>
      <w:r>
        <w:rPr>
          <w:rFonts w:ascii="Arial" w:cs="Arial" w:eastAsia="Arial" w:hAnsi="Arial"/>
          <w:sz w:val="20"/>
          <w:szCs w:val="20"/>
          <w:color w:val="auto"/>
        </w:rPr>
        <w:t>The obligations of a Receiving Party as set forth in this Section 7 or elsewhere in this Agreement will not extend to</w:t>
      </w:r>
      <w:r>
        <w:rPr>
          <w:rFonts w:ascii="Arial" w:cs="Arial" w:eastAsia="Arial" w:hAnsi="Arial"/>
          <w:sz w:val="20"/>
          <w:szCs w:val="20"/>
          <w:b w:val="1"/>
          <w:bCs w:val="1"/>
          <w:color w:val="auto"/>
        </w:rPr>
        <w:t xml:space="preserve"> </w:t>
      </w:r>
      <w:r>
        <w:rPr>
          <w:rFonts w:ascii="Arial" w:cs="Arial" w:eastAsia="Arial" w:hAnsi="Arial"/>
          <w:sz w:val="20"/>
          <w:szCs w:val="20"/>
          <w:color w:val="auto"/>
        </w:rPr>
        <w:t>any portion of the Disclosing Party’s Confidential Information which: (a) is disclosed to the Receiving Party by a third party without imposing any obligation of confidentiality or non-use on the Receiving Party with respect thereto; or (b) is or becomes lawfully part of the public domain by reason of acts not attributable to the Receiving Party; or (c) is developed independently by the Receiving Party without access to or use of the Disclosing Party’s Confidential Information as evidenced by the Receiving Party’s contemporaneous written records; or (d) is in the Receiving Party’s possession, without any obligations of confidentiality or non-use with respect thereto, prior to disclosure by the Disclosing Party as evidenced by the Receiving Party’s written records.</w:t>
      </w:r>
    </w:p>
    <w:p>
      <w:pPr>
        <w:spacing w:after="0" w:line="133" w:lineRule="exact"/>
        <w:rPr>
          <w:sz w:val="20"/>
          <w:szCs w:val="20"/>
          <w:color w:val="auto"/>
        </w:rPr>
      </w:pPr>
    </w:p>
    <w:p>
      <w:pPr>
        <w:jc w:val="both"/>
        <w:ind w:firstLine="674"/>
        <w:spacing w:after="0" w:line="259" w:lineRule="auto"/>
        <w:rPr>
          <w:sz w:val="20"/>
          <w:szCs w:val="20"/>
          <w:color w:val="auto"/>
        </w:rPr>
      </w:pPr>
      <w:r>
        <w:rPr>
          <w:rFonts w:ascii="Arial" w:cs="Arial" w:eastAsia="Arial" w:hAnsi="Arial"/>
          <w:sz w:val="20"/>
          <w:szCs w:val="20"/>
          <w:b w:val="1"/>
          <w:bCs w:val="1"/>
          <w:color w:val="auto"/>
        </w:rPr>
        <w:t xml:space="preserve">7.3 </w:t>
      </w:r>
      <w:r>
        <w:rPr>
          <w:rFonts w:ascii="Arial" w:cs="Arial" w:eastAsia="Arial" w:hAnsi="Arial"/>
          <w:sz w:val="20"/>
          <w:szCs w:val="20"/>
          <w:color w:val="auto"/>
        </w:rPr>
        <w:t>Each Receiving Party agrees to hold in confidence any Confidential Information provided by or on behalf of the</w:t>
      </w:r>
      <w:r>
        <w:rPr>
          <w:rFonts w:ascii="Arial" w:cs="Arial" w:eastAsia="Arial" w:hAnsi="Arial"/>
          <w:sz w:val="20"/>
          <w:szCs w:val="20"/>
          <w:b w:val="1"/>
          <w:bCs w:val="1"/>
          <w:color w:val="auto"/>
        </w:rPr>
        <w:t xml:space="preserve"> </w:t>
      </w:r>
      <w:r>
        <w:rPr>
          <w:rFonts w:ascii="Arial" w:cs="Arial" w:eastAsia="Arial" w:hAnsi="Arial"/>
          <w:sz w:val="20"/>
          <w:szCs w:val="20"/>
          <w:color w:val="auto"/>
        </w:rPr>
        <w:t>Disclosing Party.</w:t>
      </w:r>
    </w:p>
    <w:p>
      <w:pPr>
        <w:spacing w:after="0" w:line="113" w:lineRule="exact"/>
        <w:rPr>
          <w:sz w:val="20"/>
          <w:szCs w:val="20"/>
          <w:color w:val="auto"/>
        </w:rPr>
      </w:pPr>
    </w:p>
    <w:p>
      <w:pPr>
        <w:jc w:val="both"/>
        <w:ind w:firstLine="674"/>
        <w:spacing w:after="0" w:line="257" w:lineRule="auto"/>
        <w:rPr>
          <w:sz w:val="20"/>
          <w:szCs w:val="20"/>
          <w:color w:val="auto"/>
        </w:rPr>
      </w:pPr>
      <w:r>
        <w:rPr>
          <w:rFonts w:ascii="Arial" w:cs="Arial" w:eastAsia="Arial" w:hAnsi="Arial"/>
          <w:sz w:val="20"/>
          <w:szCs w:val="20"/>
          <w:color w:val="auto"/>
        </w:rPr>
        <w:t>7.4 The Receiving Party will not use Confidential Information of the Disclosing Party except for purposes of conducting the Study and performing such Party’s obligations or exercising such Party’s rights under this Agreement.</w:t>
      </w:r>
    </w:p>
    <w:p>
      <w:pPr>
        <w:spacing w:after="0" w:line="126" w:lineRule="exact"/>
        <w:rPr>
          <w:sz w:val="20"/>
          <w:szCs w:val="20"/>
          <w:color w:val="auto"/>
        </w:rPr>
      </w:pPr>
    </w:p>
    <w:p>
      <w:pPr>
        <w:jc w:val="both"/>
        <w:ind w:firstLine="674"/>
        <w:spacing w:after="0" w:line="237" w:lineRule="auto"/>
        <w:rPr>
          <w:sz w:val="20"/>
          <w:szCs w:val="20"/>
          <w:color w:val="auto"/>
        </w:rPr>
      </w:pPr>
      <w:r>
        <w:rPr>
          <w:rFonts w:ascii="Arial" w:cs="Arial" w:eastAsia="Arial" w:hAnsi="Arial"/>
          <w:sz w:val="20"/>
          <w:szCs w:val="20"/>
          <w:b w:val="1"/>
          <w:bCs w:val="1"/>
          <w:color w:val="auto"/>
        </w:rPr>
        <w:t xml:space="preserve">7.5 </w:t>
      </w:r>
      <w:r>
        <w:rPr>
          <w:rFonts w:ascii="Arial" w:cs="Arial" w:eastAsia="Arial" w:hAnsi="Arial"/>
          <w:sz w:val="20"/>
          <w:szCs w:val="20"/>
          <w:color w:val="auto"/>
        </w:rPr>
        <w:t>The Receiving Party will not, without the prior written permission of the Disclosing Party, disclose any Confidential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Information to any third party [***]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 any such third party is bound by written obligations of confidentiality and non-use no less restrictive than those contained herein; and [***]. However, notwithstanding the foregoing, COMPANY may disclose [***] bound by written obligations of confidentiality and non-use substantially similar to those contained herein.</w:t>
      </w:r>
    </w:p>
    <w:p>
      <w:pPr>
        <w:spacing w:after="0" w:line="131" w:lineRule="exact"/>
        <w:rPr>
          <w:sz w:val="20"/>
          <w:szCs w:val="20"/>
          <w:color w:val="auto"/>
        </w:rPr>
      </w:pPr>
    </w:p>
    <w:p>
      <w:pPr>
        <w:jc w:val="both"/>
        <w:ind w:firstLine="674"/>
        <w:spacing w:after="0" w:line="242" w:lineRule="auto"/>
        <w:rPr>
          <w:sz w:val="20"/>
          <w:szCs w:val="20"/>
          <w:color w:val="auto"/>
        </w:rPr>
      </w:pPr>
      <w:r>
        <w:rPr>
          <w:rFonts w:ascii="Arial" w:cs="Arial" w:eastAsia="Arial" w:hAnsi="Arial"/>
          <w:sz w:val="20"/>
          <w:szCs w:val="20"/>
          <w:b w:val="1"/>
          <w:bCs w:val="1"/>
          <w:color w:val="auto"/>
        </w:rPr>
        <w:t xml:space="preserve">7.6 </w:t>
      </w:r>
      <w:r>
        <w:rPr>
          <w:rFonts w:ascii="Arial" w:cs="Arial" w:eastAsia="Arial" w:hAnsi="Arial"/>
          <w:sz w:val="20"/>
          <w:szCs w:val="20"/>
          <w:color w:val="auto"/>
        </w:rPr>
        <w:t>Each Party will only share the other Party’s Confidential Information within its organization or Affiliates’ organization</w:t>
      </w:r>
      <w:r>
        <w:rPr>
          <w:rFonts w:ascii="Arial" w:cs="Arial" w:eastAsia="Arial" w:hAnsi="Arial"/>
          <w:sz w:val="20"/>
          <w:szCs w:val="20"/>
          <w:b w:val="1"/>
          <w:bCs w:val="1"/>
          <w:color w:val="auto"/>
        </w:rPr>
        <w:t xml:space="preserve"> </w:t>
      </w:r>
      <w:r>
        <w:rPr>
          <w:rFonts w:ascii="Arial" w:cs="Arial" w:eastAsia="Arial" w:hAnsi="Arial"/>
          <w:sz w:val="20"/>
          <w:szCs w:val="20"/>
          <w:color w:val="auto"/>
        </w:rPr>
        <w:t>to those individuals who [***] and who are bound by written obligations of confidentiality and non-use no less restrictive than those contained herein.</w:t>
      </w:r>
    </w:p>
    <w:p>
      <w:pPr>
        <w:spacing w:after="0" w:line="128" w:lineRule="exact"/>
        <w:rPr>
          <w:sz w:val="20"/>
          <w:szCs w:val="20"/>
          <w:color w:val="auto"/>
        </w:rPr>
      </w:pPr>
    </w:p>
    <w:p>
      <w:pPr>
        <w:ind w:left="680"/>
        <w:spacing w:after="0"/>
        <w:tabs>
          <w:tab w:leader="none" w:pos="1120" w:val="left"/>
        </w:tabs>
        <w:rPr>
          <w:sz w:val="20"/>
          <w:szCs w:val="20"/>
          <w:color w:val="auto"/>
        </w:rPr>
      </w:pPr>
      <w:r>
        <w:rPr>
          <w:rFonts w:ascii="Arial" w:cs="Arial" w:eastAsia="Arial" w:hAnsi="Arial"/>
          <w:sz w:val="20"/>
          <w:szCs w:val="20"/>
          <w:b w:val="1"/>
          <w:bCs w:val="1"/>
          <w:color w:val="auto"/>
        </w:rPr>
        <w:t>7.7</w:t>
      </w:r>
      <w:r>
        <w:rPr>
          <w:sz w:val="20"/>
          <w:szCs w:val="20"/>
          <w:color w:val="auto"/>
        </w:rPr>
        <w:tab/>
      </w:r>
      <w:r>
        <w:rPr>
          <w:rFonts w:ascii="Arial" w:cs="Arial" w:eastAsia="Arial" w:hAnsi="Arial"/>
          <w:sz w:val="20"/>
          <w:szCs w:val="20"/>
          <w:color w:val="auto"/>
        </w:rPr>
        <w:t>The confidentiality, non-use and non-disclosure obligations in this Agreement will remain effective for a period of</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55" w:lineRule="exact"/>
        <w:rPr>
          <w:sz w:val="20"/>
          <w:szCs w:val="20"/>
          <w:color w:val="auto"/>
        </w:rPr>
      </w:pPr>
    </w:p>
    <w:p>
      <w:pPr>
        <w:jc w:val="both"/>
        <w:ind w:firstLine="674"/>
        <w:spacing w:after="0" w:line="235" w:lineRule="auto"/>
        <w:rPr>
          <w:sz w:val="20"/>
          <w:szCs w:val="20"/>
          <w:color w:val="auto"/>
        </w:rPr>
      </w:pPr>
      <w:r>
        <w:rPr>
          <w:rFonts w:ascii="Arial" w:cs="Arial" w:eastAsia="Arial" w:hAnsi="Arial"/>
          <w:sz w:val="20"/>
          <w:szCs w:val="20"/>
          <w:b w:val="1"/>
          <w:bCs w:val="1"/>
          <w:color w:val="auto"/>
        </w:rPr>
        <w:t xml:space="preserve">7.8 </w:t>
      </w:r>
      <w:r>
        <w:rPr>
          <w:rFonts w:ascii="Arial" w:cs="Arial" w:eastAsia="Arial" w:hAnsi="Arial"/>
          <w:sz w:val="20"/>
          <w:szCs w:val="20"/>
          <w:color w:val="auto"/>
        </w:rPr>
        <w:t>Each Receiving Party may disclose Confidential Information of the Disclosing Party to the extent that such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disclosure is required by Applicable Laws or pursuant to a judicial or governmental order,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each case (to the extent permitted by Applicable Laws), any Confidential Information disclosed pursuant to this Section 7.8 shall remain subject to the confidentiality and non-use obligations set forth in this Agreement, unless and until such information falls under any of the exceptions set forth in clauses (a) thorough (d) in Section 7.2, and the Receiving Party shall:</w:t>
      </w:r>
    </w:p>
    <w:p>
      <w:pPr>
        <w:spacing w:after="0" w:line="145" w:lineRule="exact"/>
        <w:rPr>
          <w:sz w:val="20"/>
          <w:szCs w:val="20"/>
          <w:color w:val="auto"/>
        </w:rPr>
      </w:pPr>
    </w:p>
    <w:p>
      <w:pPr>
        <w:ind w:left="1940" w:hanging="435"/>
        <w:spacing w:after="0"/>
        <w:tabs>
          <w:tab w:leader="none" w:pos="1940" w:val="left"/>
        </w:tabs>
        <w:numPr>
          <w:ilvl w:val="0"/>
          <w:numId w:val="69"/>
        </w:numPr>
        <w:rPr>
          <w:rFonts w:ascii="Arial" w:cs="Arial" w:eastAsia="Arial" w:hAnsi="Arial"/>
          <w:sz w:val="20"/>
          <w:szCs w:val="20"/>
          <w:b w:val="1"/>
          <w:bCs w:val="1"/>
          <w:color w:val="auto"/>
        </w:rPr>
      </w:pPr>
      <w:r>
        <w:rPr>
          <w:rFonts w:ascii="Arial" w:cs="Arial" w:eastAsia="Arial" w:hAnsi="Arial"/>
          <w:sz w:val="20"/>
          <w:szCs w:val="20"/>
          <w:color w:val="auto"/>
        </w:rPr>
        <w:t>give the Disclosing Party as much advance written notice of the proposed disclosure as is reasonably</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possible;</w:t>
      </w:r>
    </w:p>
    <w:p>
      <w:pPr>
        <w:spacing w:after="0" w:line="171" w:lineRule="exact"/>
        <w:rPr>
          <w:sz w:val="20"/>
          <w:szCs w:val="20"/>
          <w:color w:val="auto"/>
        </w:rPr>
      </w:pPr>
    </w:p>
    <w:p>
      <w:pPr>
        <w:jc w:val="both"/>
        <w:ind w:firstLine="1505"/>
        <w:spacing w:after="0" w:line="241" w:lineRule="auto"/>
        <w:tabs>
          <w:tab w:leader="none" w:pos="1937" w:val="left"/>
        </w:tabs>
        <w:numPr>
          <w:ilvl w:val="0"/>
          <w:numId w:val="70"/>
        </w:numPr>
        <w:rPr>
          <w:rFonts w:ascii="Arial" w:cs="Arial" w:eastAsia="Arial" w:hAnsi="Arial"/>
          <w:sz w:val="20"/>
          <w:szCs w:val="20"/>
          <w:b w:val="1"/>
          <w:bCs w:val="1"/>
          <w:color w:val="auto"/>
        </w:rPr>
      </w:pPr>
      <w:r>
        <w:rPr>
          <w:rFonts w:ascii="Arial" w:cs="Arial" w:eastAsia="Arial" w:hAnsi="Arial"/>
          <w:sz w:val="20"/>
          <w:szCs w:val="20"/>
          <w:color w:val="auto"/>
        </w:rPr>
        <w:t>at the Disclosing Party’s request and expense, cooperate with the Disclosing Party in its efforts to contest such disclosure requirement or to obtain a protective order or other confidential treatment with respect to such information so required to be disclosed; 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77" w:lineRule="exact"/>
        <w:rPr>
          <w:sz w:val="20"/>
          <w:szCs w:val="20"/>
          <w:color w:val="auto"/>
        </w:rPr>
      </w:pPr>
    </w:p>
    <w:p>
      <w:pPr>
        <w:jc w:val="both"/>
        <w:ind w:firstLine="1505"/>
        <w:spacing w:after="0" w:line="241" w:lineRule="auto"/>
        <w:tabs>
          <w:tab w:leader="none" w:pos="1937" w:val="left"/>
        </w:tabs>
        <w:numPr>
          <w:ilvl w:val="0"/>
          <w:numId w:val="71"/>
        </w:numPr>
        <w:rPr>
          <w:rFonts w:ascii="Arial" w:cs="Arial" w:eastAsia="Arial" w:hAnsi="Arial"/>
          <w:sz w:val="20"/>
          <w:szCs w:val="20"/>
          <w:b w:val="1"/>
          <w:bCs w:val="1"/>
          <w:color w:val="auto"/>
        </w:rPr>
      </w:pPr>
      <w:r>
        <w:rPr>
          <w:rFonts w:ascii="Arial" w:cs="Arial" w:eastAsia="Arial" w:hAnsi="Arial"/>
          <w:sz w:val="20"/>
          <w:szCs w:val="20"/>
          <w:color w:val="auto"/>
        </w:rPr>
        <w:t>in any event, (i) disclose only that portion of the Disclosing Party’s Confidential Information that is legally required to be disclosed, and (ii) inform the intended recipient that the disclosure contains information which is confidential to the Disclosing Party.</w:t>
      </w:r>
    </w:p>
    <w:p>
      <w:pPr>
        <w:spacing w:after="0" w:line="129" w:lineRule="exact"/>
        <w:rPr>
          <w:sz w:val="20"/>
          <w:szCs w:val="20"/>
          <w:color w:val="auto"/>
        </w:rPr>
      </w:pPr>
    </w:p>
    <w:p>
      <w:pPr>
        <w:jc w:val="both"/>
        <w:ind w:firstLine="674"/>
        <w:spacing w:after="0" w:line="242" w:lineRule="auto"/>
        <w:rPr>
          <w:sz w:val="20"/>
          <w:szCs w:val="20"/>
          <w:color w:val="auto"/>
        </w:rPr>
      </w:pPr>
      <w:r>
        <w:rPr>
          <w:rFonts w:ascii="Arial" w:cs="Arial" w:eastAsia="Arial" w:hAnsi="Arial"/>
          <w:sz w:val="20"/>
          <w:szCs w:val="20"/>
          <w:b w:val="1"/>
          <w:bCs w:val="1"/>
          <w:color w:val="auto"/>
        </w:rPr>
        <w:t xml:space="preserve">7.9 </w:t>
      </w:r>
      <w:r>
        <w:rPr>
          <w:rFonts w:ascii="Arial" w:cs="Arial" w:eastAsia="Arial" w:hAnsi="Arial"/>
          <w:sz w:val="20"/>
          <w:szCs w:val="20"/>
          <w:color w:val="auto"/>
        </w:rPr>
        <w:t>Each Receiving Party may retain electronic copies of the Disclosing Party’s Confidential Information that were</w:t>
      </w:r>
      <w:r>
        <w:rPr>
          <w:rFonts w:ascii="Arial" w:cs="Arial" w:eastAsia="Arial" w:hAnsi="Arial"/>
          <w:sz w:val="20"/>
          <w:szCs w:val="20"/>
          <w:b w:val="1"/>
          <w:bCs w:val="1"/>
          <w:color w:val="auto"/>
        </w:rPr>
        <w:t xml:space="preserve"> </w:t>
      </w:r>
      <w:r>
        <w:rPr>
          <w:rFonts w:ascii="Arial" w:cs="Arial" w:eastAsia="Arial" w:hAnsi="Arial"/>
          <w:sz w:val="20"/>
          <w:szCs w:val="20"/>
          <w:color w:val="auto"/>
        </w:rPr>
        <w:t>made in the ordinary course of business for purposes of information technology backups[***]. With respect to such backup computer files, the non-use and confidentiality obligations set forth in this Agreement will [***].</w:t>
      </w:r>
    </w:p>
    <w:p>
      <w:pPr>
        <w:spacing w:after="0" w:line="128" w:lineRule="exact"/>
        <w:rPr>
          <w:sz w:val="20"/>
          <w:szCs w:val="20"/>
          <w:color w:val="auto"/>
        </w:rPr>
      </w:pPr>
    </w:p>
    <w:p>
      <w:pPr>
        <w:jc w:val="both"/>
        <w:ind w:firstLine="674"/>
        <w:spacing w:after="0" w:line="242" w:lineRule="auto"/>
        <w:rPr>
          <w:sz w:val="20"/>
          <w:szCs w:val="20"/>
          <w:color w:val="auto"/>
        </w:rPr>
      </w:pPr>
      <w:r>
        <w:rPr>
          <w:rFonts w:ascii="Arial" w:cs="Arial" w:eastAsia="Arial" w:hAnsi="Arial"/>
          <w:sz w:val="20"/>
          <w:szCs w:val="20"/>
          <w:b w:val="1"/>
          <w:bCs w:val="1"/>
          <w:color w:val="auto"/>
        </w:rPr>
        <w:t xml:space="preserve">7.10 </w:t>
      </w:r>
      <w:r>
        <w:rPr>
          <w:rFonts w:ascii="Arial" w:cs="Arial" w:eastAsia="Arial" w:hAnsi="Arial"/>
          <w:sz w:val="20"/>
          <w:szCs w:val="20"/>
          <w:color w:val="auto"/>
        </w:rPr>
        <w:t>The Parties acknowledge the Confidentiality Agreement between ROCHE and COMPANY, effective [***] (“</w:t>
      </w:r>
      <w:r>
        <w:rPr>
          <w:rFonts w:ascii="Arial" w:cs="Arial" w:eastAsia="Arial" w:hAnsi="Arial"/>
          <w:sz w:val="20"/>
          <w:szCs w:val="20"/>
          <w:b w:val="1"/>
          <w:bCs w:val="1"/>
          <w:color w:val="auto"/>
        </w:rPr>
        <w:t>CDA</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agree that (a) any disclosures of </w:t>
      </w:r>
      <w:r>
        <w:rPr>
          <w:rFonts w:ascii="Arial" w:cs="Arial" w:eastAsia="Arial" w:hAnsi="Arial"/>
          <w:sz w:val="20"/>
          <w:szCs w:val="20"/>
          <w:b w:val="1"/>
          <w:bCs w:val="1"/>
          <w:color w:val="auto"/>
        </w:rPr>
        <w:t>“</w:t>
      </w:r>
      <w:r>
        <w:rPr>
          <w:rFonts w:ascii="Arial" w:cs="Arial" w:eastAsia="Arial" w:hAnsi="Arial"/>
          <w:sz w:val="20"/>
          <w:szCs w:val="20"/>
          <w:color w:val="auto"/>
        </w:rPr>
        <w:t>Information” as defined under the CDA will be [***], and (b) as of the Effective Date, this Agreement will supersede the CDA with respect to the subject matter thereof.</w:t>
      </w:r>
    </w:p>
    <w:p>
      <w:pPr>
        <w:spacing w:after="0" w:line="168" w:lineRule="exact"/>
        <w:rPr>
          <w:sz w:val="20"/>
          <w:szCs w:val="20"/>
          <w:color w:val="auto"/>
        </w:rPr>
      </w:pPr>
    </w:p>
    <w:p>
      <w:pPr>
        <w:ind w:left="440" w:hanging="432"/>
        <w:spacing w:after="0"/>
        <w:tabs>
          <w:tab w:leader="none" w:pos="440"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Intellectual Property and Patents</w:t>
      </w:r>
    </w:p>
    <w:p>
      <w:pPr>
        <w:spacing w:after="0" w:line="175" w:lineRule="exact"/>
        <w:rPr>
          <w:sz w:val="20"/>
          <w:szCs w:val="20"/>
          <w:color w:val="auto"/>
        </w:rPr>
      </w:pPr>
    </w:p>
    <w:p>
      <w:pPr>
        <w:ind w:right="20" w:firstLine="674"/>
        <w:spacing w:after="0" w:line="259" w:lineRule="auto"/>
        <w:rPr>
          <w:sz w:val="20"/>
          <w:szCs w:val="20"/>
          <w:color w:val="auto"/>
        </w:rPr>
      </w:pPr>
      <w:r>
        <w:rPr>
          <w:rFonts w:ascii="Arial" w:cs="Arial" w:eastAsia="Arial" w:hAnsi="Arial"/>
          <w:sz w:val="20"/>
          <w:szCs w:val="20"/>
          <w:b w:val="1"/>
          <w:bCs w:val="1"/>
          <w:color w:val="auto"/>
        </w:rPr>
        <w:t xml:space="preserve">8.1 </w:t>
      </w:r>
      <w:r>
        <w:rPr>
          <w:rFonts w:ascii="Arial" w:cs="Arial" w:eastAsia="Arial" w:hAnsi="Arial"/>
          <w:sz w:val="20"/>
          <w:szCs w:val="20"/>
          <w:color w:val="auto"/>
        </w:rPr>
        <w:t>All data, results and other information and reports generated in the performance of any Study (the “</w:t>
      </w:r>
      <w:r>
        <w:rPr>
          <w:rFonts w:ascii="Arial" w:cs="Arial" w:eastAsia="Arial" w:hAnsi="Arial"/>
          <w:sz w:val="20"/>
          <w:szCs w:val="20"/>
          <w:b w:val="1"/>
          <w:bCs w:val="1"/>
          <w:color w:val="auto"/>
        </w:rPr>
        <w:t>Study Results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the property of COMPANY.</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8.2  </w:t>
      </w:r>
      <w:r>
        <w:rPr>
          <w:rFonts w:ascii="Arial" w:cs="Arial" w:eastAsia="Arial" w:hAnsi="Arial"/>
          <w:sz w:val="20"/>
          <w:szCs w:val="20"/>
          <w:color w:val="auto"/>
        </w:rPr>
        <w:t>Subject to Section 13, COMPANY agrees to provide ROCHE with [***], the “</w:t>
      </w:r>
      <w:r>
        <w:rPr>
          <w:rFonts w:ascii="Arial" w:cs="Arial" w:eastAsia="Arial" w:hAnsi="Arial"/>
          <w:sz w:val="20"/>
          <w:szCs w:val="20"/>
          <w:b w:val="1"/>
          <w:bCs w:val="1"/>
          <w:color w:val="auto"/>
        </w:rPr>
        <w:t>Study Reports</w:t>
      </w:r>
      <w:r>
        <w:rPr>
          <w:rFonts w:ascii="Arial" w:cs="Arial" w:eastAsia="Arial" w:hAnsi="Arial"/>
          <w:sz w:val="20"/>
          <w:szCs w:val="20"/>
          <w:color w:val="auto"/>
        </w:rPr>
        <w:t>”). [***]</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8.3  </w:t>
      </w:r>
      <w:r>
        <w:rPr>
          <w:rFonts w:ascii="Arial" w:cs="Arial" w:eastAsia="Arial" w:hAnsi="Arial"/>
          <w:sz w:val="20"/>
          <w:szCs w:val="20"/>
          <w:color w:val="auto"/>
        </w:rPr>
        <w:t>All rights to all inventions and discoveries made or conceived in the course of any Study under a CSA Supplement</w:t>
      </w:r>
    </w:p>
    <w:p>
      <w:pPr>
        <w:spacing w:after="0" w:line="6" w:lineRule="exact"/>
        <w:rPr>
          <w:sz w:val="20"/>
          <w:szCs w:val="20"/>
          <w:color w:val="auto"/>
        </w:rPr>
      </w:pPr>
    </w:p>
    <w:p>
      <w:pPr>
        <w:jc w:val="both"/>
        <w:ind w:firstLine="8"/>
        <w:spacing w:after="0" w:line="228" w:lineRule="auto"/>
        <w:tabs>
          <w:tab w:leader="none" w:pos="433" w:val="left"/>
        </w:tabs>
        <w:numPr>
          <w:ilvl w:val="0"/>
          <w:numId w:val="73"/>
        </w:numPr>
        <w:rPr>
          <w:rFonts w:ascii="Arial" w:cs="Arial" w:eastAsia="Arial" w:hAnsi="Arial"/>
          <w:sz w:val="20"/>
          <w:szCs w:val="20"/>
          <w:color w:val="auto"/>
        </w:rPr>
      </w:pPr>
      <w:r>
        <w:rPr>
          <w:rFonts w:ascii="Arial" w:cs="Arial" w:eastAsia="Arial" w:hAnsi="Arial"/>
          <w:sz w:val="20"/>
          <w:szCs w:val="20"/>
          <w:color w:val="auto"/>
        </w:rPr>
        <w:t>(each such invention or discovery, a “</w:t>
      </w:r>
      <w:r>
        <w:rPr>
          <w:rFonts w:ascii="Arial" w:cs="Arial" w:eastAsia="Arial" w:hAnsi="Arial"/>
          <w:sz w:val="20"/>
          <w:szCs w:val="20"/>
          <w:b w:val="1"/>
          <w:bCs w:val="1"/>
          <w:color w:val="auto"/>
        </w:rPr>
        <w:t>Combination Invention</w:t>
      </w:r>
      <w:r>
        <w:rPr>
          <w:rFonts w:ascii="Arial" w:cs="Arial" w:eastAsia="Arial" w:hAnsi="Arial"/>
          <w:sz w:val="20"/>
          <w:szCs w:val="20"/>
          <w:color w:val="auto"/>
        </w:rPr>
        <w:t>”) will belong jointly to ROCHE and COMPANY. If both Parties desire to file a patent application in respect of any Combination Invention, [***]. The preparation, filing and prosecution of such patent shall be discussed in good faith between the Parties. [***]. [***] use and have used, exploit and have exploited, grant licenses to, and assign its interest in, Combination Inventions and patents and patent applications claiming Combination Inventions (collectively “</w:t>
      </w:r>
      <w:r>
        <w:rPr>
          <w:rFonts w:ascii="Arial" w:cs="Arial" w:eastAsia="Arial" w:hAnsi="Arial"/>
          <w:sz w:val="20"/>
          <w:szCs w:val="20"/>
          <w:b w:val="1"/>
          <w:bCs w:val="1"/>
          <w:color w:val="auto"/>
        </w:rPr>
        <w:t>Combination Patents</w:t>
      </w:r>
      <w:r>
        <w:rPr>
          <w:rFonts w:ascii="Arial" w:cs="Arial" w:eastAsia="Arial" w:hAnsi="Arial"/>
          <w:sz w:val="20"/>
          <w:szCs w:val="20"/>
          <w:color w:val="auto"/>
        </w:rPr>
        <w:t>”) [***]. For clarity, (i) except for the right to use the Roche Compound solely for the purposes of conducting the Study in accordance with the terms of this Agreement, nothing in this Agreement will be deemed to create [***] and (ii) nothing in this Agreement will be deemed to create [***]. If [***] does not wish to initiate the, or wishes to discontinue the, prosecution or maintenance of a Combination Patent, [***]. In such event, [***].</w:t>
      </w:r>
    </w:p>
    <w:p>
      <w:pPr>
        <w:spacing w:after="0" w:line="149" w:lineRule="exact"/>
        <w:rPr>
          <w:sz w:val="20"/>
          <w:szCs w:val="20"/>
          <w:color w:val="auto"/>
        </w:rPr>
      </w:pPr>
    </w:p>
    <w:p>
      <w:pPr>
        <w:jc w:val="both"/>
        <w:ind w:firstLine="674"/>
        <w:spacing w:after="0" w:line="242" w:lineRule="auto"/>
        <w:rPr>
          <w:sz w:val="20"/>
          <w:szCs w:val="20"/>
          <w:color w:val="auto"/>
        </w:rPr>
      </w:pPr>
      <w:r>
        <w:rPr>
          <w:rFonts w:ascii="Arial" w:cs="Arial" w:eastAsia="Arial" w:hAnsi="Arial"/>
          <w:sz w:val="20"/>
          <w:szCs w:val="20"/>
          <w:b w:val="1"/>
          <w:bCs w:val="1"/>
          <w:color w:val="auto"/>
        </w:rPr>
        <w:t xml:space="preserve">8.4 </w:t>
      </w:r>
      <w:r>
        <w:rPr>
          <w:rFonts w:ascii="Arial" w:cs="Arial" w:eastAsia="Arial" w:hAnsi="Arial"/>
          <w:sz w:val="20"/>
          <w:szCs w:val="20"/>
          <w:color w:val="auto"/>
        </w:rPr>
        <w:t>All rights to inventions and discoveries made or conceived in the course of any Study under a CSA Supplement</w:t>
      </w:r>
      <w:r>
        <w:rPr>
          <w:rFonts w:ascii="Arial" w:cs="Arial" w:eastAsia="Arial" w:hAnsi="Arial"/>
          <w:sz w:val="20"/>
          <w:szCs w:val="20"/>
          <w:b w:val="1"/>
          <w:bCs w:val="1"/>
          <w:color w:val="auto"/>
        </w:rPr>
        <w:t xml:space="preserve"> </w:t>
      </w:r>
      <w:r>
        <w:rPr>
          <w:rFonts w:ascii="Arial" w:cs="Arial" w:eastAsia="Arial" w:hAnsi="Arial"/>
          <w:sz w:val="20"/>
          <w:szCs w:val="20"/>
          <w:color w:val="auto"/>
        </w:rPr>
        <w:t>relating [***] (“</w:t>
      </w:r>
      <w:r>
        <w:rPr>
          <w:rFonts w:ascii="Arial" w:cs="Arial" w:eastAsia="Arial" w:hAnsi="Arial"/>
          <w:sz w:val="20"/>
          <w:szCs w:val="20"/>
          <w:b w:val="1"/>
          <w:bCs w:val="1"/>
          <w:color w:val="auto"/>
        </w:rPr>
        <w:t>Roche Inventions</w:t>
      </w:r>
      <w:r>
        <w:rPr>
          <w:rFonts w:ascii="Arial" w:cs="Arial" w:eastAsia="Arial" w:hAnsi="Arial"/>
          <w:sz w:val="20"/>
          <w:szCs w:val="20"/>
          <w:color w:val="auto"/>
        </w:rPr>
        <w:t>”); and ROCHE and its Affiliates shall be entitled to file in their own name relevant patent applications and to own resultant patent rights for such Roche Inventions[***].</w:t>
      </w:r>
    </w:p>
    <w:p>
      <w:pPr>
        <w:spacing w:after="0" w:line="128" w:lineRule="exact"/>
        <w:rPr>
          <w:sz w:val="20"/>
          <w:szCs w:val="20"/>
          <w:color w:val="auto"/>
        </w:rPr>
      </w:pPr>
    </w:p>
    <w:p>
      <w:pPr>
        <w:jc w:val="both"/>
        <w:ind w:firstLine="674"/>
        <w:spacing w:after="0" w:line="242" w:lineRule="auto"/>
        <w:rPr>
          <w:sz w:val="20"/>
          <w:szCs w:val="20"/>
          <w:color w:val="auto"/>
        </w:rPr>
      </w:pPr>
      <w:r>
        <w:rPr>
          <w:rFonts w:ascii="Arial" w:cs="Arial" w:eastAsia="Arial" w:hAnsi="Arial"/>
          <w:sz w:val="20"/>
          <w:szCs w:val="20"/>
          <w:color w:val="auto"/>
        </w:rPr>
        <w:t>8.5 All rights to [***] will be, as between the Parties, the exclusive property of COMPANY (“</w:t>
      </w:r>
      <w:r>
        <w:rPr>
          <w:rFonts w:ascii="Arial" w:cs="Arial" w:eastAsia="Arial" w:hAnsi="Arial"/>
          <w:sz w:val="20"/>
          <w:szCs w:val="20"/>
          <w:b w:val="1"/>
          <w:bCs w:val="1"/>
          <w:color w:val="auto"/>
        </w:rPr>
        <w:t>Company Inventions</w:t>
      </w:r>
      <w:r>
        <w:rPr>
          <w:rFonts w:ascii="Arial" w:cs="Arial" w:eastAsia="Arial" w:hAnsi="Arial"/>
          <w:sz w:val="20"/>
          <w:szCs w:val="20"/>
          <w:color w:val="auto"/>
        </w:rPr>
        <w:t>”); and COMPANY and its Affiliates shall be entitled to file in its own name relevant patent applications and to own resultant patent rights for such Company Inventions[***].</w:t>
      </w:r>
    </w:p>
    <w:p>
      <w:pPr>
        <w:spacing w:after="0" w:line="130" w:lineRule="exact"/>
        <w:rPr>
          <w:sz w:val="20"/>
          <w:szCs w:val="20"/>
          <w:color w:val="auto"/>
        </w:rPr>
      </w:pPr>
    </w:p>
    <w:p>
      <w:pPr>
        <w:ind w:right="40" w:firstLine="674"/>
        <w:spacing w:after="0" w:line="257" w:lineRule="auto"/>
        <w:rPr>
          <w:sz w:val="20"/>
          <w:szCs w:val="20"/>
          <w:color w:val="auto"/>
        </w:rPr>
      </w:pPr>
      <w:r>
        <w:rPr>
          <w:rFonts w:ascii="Arial" w:cs="Arial" w:eastAsia="Arial" w:hAnsi="Arial"/>
          <w:sz w:val="20"/>
          <w:szCs w:val="20"/>
          <w:color w:val="auto"/>
        </w:rPr>
        <w:t>8.6 ROCHE acknowledges all rights of issued patents or pending patent applications of COMPANY from previous research and development[***].</w:t>
      </w:r>
    </w:p>
    <w:p>
      <w:pPr>
        <w:spacing w:after="0" w:line="128" w:lineRule="exact"/>
        <w:rPr>
          <w:sz w:val="20"/>
          <w:szCs w:val="20"/>
          <w:color w:val="auto"/>
        </w:rPr>
      </w:pPr>
    </w:p>
    <w:p>
      <w:pPr>
        <w:ind w:right="40" w:firstLine="674"/>
        <w:spacing w:after="0" w:line="257" w:lineRule="auto"/>
        <w:rPr>
          <w:sz w:val="20"/>
          <w:szCs w:val="20"/>
          <w:color w:val="auto"/>
        </w:rPr>
      </w:pPr>
      <w:r>
        <w:rPr>
          <w:rFonts w:ascii="Arial" w:cs="Arial" w:eastAsia="Arial" w:hAnsi="Arial"/>
          <w:sz w:val="20"/>
          <w:szCs w:val="20"/>
          <w:color w:val="auto"/>
        </w:rPr>
        <w:t>8.7 COMPANY acknowledges all rights of issued patents or pending patent applications of ROCHE from previous research and development[***].</w:t>
      </w:r>
    </w:p>
    <w:p>
      <w:pPr>
        <w:spacing w:after="0" w:line="115" w:lineRule="exact"/>
        <w:rPr>
          <w:sz w:val="20"/>
          <w:szCs w:val="20"/>
          <w:color w:val="auto"/>
        </w:rPr>
      </w:pPr>
    </w:p>
    <w:p>
      <w:pPr>
        <w:jc w:val="both"/>
        <w:ind w:firstLine="674"/>
        <w:spacing w:after="0" w:line="241" w:lineRule="auto"/>
        <w:rPr>
          <w:sz w:val="20"/>
          <w:szCs w:val="20"/>
          <w:color w:val="auto"/>
        </w:rPr>
      </w:pPr>
      <w:r>
        <w:rPr>
          <w:rFonts w:ascii="Arial" w:cs="Arial" w:eastAsia="Arial" w:hAnsi="Arial"/>
          <w:sz w:val="20"/>
          <w:szCs w:val="20"/>
          <w:color w:val="auto"/>
        </w:rPr>
        <w:t>8.8 Notwithstanding anything else in this Agreement to the contrary, neither Party grants any license or any other rights to the other with respect to issued patents or pending patent applications or other intellectual property from research and development conducted prior to the Effective Date or independent of this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48" w:lineRule="exact"/>
        <w:rPr>
          <w:sz w:val="20"/>
          <w:szCs w:val="20"/>
          <w:color w:val="auto"/>
        </w:rPr>
      </w:pPr>
    </w:p>
    <w:p>
      <w:pPr>
        <w:ind w:left="440" w:hanging="432"/>
        <w:spacing w:after="0"/>
        <w:tabs>
          <w:tab w:leader="none" w:pos="44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Use of Reprints and Other Regulatory Matters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9.1  </w:t>
      </w:r>
      <w:r>
        <w:rPr>
          <w:rFonts w:ascii="Arial" w:cs="Arial" w:eastAsia="Arial" w:hAnsi="Arial"/>
          <w:sz w:val="20"/>
          <w:szCs w:val="20"/>
          <w:color w:val="auto"/>
        </w:rPr>
        <w:t>Subject to any publisher’s copyrights and applicable copyright laws, each Party and its Affiliates may [***].</w:t>
      </w:r>
    </w:p>
    <w:p>
      <w:pPr>
        <w:spacing w:after="0" w:line="162" w:lineRule="exact"/>
        <w:rPr>
          <w:sz w:val="20"/>
          <w:szCs w:val="20"/>
          <w:color w:val="auto"/>
        </w:rPr>
      </w:pPr>
    </w:p>
    <w:p>
      <w:pPr>
        <w:jc w:val="both"/>
        <w:ind w:firstLine="674"/>
        <w:spacing w:after="0" w:line="242" w:lineRule="auto"/>
        <w:rPr>
          <w:sz w:val="20"/>
          <w:szCs w:val="20"/>
          <w:color w:val="auto"/>
        </w:rPr>
      </w:pPr>
      <w:r>
        <w:rPr>
          <w:rFonts w:ascii="Arial" w:cs="Arial" w:eastAsia="Arial" w:hAnsi="Arial"/>
          <w:sz w:val="20"/>
          <w:szCs w:val="20"/>
          <w:b w:val="1"/>
          <w:bCs w:val="1"/>
          <w:color w:val="auto"/>
        </w:rPr>
        <w:t xml:space="preserve">9.2 </w:t>
      </w:r>
      <w:r>
        <w:rPr>
          <w:rFonts w:ascii="Arial" w:cs="Arial" w:eastAsia="Arial" w:hAnsi="Arial"/>
          <w:sz w:val="20"/>
          <w:szCs w:val="20"/>
          <w:color w:val="auto"/>
        </w:rPr>
        <w:t>If [***], ROCHE hereby grants permission to use its prescribing information for any lawful purpose,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promotion, but only in relation to the Combination. The same applies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if ROCHE or one of its Affiliates should be successful in [***].</w:t>
      </w:r>
    </w:p>
    <w:p>
      <w:pPr>
        <w:spacing w:after="0" w:line="128" w:lineRule="exact"/>
        <w:rPr>
          <w:sz w:val="20"/>
          <w:szCs w:val="20"/>
          <w:color w:val="auto"/>
        </w:rPr>
      </w:pPr>
    </w:p>
    <w:p>
      <w:pPr>
        <w:jc w:val="both"/>
        <w:ind w:firstLine="674"/>
        <w:spacing w:after="0" w:line="229" w:lineRule="auto"/>
        <w:rPr>
          <w:sz w:val="20"/>
          <w:szCs w:val="20"/>
          <w:color w:val="auto"/>
        </w:rPr>
      </w:pPr>
      <w:r>
        <w:rPr>
          <w:rFonts w:ascii="Arial" w:cs="Arial" w:eastAsia="Arial" w:hAnsi="Arial"/>
          <w:sz w:val="20"/>
          <w:szCs w:val="20"/>
          <w:b w:val="1"/>
          <w:bCs w:val="1"/>
          <w:color w:val="auto"/>
        </w:rPr>
        <w:t xml:space="preserve">9.3 </w:t>
      </w:r>
      <w:r>
        <w:rPr>
          <w:rFonts w:ascii="Arial" w:cs="Arial" w:eastAsia="Arial" w:hAnsi="Arial"/>
          <w:sz w:val="20"/>
          <w:szCs w:val="20"/>
          <w:color w:val="auto"/>
        </w:rPr>
        <w:t>Should any relevant regulatory authorities require ROCHE or one of its Affiliates to [***], COMPANY agrees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provide reasonable support[***], to ROCHE in its effort to comply with such requirement by [***]. Such documents may include but are not limited to: [***] to ROCHE or the relevant ROCHE Affiliate or the regulatory authorities in countries where COMPANY markets or will market Company Compound, for ROCHE or the relevant ROCHE Affiliate or the regulatory authorities [***] associated with the marketing authorization for Company Compound; and (b) [***] sections of [***] relating to the Study, including [***] relate to the Study. Notwithstanding anything to the contrary provided herein, all aforementioned obligations of COMPANY [***] shall apply [***] for the Roche Compound by ROCHE (and/or any of its Affiliates and/or local agents). In addition, COMPANY will allow such regulatory authorities from the applicable countries [***] as necessary under the Applicable Laws in connection with [***]. Upon ROCHE’s reasonable written request, COMPANY will use commercially reasonable efforts [***]. ROCHE and its Affiliates will [***]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 ROCHE must [***], (ii) where possible, provide COMPANY with [***] and (iii) [***].</w:t>
      </w:r>
    </w:p>
    <w:p>
      <w:pPr>
        <w:spacing w:after="0" w:line="151" w:lineRule="exact"/>
        <w:rPr>
          <w:sz w:val="20"/>
          <w:szCs w:val="20"/>
          <w:color w:val="auto"/>
        </w:rPr>
      </w:pPr>
    </w:p>
    <w:p>
      <w:pPr>
        <w:jc w:val="both"/>
        <w:ind w:firstLine="674"/>
        <w:spacing w:after="0" w:line="230" w:lineRule="auto"/>
        <w:rPr>
          <w:sz w:val="20"/>
          <w:szCs w:val="20"/>
          <w:color w:val="auto"/>
        </w:rPr>
      </w:pPr>
      <w:r>
        <w:rPr>
          <w:rFonts w:ascii="Arial" w:cs="Arial" w:eastAsia="Arial" w:hAnsi="Arial"/>
          <w:sz w:val="20"/>
          <w:szCs w:val="20"/>
          <w:b w:val="1"/>
          <w:bCs w:val="1"/>
          <w:color w:val="auto"/>
        </w:rPr>
        <w:t xml:space="preserve">9.4 </w:t>
      </w:r>
      <w:r>
        <w:rPr>
          <w:rFonts w:ascii="Arial" w:cs="Arial" w:eastAsia="Arial" w:hAnsi="Arial"/>
          <w:sz w:val="20"/>
          <w:szCs w:val="20"/>
          <w:color w:val="auto"/>
        </w:rPr>
        <w:t>Should any relevant regulatory authorities require COMPANY to [***], ROCHE agrees to provide reasonable</w:t>
      </w:r>
      <w:r>
        <w:rPr>
          <w:rFonts w:ascii="Arial" w:cs="Arial" w:eastAsia="Arial" w:hAnsi="Arial"/>
          <w:sz w:val="20"/>
          <w:szCs w:val="20"/>
          <w:b w:val="1"/>
          <w:bCs w:val="1"/>
          <w:color w:val="auto"/>
        </w:rPr>
        <w:t xml:space="preserve"> </w:t>
      </w:r>
      <w:r>
        <w:rPr>
          <w:rFonts w:ascii="Arial" w:cs="Arial" w:eastAsia="Arial" w:hAnsi="Arial"/>
          <w:sz w:val="20"/>
          <w:szCs w:val="20"/>
          <w:color w:val="auto"/>
        </w:rPr>
        <w:t>support[***], to enable compliance with such requirement by [***]</w:t>
      </w:r>
      <w:r>
        <w:rPr>
          <w:rFonts w:ascii="Arial" w:cs="Arial" w:eastAsia="Arial" w:hAnsi="Arial"/>
          <w:sz w:val="20"/>
          <w:szCs w:val="20"/>
          <w:b w:val="1"/>
          <w:bCs w:val="1"/>
          <w:color w:val="auto"/>
        </w:rPr>
        <w:t>,</w:t>
      </w:r>
      <w:r>
        <w:rPr>
          <w:rFonts w:ascii="Arial" w:cs="Arial" w:eastAsia="Arial" w:hAnsi="Arial"/>
          <w:sz w:val="20"/>
          <w:szCs w:val="20"/>
          <w:color w:val="auto"/>
        </w:rPr>
        <w:t xml:space="preserve"> including [***] in countries where ROCHE holds marketing authorization for Roche Compound, and [***] associated with the marketing authorization for Roche Compound, including by granting to COMPANY either (a) [***] on the basis of which marketing authorization were granted in relation to the ROCHE Compound or (b) [***] by the relevant regulatory authorities. Notwithstanding anything to the contrary provided herein, all aforementioned obligations of ROCHE [***] as set forth in this Section 9.4 shall apply only to the extent required for [***] for the Company Compound. In addition, ROCHE will allow such regulatory authorities from the applicable countries [***] as necessary under the Applicable Laws in connection with [***]. Upon COMPANY’s reasonable written request, ROCHE will use commercially reasonable efforts [***]. [***]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 COMPANY must [***], (ii) where possible, provide ROCHE with [***]and (iii) [***]</w:t>
      </w:r>
    </w:p>
    <w:p>
      <w:pPr>
        <w:spacing w:after="0" w:line="132" w:lineRule="exact"/>
        <w:rPr>
          <w:sz w:val="20"/>
          <w:szCs w:val="20"/>
          <w:color w:val="auto"/>
        </w:rPr>
      </w:pPr>
    </w:p>
    <w:p>
      <w:pPr>
        <w:ind w:right="1100" w:firstLine="674"/>
        <w:spacing w:after="0" w:line="235" w:lineRule="auto"/>
        <w:rPr>
          <w:sz w:val="20"/>
          <w:szCs w:val="20"/>
          <w:color w:val="auto"/>
        </w:rPr>
      </w:pPr>
      <w:r>
        <w:rPr>
          <w:rFonts w:ascii="Arial" w:cs="Arial" w:eastAsia="Arial" w:hAnsi="Arial"/>
          <w:sz w:val="20"/>
          <w:szCs w:val="20"/>
          <w:b w:val="1"/>
          <w:bCs w:val="1"/>
          <w:color w:val="auto"/>
        </w:rPr>
        <w:t xml:space="preserve">9.5 </w:t>
      </w:r>
      <w:r>
        <w:rPr>
          <w:rFonts w:ascii="Arial" w:cs="Arial" w:eastAsia="Arial" w:hAnsi="Arial"/>
          <w:sz w:val="20"/>
          <w:szCs w:val="20"/>
          <w:color w:val="auto"/>
        </w:rPr>
        <w:t>If it is necessary for ROCHE to [***] for regulatory (including registration) purposes related to the Roche</w:t>
      </w:r>
      <w:r>
        <w:rPr>
          <w:rFonts w:ascii="Arial" w:cs="Arial" w:eastAsia="Arial" w:hAnsi="Arial"/>
          <w:sz w:val="20"/>
          <w:szCs w:val="20"/>
          <w:b w:val="1"/>
          <w:bCs w:val="1"/>
          <w:color w:val="auto"/>
        </w:rPr>
        <w:t xml:space="preserve"> </w:t>
      </w:r>
      <w:r>
        <w:rPr>
          <w:rFonts w:ascii="Arial" w:cs="Arial" w:eastAsia="Arial" w:hAnsi="Arial"/>
          <w:sz w:val="20"/>
          <w:szCs w:val="20"/>
          <w:color w:val="auto"/>
        </w:rPr>
        <w:t>Compound, then [***], subject to COMPANY and ROCHE entering into</w:t>
      </w:r>
    </w:p>
    <w:p>
      <w:pPr>
        <w:spacing w:after="0" w:line="2"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a [***] agreement on mutually agreeable terms. Notwithstanding anything to the contrary herein, ROCHE shall not have any right or license to use the Company Compound</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for any purpose (including research or commercial purposes); any such license would require a separate agreement between the Parties.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Publications</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10.1 </w:t>
      </w:r>
      <w:r>
        <w:rPr>
          <w:rFonts w:ascii="Arial" w:cs="Arial" w:eastAsia="Arial" w:hAnsi="Arial"/>
          <w:sz w:val="20"/>
          <w:szCs w:val="20"/>
          <w:color w:val="auto"/>
        </w:rPr>
        <w:t>COMPANY will [***] and all other [***] in accordance with Applicable Laws.</w:t>
      </w:r>
    </w:p>
    <w:p>
      <w:pPr>
        <w:spacing w:after="0" w:line="175" w:lineRule="exact"/>
        <w:rPr>
          <w:sz w:val="20"/>
          <w:szCs w:val="20"/>
          <w:color w:val="auto"/>
        </w:rPr>
      </w:pPr>
    </w:p>
    <w:p>
      <w:pPr>
        <w:jc w:val="both"/>
        <w:ind w:right="20" w:firstLine="674"/>
        <w:spacing w:after="0" w:line="237" w:lineRule="auto"/>
        <w:rPr>
          <w:sz w:val="20"/>
          <w:szCs w:val="20"/>
          <w:color w:val="auto"/>
        </w:rPr>
      </w:pPr>
      <w:r>
        <w:rPr>
          <w:rFonts w:ascii="Arial" w:cs="Arial" w:eastAsia="Arial" w:hAnsi="Arial"/>
          <w:sz w:val="20"/>
          <w:szCs w:val="20"/>
          <w:b w:val="1"/>
          <w:bCs w:val="1"/>
          <w:color w:val="auto"/>
        </w:rPr>
        <w:t xml:space="preserve">10.2 </w:t>
      </w:r>
      <w:r>
        <w:rPr>
          <w:rFonts w:ascii="Arial" w:cs="Arial" w:eastAsia="Arial" w:hAnsi="Arial"/>
          <w:sz w:val="20"/>
          <w:szCs w:val="20"/>
          <w:color w:val="auto"/>
        </w:rPr>
        <w:t>COMPANY shall have the right to publish or present scientific papers dealing with the Study or Study Results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accepted scientific practice. Prior to submission of the Study Results for publication or presentation or any other dissemination of Study Results to the scientific community including oral dissemination, [***] on the content of the material to be published or presented or disseminated according to the procedure set out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in Sections 10.3 and 10.4 below.</w:t>
      </w:r>
    </w:p>
    <w:p>
      <w:pPr>
        <w:spacing w:after="0" w:line="173" w:lineRule="exact"/>
        <w:rPr>
          <w:sz w:val="20"/>
          <w:szCs w:val="20"/>
          <w:color w:val="auto"/>
        </w:rPr>
      </w:pPr>
    </w:p>
    <w:p>
      <w:pPr>
        <w:ind w:firstLine="674"/>
        <w:spacing w:after="0" w:line="248" w:lineRule="auto"/>
        <w:rPr>
          <w:sz w:val="20"/>
          <w:szCs w:val="20"/>
          <w:color w:val="auto"/>
        </w:rPr>
      </w:pPr>
      <w:r>
        <w:rPr>
          <w:rFonts w:ascii="Arial" w:cs="Arial" w:eastAsia="Arial" w:hAnsi="Arial"/>
          <w:sz w:val="19"/>
          <w:szCs w:val="19"/>
          <w:b w:val="1"/>
          <w:bCs w:val="1"/>
          <w:color w:val="auto"/>
        </w:rPr>
        <w:t xml:space="preserve">10.3 </w:t>
      </w:r>
      <w:r>
        <w:rPr>
          <w:rFonts w:ascii="Arial" w:cs="Arial" w:eastAsia="Arial" w:hAnsi="Arial"/>
          <w:sz w:val="19"/>
          <w:szCs w:val="19"/>
          <w:color w:val="auto"/>
        </w:rPr>
        <w:t>With respect to the first public disclosure of any material Study Results, at least [***] days (or as soon as reasonably</w:t>
      </w:r>
      <w:r>
        <w:rPr>
          <w:rFonts w:ascii="Arial" w:cs="Arial" w:eastAsia="Arial" w:hAnsi="Arial"/>
          <w:sz w:val="19"/>
          <w:szCs w:val="19"/>
          <w:b w:val="1"/>
          <w:bCs w:val="1"/>
          <w:color w:val="auto"/>
        </w:rPr>
        <w:t xml:space="preserve"> </w:t>
      </w:r>
      <w:r>
        <w:rPr>
          <w:rFonts w:ascii="Arial" w:cs="Arial" w:eastAsia="Arial" w:hAnsi="Arial"/>
          <w:sz w:val="19"/>
          <w:szCs w:val="19"/>
          <w:color w:val="auto"/>
        </w:rPr>
        <w:t>available) prior to submission for publication of any paper or other publication of the Study Results in a peer-reviewed journal, or</w:t>
      </w:r>
    </w:p>
    <w:p>
      <w:pPr>
        <w:jc w:val="both"/>
        <w:ind w:firstLine="8"/>
        <w:spacing w:after="0" w:line="234" w:lineRule="auto"/>
        <w:tabs>
          <w:tab w:leader="none" w:pos="404" w:val="left"/>
        </w:tabs>
        <w:numPr>
          <w:ilvl w:val="0"/>
          <w:numId w:val="75"/>
        </w:numPr>
        <w:rPr>
          <w:rFonts w:ascii="Arial" w:cs="Arial" w:eastAsia="Arial" w:hAnsi="Arial"/>
          <w:sz w:val="20"/>
          <w:szCs w:val="20"/>
          <w:color w:val="auto"/>
        </w:rPr>
      </w:pPr>
      <w:r>
        <w:rPr>
          <w:rFonts w:ascii="Arial" w:cs="Arial" w:eastAsia="Arial" w:hAnsi="Arial"/>
          <w:sz w:val="20"/>
          <w:szCs w:val="20"/>
          <w:color w:val="auto"/>
        </w:rPr>
        <w:t>days (or as soon as reasonably available) prior to the initial submission for presentation of any abstract, poster, talk or any other presentation of the Study Results, COMPANY will provide to ROCHE a copy of the proposed publication or presentation in electronic version (email attachment).</w:t>
      </w:r>
    </w:p>
    <w:p>
      <w:pPr>
        <w:spacing w:after="0" w:line="131" w:lineRule="exact"/>
        <w:rPr>
          <w:sz w:val="20"/>
          <w:szCs w:val="20"/>
          <w:color w:val="auto"/>
        </w:rPr>
      </w:pPr>
    </w:p>
    <w:p>
      <w:pPr>
        <w:jc w:val="both"/>
        <w:ind w:firstLine="674"/>
        <w:spacing w:after="0" w:line="259" w:lineRule="auto"/>
        <w:rPr>
          <w:sz w:val="20"/>
          <w:szCs w:val="20"/>
          <w:color w:val="auto"/>
        </w:rPr>
      </w:pPr>
      <w:r>
        <w:rPr>
          <w:rFonts w:ascii="Arial" w:cs="Arial" w:eastAsia="Arial" w:hAnsi="Arial"/>
          <w:sz w:val="20"/>
          <w:szCs w:val="20"/>
          <w:b w:val="1"/>
          <w:bCs w:val="1"/>
          <w:color w:val="auto"/>
        </w:rPr>
        <w:t xml:space="preserve">10.4 </w:t>
      </w:r>
      <w:r>
        <w:rPr>
          <w:rFonts w:ascii="Arial" w:cs="Arial" w:eastAsia="Arial" w:hAnsi="Arial"/>
          <w:sz w:val="20"/>
          <w:szCs w:val="20"/>
          <w:color w:val="auto"/>
        </w:rPr>
        <w:t>[***], and if ROCHE requests during such [***]-day or [***]-day review period set forth in Section 10.3 above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proposed publication or presentation [***], COMPANY shall [***].</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10.5 </w:t>
      </w:r>
      <w:r>
        <w:rPr>
          <w:rFonts w:ascii="Arial" w:cs="Arial" w:eastAsia="Arial" w:hAnsi="Arial"/>
          <w:sz w:val="20"/>
          <w:szCs w:val="20"/>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Publicity</w:t>
      </w:r>
    </w:p>
    <w:p>
      <w:pPr>
        <w:spacing w:after="0" w:line="175" w:lineRule="exact"/>
        <w:rPr>
          <w:sz w:val="20"/>
          <w:szCs w:val="20"/>
          <w:color w:val="auto"/>
        </w:rPr>
      </w:pPr>
    </w:p>
    <w:p>
      <w:pPr>
        <w:jc w:val="both"/>
        <w:ind w:firstLine="674"/>
        <w:spacing w:after="0" w:line="237" w:lineRule="auto"/>
        <w:rPr>
          <w:sz w:val="20"/>
          <w:szCs w:val="20"/>
          <w:color w:val="auto"/>
        </w:rPr>
      </w:pPr>
      <w:r>
        <w:rPr>
          <w:rFonts w:ascii="Arial" w:cs="Arial" w:eastAsia="Arial" w:hAnsi="Arial"/>
          <w:sz w:val="20"/>
          <w:szCs w:val="20"/>
          <w:b w:val="1"/>
          <w:bCs w:val="1"/>
          <w:color w:val="auto"/>
        </w:rPr>
        <w:t xml:space="preserve">11.1 </w:t>
      </w:r>
      <w:r>
        <w:rPr>
          <w:rFonts w:ascii="Arial" w:cs="Arial" w:eastAsia="Arial" w:hAnsi="Arial"/>
          <w:sz w:val="20"/>
          <w:szCs w:val="20"/>
          <w:color w:val="auto"/>
        </w:rPr>
        <w:t>Except in the case of scientific publications of the Study Results (which are to be handled in accordance with</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10), [***]. For the avoidance of doubt, COMPANY shall have the right to make public disclosures of [***]. COMPANY agrees to provide ROCHE notice of such disclosure as soon as reasonably practicable prior to such disclosure, except as otherwise prohibited by Applicable Laws.</w:t>
      </w:r>
    </w:p>
    <w:p>
      <w:pPr>
        <w:spacing w:after="0" w:line="131" w:lineRule="exact"/>
        <w:rPr>
          <w:sz w:val="20"/>
          <w:szCs w:val="20"/>
          <w:color w:val="auto"/>
        </w:rPr>
      </w:pPr>
    </w:p>
    <w:p>
      <w:pPr>
        <w:jc w:val="both"/>
        <w:ind w:firstLine="674"/>
        <w:spacing w:after="0" w:line="242" w:lineRule="auto"/>
        <w:rPr>
          <w:sz w:val="20"/>
          <w:szCs w:val="20"/>
          <w:color w:val="auto"/>
        </w:rPr>
      </w:pPr>
      <w:r>
        <w:rPr>
          <w:rFonts w:ascii="Arial" w:cs="Arial" w:eastAsia="Arial" w:hAnsi="Arial"/>
          <w:sz w:val="20"/>
          <w:szCs w:val="20"/>
          <w:b w:val="1"/>
          <w:bCs w:val="1"/>
          <w:color w:val="auto"/>
        </w:rPr>
        <w:t xml:space="preserve">11.2 </w:t>
      </w:r>
      <w:r>
        <w:rPr>
          <w:rFonts w:ascii="Arial" w:cs="Arial" w:eastAsia="Arial" w:hAnsi="Arial"/>
          <w:sz w:val="20"/>
          <w:szCs w:val="20"/>
          <w:color w:val="auto"/>
        </w:rPr>
        <w:t>The Party who intends to make any such press release or other public disclosure (also where such disclosure is</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by Applicable Laws) will provide the other Party with a copy of the proposed public disclosure at least [***] days prior to the intended public disclosure [***].</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11.3 </w:t>
      </w:r>
      <w:r>
        <w:rPr>
          <w:rFonts w:ascii="Arial" w:cs="Arial" w:eastAsia="Arial" w:hAnsi="Arial"/>
          <w:sz w:val="20"/>
          <w:szCs w:val="20"/>
          <w:color w:val="auto"/>
        </w:rPr>
        <w:t>COMPANY agrees to [***].</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11.4 </w:t>
      </w:r>
      <w:r>
        <w:rPr>
          <w:rFonts w:ascii="Arial" w:cs="Arial" w:eastAsia="Arial" w:hAnsi="Arial"/>
          <w:sz w:val="20"/>
          <w:szCs w:val="20"/>
          <w:color w:val="auto"/>
        </w:rPr>
        <w:t>ROCHE agrees to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Export Control and Sanctions Compliance</w:t>
      </w:r>
    </w:p>
    <w:p>
      <w:pPr>
        <w:spacing w:after="0" w:line="162" w:lineRule="exact"/>
        <w:rPr>
          <w:sz w:val="20"/>
          <w:szCs w:val="20"/>
          <w:color w:val="auto"/>
        </w:rPr>
      </w:pPr>
    </w:p>
    <w:p>
      <w:pPr>
        <w:jc w:val="both"/>
        <w:ind w:firstLine="674"/>
        <w:spacing w:after="0" w:line="242" w:lineRule="auto"/>
        <w:rPr>
          <w:sz w:val="20"/>
          <w:szCs w:val="20"/>
          <w:color w:val="auto"/>
        </w:rPr>
      </w:pPr>
      <w:r>
        <w:rPr>
          <w:rFonts w:ascii="Arial" w:cs="Arial" w:eastAsia="Arial" w:hAnsi="Arial"/>
          <w:sz w:val="20"/>
          <w:szCs w:val="20"/>
          <w:b w:val="1"/>
          <w:bCs w:val="1"/>
          <w:color w:val="auto"/>
        </w:rPr>
        <w:t xml:space="preserve">12.1 </w:t>
      </w:r>
      <w:r>
        <w:rPr>
          <w:rFonts w:ascii="Arial" w:cs="Arial" w:eastAsia="Arial" w:hAnsi="Arial"/>
          <w:sz w:val="20"/>
          <w:szCs w:val="20"/>
          <w:color w:val="auto"/>
        </w:rPr>
        <w:t>Both Parties will (a) comply with all applicable export control and sanctions regulations in connection with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(b) reasonably assist and cooperate with the other Party in such other Party’s efforts to comply with all applicable export control and sanctions regulations in connection with this Agreement.</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12.2 </w:t>
      </w:r>
      <w:r>
        <w:rPr>
          <w:rFonts w:ascii="Arial" w:cs="Arial" w:eastAsia="Arial" w:hAnsi="Arial"/>
          <w:sz w:val="20"/>
          <w:szCs w:val="20"/>
          <w:color w:val="auto"/>
        </w:rPr>
        <w:t>COMPANY specifically agrees [***]</w:t>
      </w:r>
    </w:p>
    <w:p>
      <w:pPr>
        <w:spacing w:after="0" w:line="175" w:lineRule="exact"/>
        <w:rPr>
          <w:sz w:val="20"/>
          <w:szCs w:val="20"/>
          <w:color w:val="auto"/>
        </w:rPr>
      </w:pPr>
    </w:p>
    <w:p>
      <w:pPr>
        <w:jc w:val="both"/>
        <w:ind w:firstLine="674"/>
        <w:spacing w:after="0" w:line="237" w:lineRule="auto"/>
        <w:rPr>
          <w:sz w:val="20"/>
          <w:szCs w:val="20"/>
          <w:color w:val="auto"/>
        </w:rPr>
      </w:pPr>
      <w:r>
        <w:rPr>
          <w:rFonts w:ascii="Arial" w:cs="Arial" w:eastAsia="Arial" w:hAnsi="Arial"/>
          <w:sz w:val="20"/>
          <w:szCs w:val="20"/>
          <w:b w:val="1"/>
          <w:bCs w:val="1"/>
          <w:color w:val="auto"/>
        </w:rPr>
        <w:t xml:space="preserve">12.3 </w:t>
      </w:r>
      <w:r>
        <w:rPr>
          <w:rFonts w:ascii="Arial" w:cs="Arial" w:eastAsia="Arial" w:hAnsi="Arial"/>
          <w:sz w:val="20"/>
          <w:szCs w:val="20"/>
          <w:color w:val="auto"/>
        </w:rPr>
        <w:t>Each Party hereby represents and warrants to the other Party that it is not and has never been debarred or</w:t>
      </w:r>
      <w:r>
        <w:rPr>
          <w:rFonts w:ascii="Arial" w:cs="Arial" w:eastAsia="Arial" w:hAnsi="Arial"/>
          <w:sz w:val="20"/>
          <w:szCs w:val="20"/>
          <w:b w:val="1"/>
          <w:bCs w:val="1"/>
          <w:color w:val="auto"/>
        </w:rPr>
        <w:t xml:space="preserve"> </w:t>
      </w:r>
      <w:r>
        <w:rPr>
          <w:rFonts w:ascii="Arial" w:cs="Arial" w:eastAsia="Arial" w:hAnsi="Arial"/>
          <w:sz w:val="20"/>
          <w:szCs w:val="20"/>
          <w:color w:val="auto"/>
        </w:rPr>
        <w:t>sanctioned (including suspended or fined) by any relevant export control and sanctions authority or under any national/international law relating to export control or sanctions. Each Party will immediately inform the other Party if it subsequently becomes debarred or sanctioned during the term of this Agreement.</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12.4 </w:t>
      </w:r>
      <w:r>
        <w:rPr>
          <w:rFonts w:ascii="Arial" w:cs="Arial" w:eastAsia="Arial" w:hAnsi="Arial"/>
          <w:sz w:val="20"/>
          <w:szCs w:val="20"/>
          <w:color w:val="auto"/>
        </w:rPr>
        <w:t>[***].</w:t>
      </w:r>
    </w:p>
    <w:p>
      <w:pPr>
        <w:spacing w:after="0" w:line="162" w:lineRule="exact"/>
        <w:rPr>
          <w:sz w:val="20"/>
          <w:szCs w:val="20"/>
          <w:color w:val="auto"/>
        </w:rPr>
      </w:pPr>
    </w:p>
    <w:p>
      <w:pPr>
        <w:jc w:val="both"/>
        <w:ind w:firstLine="674"/>
        <w:spacing w:after="0" w:line="242" w:lineRule="auto"/>
        <w:rPr>
          <w:sz w:val="20"/>
          <w:szCs w:val="20"/>
          <w:color w:val="auto"/>
        </w:rPr>
      </w:pPr>
      <w:r>
        <w:rPr>
          <w:rFonts w:ascii="Arial" w:cs="Arial" w:eastAsia="Arial" w:hAnsi="Arial"/>
          <w:sz w:val="20"/>
          <w:szCs w:val="20"/>
          <w:b w:val="1"/>
          <w:bCs w:val="1"/>
          <w:color w:val="auto"/>
        </w:rPr>
        <w:t xml:space="preserve">12.5 </w:t>
      </w:r>
      <w:r>
        <w:rPr>
          <w:rFonts w:ascii="Arial" w:cs="Arial" w:eastAsia="Arial" w:hAnsi="Arial"/>
          <w:sz w:val="20"/>
          <w:szCs w:val="20"/>
          <w:color w:val="auto"/>
        </w:rPr>
        <w:t>COMPANY will not subcontract any services in connection with the Study or engage any Study center, if any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involved in the service or involved in the study at the Study center are listed on any of the applicable sanctioned or denied party lists published by the relevant enforcement agencies.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Data Privacy</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13.1 </w:t>
      </w:r>
      <w:r>
        <w:rPr>
          <w:rFonts w:ascii="Arial" w:cs="Arial" w:eastAsia="Arial" w:hAnsi="Arial"/>
          <w:sz w:val="20"/>
          <w:szCs w:val="20"/>
          <w:color w:val="auto"/>
        </w:rPr>
        <w:t>In this Section 13:</w:t>
      </w:r>
    </w:p>
    <w:p>
      <w:pPr>
        <w:spacing w:after="0" w:line="189" w:lineRule="exact"/>
        <w:rPr>
          <w:sz w:val="20"/>
          <w:szCs w:val="20"/>
          <w:color w:val="auto"/>
        </w:rPr>
      </w:pPr>
    </w:p>
    <w:p>
      <w:pPr>
        <w:ind w:firstLine="1505"/>
        <w:spacing w:after="0" w:line="259" w:lineRule="auto"/>
        <w:tabs>
          <w:tab w:leader="none" w:pos="1937"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“Controller” </w:t>
      </w:r>
      <w:r>
        <w:rPr>
          <w:rFonts w:ascii="Arial" w:cs="Arial" w:eastAsia="Arial" w:hAnsi="Arial"/>
          <w:sz w:val="20"/>
          <w:szCs w:val="20"/>
          <w:color w:val="auto"/>
        </w:rPr>
        <w:t>means the natural or legal person that determines the means and purposes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Processing of Personal Data, or such other meaning as is given to such term or equivalent term under Data Protection Laws.</w:t>
      </w:r>
    </w:p>
    <w:p>
      <w:pPr>
        <w:spacing w:after="0" w:line="138" w:lineRule="exact"/>
        <w:rPr>
          <w:rFonts w:ascii="Arial" w:cs="Arial" w:eastAsia="Arial" w:hAnsi="Arial"/>
          <w:sz w:val="20"/>
          <w:szCs w:val="20"/>
          <w:b w:val="1"/>
          <w:bCs w:val="1"/>
          <w:color w:val="auto"/>
        </w:rPr>
      </w:pPr>
    </w:p>
    <w:p>
      <w:pPr>
        <w:ind w:left="1940" w:hanging="435"/>
        <w:spacing w:after="0"/>
        <w:tabs>
          <w:tab w:leader="none" w:pos="1940"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“Data Protection Laws” </w:t>
      </w:r>
      <w:r>
        <w:rPr>
          <w:rFonts w:ascii="Arial" w:cs="Arial" w:eastAsia="Arial" w:hAnsi="Arial"/>
          <w:sz w:val="20"/>
          <w:szCs w:val="20"/>
          <w:color w:val="auto"/>
        </w:rPr>
        <w:t>means applicable privacy and data protection laws, rules and regulations.</w:t>
      </w:r>
    </w:p>
    <w:p>
      <w:pPr>
        <w:spacing w:after="0" w:line="175" w:lineRule="exact"/>
        <w:rPr>
          <w:rFonts w:ascii="Arial" w:cs="Arial" w:eastAsia="Arial" w:hAnsi="Arial"/>
          <w:sz w:val="20"/>
          <w:szCs w:val="20"/>
          <w:b w:val="1"/>
          <w:bCs w:val="1"/>
          <w:color w:val="auto"/>
        </w:rPr>
      </w:pPr>
    </w:p>
    <w:p>
      <w:pPr>
        <w:ind w:firstLine="1505"/>
        <w:spacing w:after="0" w:line="259" w:lineRule="auto"/>
        <w:tabs>
          <w:tab w:leader="none" w:pos="1937"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Personal Data” </w:t>
      </w:r>
      <w:r>
        <w:rPr>
          <w:rFonts w:ascii="Arial" w:cs="Arial" w:eastAsia="Arial" w:hAnsi="Arial"/>
          <w:sz w:val="20"/>
          <w:szCs w:val="20"/>
          <w:color w:val="auto"/>
        </w:rPr>
        <w:t>means any data that constitutes “personal data,” “personal information,” “personally</w:t>
      </w:r>
      <w:r>
        <w:rPr>
          <w:rFonts w:ascii="Arial" w:cs="Arial" w:eastAsia="Arial" w:hAnsi="Arial"/>
          <w:sz w:val="20"/>
          <w:szCs w:val="20"/>
          <w:b w:val="1"/>
          <w:bCs w:val="1"/>
          <w:color w:val="auto"/>
        </w:rPr>
        <w:t xml:space="preserve"> </w:t>
      </w:r>
      <w:r>
        <w:rPr>
          <w:rFonts w:ascii="Arial" w:cs="Arial" w:eastAsia="Arial" w:hAnsi="Arial"/>
          <w:sz w:val="20"/>
          <w:szCs w:val="20"/>
          <w:color w:val="auto"/>
        </w:rPr>
        <w:t>identifiable information” or such equivalent term defined under Data Protection Laws.</w:t>
      </w:r>
    </w:p>
    <w:p>
      <w:pPr>
        <w:spacing w:after="0" w:line="138" w:lineRule="exact"/>
        <w:rPr>
          <w:rFonts w:ascii="Arial" w:cs="Arial" w:eastAsia="Arial" w:hAnsi="Arial"/>
          <w:sz w:val="20"/>
          <w:szCs w:val="20"/>
          <w:b w:val="1"/>
          <w:bCs w:val="1"/>
          <w:color w:val="auto"/>
        </w:rPr>
      </w:pPr>
    </w:p>
    <w:p>
      <w:pPr>
        <w:ind w:firstLine="1505"/>
        <w:spacing w:after="0" w:line="259" w:lineRule="auto"/>
        <w:tabs>
          <w:tab w:leader="none" w:pos="1964" w:val="left"/>
        </w:tabs>
        <w:numPr>
          <w:ilvl w:val="0"/>
          <w:numId w:val="7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Personal Data Breach</w:t>
      </w:r>
      <w:r>
        <w:rPr>
          <w:rFonts w:ascii="Arial" w:cs="Arial" w:eastAsia="Arial" w:hAnsi="Arial"/>
          <w:sz w:val="20"/>
          <w:szCs w:val="20"/>
          <w:color w:val="auto"/>
        </w:rPr>
        <w:t>” means a breach of security leading to the accidental or unlawful destruction, loss, alteration, unauthorised disclosure of, or access to, Study Personal Data transmitted, stored or otherwise Processed.</w:t>
      </w:r>
    </w:p>
    <w:p>
      <w:pPr>
        <w:spacing w:after="0" w:line="138" w:lineRule="exact"/>
        <w:rPr>
          <w:rFonts w:ascii="Arial" w:cs="Arial" w:eastAsia="Arial" w:hAnsi="Arial"/>
          <w:sz w:val="20"/>
          <w:szCs w:val="20"/>
          <w:b w:val="1"/>
          <w:bCs w:val="1"/>
          <w:color w:val="auto"/>
        </w:rPr>
      </w:pPr>
    </w:p>
    <w:p>
      <w:pPr>
        <w:ind w:firstLine="1505"/>
        <w:spacing w:after="0" w:line="259" w:lineRule="auto"/>
        <w:tabs>
          <w:tab w:leader="none" w:pos="1951" w:val="left"/>
        </w:tabs>
        <w:numPr>
          <w:ilvl w:val="0"/>
          <w:numId w:val="7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Processor</w:t>
      </w:r>
      <w:r>
        <w:rPr>
          <w:rFonts w:ascii="Arial" w:cs="Arial" w:eastAsia="Arial" w:hAnsi="Arial"/>
          <w:sz w:val="20"/>
          <w:szCs w:val="20"/>
          <w:color w:val="auto"/>
        </w:rPr>
        <w:t>” means the natural or legal person that Processes Personal Data only on the instructions of the Controller, or such other meaning as is given to such term or equivalent term under Data Protection Laws.</w:t>
      </w:r>
    </w:p>
    <w:p>
      <w:pPr>
        <w:spacing w:after="0" w:line="124" w:lineRule="exact"/>
        <w:rPr>
          <w:rFonts w:ascii="Arial" w:cs="Arial" w:eastAsia="Arial" w:hAnsi="Arial"/>
          <w:sz w:val="20"/>
          <w:szCs w:val="20"/>
          <w:b w:val="1"/>
          <w:bCs w:val="1"/>
          <w:color w:val="auto"/>
        </w:rPr>
      </w:pPr>
    </w:p>
    <w:p>
      <w:pPr>
        <w:ind w:firstLine="1505"/>
        <w:spacing w:after="0" w:line="259" w:lineRule="auto"/>
        <w:tabs>
          <w:tab w:leader="none" w:pos="1964" w:val="left"/>
        </w:tabs>
        <w:numPr>
          <w:ilvl w:val="0"/>
          <w:numId w:val="7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Study Personal Data</w:t>
      </w:r>
      <w:r>
        <w:rPr>
          <w:rFonts w:ascii="Arial" w:cs="Arial" w:eastAsia="Arial" w:hAnsi="Arial"/>
          <w:sz w:val="20"/>
          <w:szCs w:val="20"/>
          <w:color w:val="auto"/>
        </w:rPr>
        <w:t>” means the Personal Data processed in connection with the Study related to participants in the Study.</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 xml:space="preserve">13.2 </w:t>
      </w:r>
      <w:r>
        <w:rPr>
          <w:rFonts w:ascii="Arial" w:cs="Arial" w:eastAsia="Arial" w:hAnsi="Arial"/>
          <w:sz w:val="20"/>
          <w:szCs w:val="20"/>
          <w:color w:val="auto"/>
        </w:rPr>
        <w:t>Where applicable under Data Protection Laws, the Parties acknowledge and agree that for the purposes of this</w:t>
      </w:r>
    </w:p>
    <w:p>
      <w:pPr>
        <w:spacing w:after="0" w:line="6" w:lineRule="exact"/>
        <w:rPr>
          <w:sz w:val="20"/>
          <w:szCs w:val="20"/>
          <w:color w:val="auto"/>
        </w:rPr>
      </w:pPr>
    </w:p>
    <w:p>
      <w:pPr>
        <w:ind w:left="80"/>
        <w:spacing w:after="0"/>
        <w:rPr>
          <w:sz w:val="20"/>
          <w:szCs w:val="20"/>
          <w:color w:val="auto"/>
        </w:rPr>
      </w:pPr>
      <w:r>
        <w:rPr>
          <w:rFonts w:ascii="Arial" w:cs="Arial" w:eastAsia="Arial" w:hAnsi="Arial"/>
          <w:sz w:val="20"/>
          <w:szCs w:val="20"/>
          <w:color w:val="auto"/>
        </w:rPr>
        <w:t>Agreement:</w:t>
      </w:r>
    </w:p>
    <w:p>
      <w:pPr>
        <w:spacing w:after="0" w:line="171" w:lineRule="exact"/>
        <w:rPr>
          <w:sz w:val="20"/>
          <w:szCs w:val="20"/>
          <w:color w:val="auto"/>
        </w:rPr>
      </w:pPr>
    </w:p>
    <w:p>
      <w:pPr>
        <w:ind w:left="1940" w:hanging="435"/>
        <w:spacing w:after="0"/>
        <w:tabs>
          <w:tab w:leader="none" w:pos="194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they each Process Personal Data of their own personnel and the other Party’s personnel as independent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Controllers; and</w:t>
      </w:r>
    </w:p>
    <w:p>
      <w:pPr>
        <w:spacing w:after="0" w:line="171" w:lineRule="exact"/>
        <w:rPr>
          <w:sz w:val="20"/>
          <w:szCs w:val="20"/>
          <w:color w:val="auto"/>
        </w:rPr>
      </w:pPr>
    </w:p>
    <w:p>
      <w:pPr>
        <w:ind w:left="1940" w:hanging="435"/>
        <w:spacing w:after="0"/>
        <w:tabs>
          <w:tab w:leader="none" w:pos="194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to the extent that each Party Processes Study Personal Data, they do so as independent Controllers.</w:t>
      </w:r>
    </w:p>
    <w:p>
      <w:pPr>
        <w:spacing w:after="0" w:line="160" w:lineRule="exact"/>
        <w:rPr>
          <w:sz w:val="20"/>
          <w:szCs w:val="20"/>
          <w:color w:val="auto"/>
        </w:rPr>
      </w:pPr>
    </w:p>
    <w:p>
      <w:pPr>
        <w:ind w:firstLine="674"/>
        <w:spacing w:after="0" w:line="259" w:lineRule="auto"/>
        <w:rPr>
          <w:sz w:val="20"/>
          <w:szCs w:val="20"/>
          <w:color w:val="auto"/>
        </w:rPr>
      </w:pPr>
      <w:r>
        <w:rPr>
          <w:rFonts w:ascii="Arial" w:cs="Arial" w:eastAsia="Arial" w:hAnsi="Arial"/>
          <w:sz w:val="20"/>
          <w:szCs w:val="20"/>
          <w:b w:val="1"/>
          <w:bCs w:val="1"/>
          <w:color w:val="auto"/>
        </w:rPr>
        <w:t xml:space="preserve">13.3 </w:t>
      </w:r>
      <w:r>
        <w:rPr>
          <w:rFonts w:ascii="Arial" w:cs="Arial" w:eastAsia="Arial" w:hAnsi="Arial"/>
          <w:sz w:val="20"/>
          <w:szCs w:val="20"/>
          <w:color w:val="auto"/>
        </w:rPr>
        <w:t>When Processing any Study Personal Data under or in connection with this Agreement, each Party agrees to</w:t>
      </w:r>
      <w:r>
        <w:rPr>
          <w:rFonts w:ascii="Arial" w:cs="Arial" w:eastAsia="Arial" w:hAnsi="Arial"/>
          <w:sz w:val="20"/>
          <w:szCs w:val="20"/>
          <w:b w:val="1"/>
          <w:bCs w:val="1"/>
          <w:color w:val="auto"/>
        </w:rPr>
        <w:t xml:space="preserve"> </w:t>
      </w:r>
      <w:r>
        <w:rPr>
          <w:rFonts w:ascii="Arial" w:cs="Arial" w:eastAsia="Arial" w:hAnsi="Arial"/>
          <w:sz w:val="20"/>
          <w:szCs w:val="20"/>
          <w:color w:val="auto"/>
        </w:rPr>
        <w:t>comply with its obligations under Data Protection Laws.</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13.4 </w:t>
      </w:r>
      <w:r>
        <w:rPr>
          <w:rFonts w:ascii="Arial" w:cs="Arial" w:eastAsia="Arial" w:hAnsi="Arial"/>
          <w:sz w:val="20"/>
          <w:szCs w:val="20"/>
          <w:color w:val="auto"/>
        </w:rPr>
        <w:t>If data relating to Study subjects is shared by COMPANY with ROCHE under this Agreement:</w:t>
      </w:r>
    </w:p>
    <w:p>
      <w:pPr>
        <w:spacing w:after="0" w:line="191" w:lineRule="exact"/>
        <w:rPr>
          <w:sz w:val="20"/>
          <w:szCs w:val="20"/>
          <w:color w:val="auto"/>
        </w:rPr>
      </w:pPr>
    </w:p>
    <w:p>
      <w:pPr>
        <w:ind w:left="1940" w:hanging="435"/>
        <w:spacing w:after="0"/>
        <w:tabs>
          <w:tab w:leader="none" w:pos="1940" w:val="left"/>
        </w:tabs>
        <w:numPr>
          <w:ilvl w:val="0"/>
          <w:numId w:val="79"/>
        </w:numPr>
        <w:rPr>
          <w:rFonts w:ascii="Arial" w:cs="Arial" w:eastAsia="Arial" w:hAnsi="Arial"/>
          <w:sz w:val="20"/>
          <w:szCs w:val="20"/>
          <w:color w:val="auto"/>
        </w:rPr>
      </w:pPr>
      <w:r>
        <w:rPr>
          <w:rFonts w:ascii="Arial" w:cs="Arial" w:eastAsia="Arial" w:hAnsi="Arial"/>
          <w:sz w:val="20"/>
          <w:szCs w:val="20"/>
          <w:color w:val="auto"/>
        </w:rPr>
        <w:t>COMPANY represents and warrants that [***];</w:t>
      </w:r>
    </w:p>
    <w:p>
      <w:pPr>
        <w:spacing w:after="0" w:line="188" w:lineRule="exact"/>
        <w:rPr>
          <w:rFonts w:ascii="Arial" w:cs="Arial" w:eastAsia="Arial" w:hAnsi="Arial"/>
          <w:sz w:val="20"/>
          <w:szCs w:val="20"/>
          <w:color w:val="auto"/>
        </w:rPr>
      </w:pPr>
    </w:p>
    <w:p>
      <w:pPr>
        <w:ind w:left="1940" w:hanging="435"/>
        <w:spacing w:after="0"/>
        <w:tabs>
          <w:tab w:leader="none" w:pos="1940" w:val="left"/>
        </w:tabs>
        <w:numPr>
          <w:ilvl w:val="0"/>
          <w:numId w:val="79"/>
        </w:numPr>
        <w:rPr>
          <w:rFonts w:ascii="Arial" w:cs="Arial" w:eastAsia="Arial" w:hAnsi="Arial"/>
          <w:sz w:val="20"/>
          <w:szCs w:val="20"/>
          <w:color w:val="auto"/>
        </w:rPr>
      </w:pPr>
      <w:r>
        <w:rPr>
          <w:rFonts w:ascii="Arial" w:cs="Arial" w:eastAsia="Arial" w:hAnsi="Arial"/>
          <w:sz w:val="20"/>
          <w:szCs w:val="20"/>
          <w:color w:val="auto"/>
        </w:rPr>
        <w:t>COMPANY [***];</w:t>
      </w:r>
    </w:p>
    <w:p>
      <w:pPr>
        <w:spacing w:after="0" w:line="175" w:lineRule="exact"/>
        <w:rPr>
          <w:rFonts w:ascii="Arial" w:cs="Arial" w:eastAsia="Arial" w:hAnsi="Arial"/>
          <w:sz w:val="20"/>
          <w:szCs w:val="20"/>
          <w:color w:val="auto"/>
        </w:rPr>
      </w:pPr>
    </w:p>
    <w:p>
      <w:pPr>
        <w:ind w:left="1940" w:hanging="435"/>
        <w:spacing w:after="0"/>
        <w:tabs>
          <w:tab w:leader="none" w:pos="1940" w:val="left"/>
        </w:tabs>
        <w:numPr>
          <w:ilvl w:val="0"/>
          <w:numId w:val="79"/>
        </w:numPr>
        <w:rPr>
          <w:rFonts w:ascii="Arial" w:cs="Arial" w:eastAsia="Arial" w:hAnsi="Arial"/>
          <w:sz w:val="20"/>
          <w:szCs w:val="20"/>
          <w:color w:val="auto"/>
        </w:rPr>
      </w:pPr>
      <w:r>
        <w:rPr>
          <w:rFonts w:ascii="Arial" w:cs="Arial" w:eastAsia="Arial" w:hAnsi="Arial"/>
          <w:sz w:val="20"/>
          <w:szCs w:val="20"/>
          <w:color w:val="auto"/>
        </w:rPr>
        <w:t>ROCHE represents and warrants that [***]; and</w:t>
      </w:r>
    </w:p>
    <w:p>
      <w:pPr>
        <w:spacing w:after="0" w:line="188" w:lineRule="exact"/>
        <w:rPr>
          <w:rFonts w:ascii="Arial" w:cs="Arial" w:eastAsia="Arial" w:hAnsi="Arial"/>
          <w:sz w:val="20"/>
          <w:szCs w:val="20"/>
          <w:color w:val="auto"/>
        </w:rPr>
      </w:pPr>
    </w:p>
    <w:p>
      <w:pPr>
        <w:ind w:left="1940" w:hanging="435"/>
        <w:spacing w:after="0"/>
        <w:tabs>
          <w:tab w:leader="none" w:pos="1940" w:val="left"/>
        </w:tabs>
        <w:numPr>
          <w:ilvl w:val="0"/>
          <w:numId w:val="79"/>
        </w:numPr>
        <w:rPr>
          <w:rFonts w:ascii="Arial" w:cs="Arial" w:eastAsia="Arial" w:hAnsi="Arial"/>
          <w:sz w:val="20"/>
          <w:szCs w:val="20"/>
          <w:color w:val="auto"/>
        </w:rPr>
      </w:pPr>
      <w:r>
        <w:rPr>
          <w:rFonts w:ascii="Arial" w:cs="Arial" w:eastAsia="Arial" w:hAnsi="Arial"/>
          <w:sz w:val="20"/>
          <w:szCs w:val="20"/>
          <w:color w:val="auto"/>
        </w:rPr>
        <w:t>COMPANY represents and warrants that [***].</w:t>
      </w:r>
    </w:p>
    <w:p>
      <w:pPr>
        <w:spacing w:after="0" w:line="188" w:lineRule="exact"/>
        <w:rPr>
          <w:rFonts w:ascii="Arial" w:cs="Arial" w:eastAsia="Arial" w:hAnsi="Arial"/>
          <w:sz w:val="20"/>
          <w:szCs w:val="20"/>
          <w:color w:val="auto"/>
        </w:rPr>
      </w:pPr>
    </w:p>
    <w:p>
      <w:pPr>
        <w:ind w:left="1940" w:hanging="435"/>
        <w:spacing w:after="0"/>
        <w:tabs>
          <w:tab w:leader="none" w:pos="1940" w:val="left"/>
        </w:tabs>
        <w:numPr>
          <w:ilvl w:val="0"/>
          <w:numId w:val="79"/>
        </w:numPr>
        <w:rPr>
          <w:rFonts w:ascii="Arial" w:cs="Arial" w:eastAsia="Arial" w:hAnsi="Arial"/>
          <w:sz w:val="20"/>
          <w:szCs w:val="20"/>
          <w:color w:val="auto"/>
        </w:rPr>
      </w:pPr>
      <w:r>
        <w:rPr>
          <w:rFonts w:ascii="Arial" w:cs="Arial" w:eastAsia="Arial" w:hAnsi="Arial"/>
          <w:sz w:val="20"/>
          <w:szCs w:val="20"/>
          <w:color w:val="auto"/>
        </w:rPr>
        <w:t>COMPANY [***].</w:t>
      </w:r>
    </w:p>
    <w:p>
      <w:pPr>
        <w:spacing w:after="0" w:line="160"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13.5 </w:t>
      </w:r>
      <w:r>
        <w:rPr>
          <w:rFonts w:ascii="Arial" w:cs="Arial" w:eastAsia="Arial" w:hAnsi="Arial"/>
          <w:sz w:val="20"/>
          <w:szCs w:val="20"/>
          <w:color w:val="auto"/>
        </w:rPr>
        <w: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48" w:lineRule="exact"/>
        <w:rPr>
          <w:sz w:val="20"/>
          <w:szCs w:val="20"/>
          <w:color w:val="auto"/>
        </w:rPr>
      </w:pPr>
    </w:p>
    <w:p>
      <w:pPr>
        <w:jc w:val="both"/>
        <w:ind w:firstLine="674"/>
        <w:spacing w:after="0" w:line="259" w:lineRule="auto"/>
        <w:rPr>
          <w:sz w:val="20"/>
          <w:szCs w:val="20"/>
          <w:color w:val="auto"/>
        </w:rPr>
      </w:pPr>
      <w:r>
        <w:rPr>
          <w:rFonts w:ascii="Arial" w:cs="Arial" w:eastAsia="Arial" w:hAnsi="Arial"/>
          <w:sz w:val="20"/>
          <w:szCs w:val="20"/>
          <w:b w:val="1"/>
          <w:bCs w:val="1"/>
          <w:color w:val="auto"/>
        </w:rPr>
        <w:t xml:space="preserve">13.6 </w:t>
      </w:r>
      <w:r>
        <w:rPr>
          <w:rFonts w:ascii="Arial" w:cs="Arial" w:eastAsia="Arial" w:hAnsi="Arial"/>
          <w:sz w:val="20"/>
          <w:szCs w:val="20"/>
          <w:color w:val="auto"/>
        </w:rPr>
        <w:t>Without limiting Section 13.6, whenever a safety report is made to ROCHE in connection with the Study, [***].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understand and acknowledge that the provision of the notice is the responsibility of the Study center and [***].</w:t>
      </w:r>
    </w:p>
    <w:p>
      <w:pPr>
        <w:spacing w:after="0" w:line="125" w:lineRule="exact"/>
        <w:rPr>
          <w:sz w:val="20"/>
          <w:szCs w:val="20"/>
          <w:color w:val="auto"/>
        </w:rPr>
      </w:pPr>
    </w:p>
    <w:p>
      <w:pPr>
        <w:jc w:val="both"/>
        <w:ind w:firstLine="674"/>
        <w:spacing w:after="0" w:line="242" w:lineRule="auto"/>
        <w:rPr>
          <w:sz w:val="20"/>
          <w:szCs w:val="20"/>
          <w:color w:val="auto"/>
        </w:rPr>
      </w:pPr>
      <w:r>
        <w:rPr>
          <w:rFonts w:ascii="Arial" w:cs="Arial" w:eastAsia="Arial" w:hAnsi="Arial"/>
          <w:sz w:val="20"/>
          <w:szCs w:val="20"/>
          <w:b w:val="1"/>
          <w:bCs w:val="1"/>
          <w:color w:val="auto"/>
        </w:rPr>
        <w:t xml:space="preserve">13.7 </w:t>
      </w:r>
      <w:r>
        <w:rPr>
          <w:rFonts w:ascii="Arial" w:cs="Arial" w:eastAsia="Arial" w:hAnsi="Arial"/>
          <w:sz w:val="20"/>
          <w:szCs w:val="20"/>
          <w:color w:val="auto"/>
        </w:rPr>
        <w:t>In the event that a Study subject invokes his or her rights under Data Protection Laws (e.g., access, a copy of data,</w:t>
      </w:r>
      <w:r>
        <w:rPr>
          <w:rFonts w:ascii="Arial" w:cs="Arial" w:eastAsia="Arial" w:hAnsi="Arial"/>
          <w:sz w:val="20"/>
          <w:szCs w:val="20"/>
          <w:b w:val="1"/>
          <w:bCs w:val="1"/>
          <w:color w:val="auto"/>
        </w:rPr>
        <w:t xml:space="preserve"> </w:t>
      </w:r>
      <w:r>
        <w:rPr>
          <w:rFonts w:ascii="Arial" w:cs="Arial" w:eastAsia="Arial" w:hAnsi="Arial"/>
          <w:sz w:val="20"/>
          <w:szCs w:val="20"/>
          <w:color w:val="auto"/>
        </w:rPr>
        <w:t>correction, deletion or portability of data) and such request is addressed to COMPANY, [***]. Where requested by COMPANY, [***]. In the event that a Study subject request is addressed to ROCHE, [***].</w:t>
      </w:r>
    </w:p>
    <w:p>
      <w:pPr>
        <w:spacing w:after="0" w:line="128" w:lineRule="exact"/>
        <w:rPr>
          <w:sz w:val="20"/>
          <w:szCs w:val="20"/>
          <w:color w:val="auto"/>
        </w:rPr>
      </w:pPr>
    </w:p>
    <w:p>
      <w:pPr>
        <w:jc w:val="both"/>
        <w:ind w:firstLine="674"/>
        <w:spacing w:after="0" w:line="259" w:lineRule="auto"/>
        <w:rPr>
          <w:sz w:val="20"/>
          <w:szCs w:val="20"/>
          <w:color w:val="auto"/>
        </w:rPr>
      </w:pPr>
      <w:r>
        <w:rPr>
          <w:rFonts w:ascii="Arial" w:cs="Arial" w:eastAsia="Arial" w:hAnsi="Arial"/>
          <w:sz w:val="20"/>
          <w:szCs w:val="20"/>
          <w:b w:val="1"/>
          <w:bCs w:val="1"/>
          <w:color w:val="auto"/>
        </w:rPr>
        <w:t xml:space="preserve">13.8 </w:t>
      </w:r>
      <w:r>
        <w:rPr>
          <w:rFonts w:ascii="Arial" w:cs="Arial" w:eastAsia="Arial" w:hAnsi="Arial"/>
          <w:sz w:val="20"/>
          <w:szCs w:val="20"/>
          <w:color w:val="auto"/>
        </w:rPr>
        <w:t>Both Parties will implement appropriate technical and organizational measures for information security and data</w:t>
      </w:r>
      <w:r>
        <w:rPr>
          <w:rFonts w:ascii="Arial" w:cs="Arial" w:eastAsia="Arial" w:hAnsi="Arial"/>
          <w:sz w:val="20"/>
          <w:szCs w:val="20"/>
          <w:b w:val="1"/>
          <w:bCs w:val="1"/>
          <w:color w:val="auto"/>
        </w:rPr>
        <w:t xml:space="preserve"> </w:t>
      </w:r>
      <w:r>
        <w:rPr>
          <w:rFonts w:ascii="Arial" w:cs="Arial" w:eastAsia="Arial" w:hAnsi="Arial"/>
          <w:sz w:val="20"/>
          <w:szCs w:val="20"/>
          <w:color w:val="auto"/>
        </w:rPr>
        <w:t>protection in accordance with Data Protection Laws. [***].</w:t>
      </w:r>
    </w:p>
    <w:p>
      <w:pPr>
        <w:spacing w:after="0" w:line="111" w:lineRule="exact"/>
        <w:rPr>
          <w:sz w:val="20"/>
          <w:szCs w:val="20"/>
          <w:color w:val="auto"/>
        </w:rPr>
      </w:pPr>
    </w:p>
    <w:p>
      <w:pPr>
        <w:jc w:val="both"/>
        <w:ind w:firstLine="674"/>
        <w:spacing w:after="0" w:line="259" w:lineRule="auto"/>
        <w:rPr>
          <w:sz w:val="20"/>
          <w:szCs w:val="20"/>
          <w:color w:val="auto"/>
        </w:rPr>
      </w:pPr>
      <w:r>
        <w:rPr>
          <w:rFonts w:ascii="Arial" w:cs="Arial" w:eastAsia="Arial" w:hAnsi="Arial"/>
          <w:sz w:val="20"/>
          <w:szCs w:val="20"/>
          <w:b w:val="1"/>
          <w:bCs w:val="1"/>
          <w:color w:val="auto"/>
        </w:rPr>
        <w:t xml:space="preserve">13.9 </w:t>
      </w:r>
      <w:r>
        <w:rPr>
          <w:rFonts w:ascii="Arial" w:cs="Arial" w:eastAsia="Arial" w:hAnsi="Arial"/>
          <w:sz w:val="20"/>
          <w:szCs w:val="20"/>
          <w:color w:val="auto"/>
        </w:rPr>
        <w:t>Each Party will respond to and notify Personal Data Breaches in accordance with the requirements of Data</w:t>
      </w:r>
      <w:r>
        <w:rPr>
          <w:rFonts w:ascii="Arial" w:cs="Arial" w:eastAsia="Arial" w:hAnsi="Arial"/>
          <w:sz w:val="20"/>
          <w:szCs w:val="20"/>
          <w:b w:val="1"/>
          <w:bCs w:val="1"/>
          <w:color w:val="auto"/>
        </w:rPr>
        <w:t xml:space="preserve"> </w:t>
      </w:r>
      <w:r>
        <w:rPr>
          <w:rFonts w:ascii="Arial" w:cs="Arial" w:eastAsia="Arial" w:hAnsi="Arial"/>
          <w:sz w:val="20"/>
          <w:szCs w:val="20"/>
          <w:color w:val="auto"/>
        </w:rPr>
        <w:t>Protection Laws [***]. Each Party will notify the other Party [***].</w:t>
      </w:r>
    </w:p>
    <w:p>
      <w:pPr>
        <w:spacing w:after="0" w:line="125" w:lineRule="exact"/>
        <w:rPr>
          <w:sz w:val="20"/>
          <w:szCs w:val="20"/>
          <w:color w:val="auto"/>
        </w:rPr>
      </w:pPr>
    </w:p>
    <w:p>
      <w:pPr>
        <w:jc w:val="both"/>
        <w:ind w:firstLine="674"/>
        <w:spacing w:after="0" w:line="259" w:lineRule="auto"/>
        <w:rPr>
          <w:sz w:val="20"/>
          <w:szCs w:val="20"/>
          <w:color w:val="auto"/>
        </w:rPr>
      </w:pPr>
      <w:r>
        <w:rPr>
          <w:rFonts w:ascii="Arial" w:cs="Arial" w:eastAsia="Arial" w:hAnsi="Arial"/>
          <w:sz w:val="20"/>
          <w:szCs w:val="20"/>
          <w:b w:val="1"/>
          <w:bCs w:val="1"/>
          <w:color w:val="auto"/>
        </w:rPr>
        <w:t xml:space="preserve">13.10 </w:t>
      </w:r>
      <w:r>
        <w:rPr>
          <w:rFonts w:ascii="Arial" w:cs="Arial" w:eastAsia="Arial" w:hAnsi="Arial"/>
          <w:sz w:val="20"/>
          <w:szCs w:val="20"/>
          <w:color w:val="auto"/>
        </w:rPr>
        <w:t>Each Party will be fully responsible and held liable for compliance with their respective obligations under Data</w:t>
      </w:r>
      <w:r>
        <w:rPr>
          <w:rFonts w:ascii="Arial" w:cs="Arial" w:eastAsia="Arial" w:hAnsi="Arial"/>
          <w:sz w:val="20"/>
          <w:szCs w:val="20"/>
          <w:b w:val="1"/>
          <w:bCs w:val="1"/>
          <w:color w:val="auto"/>
        </w:rPr>
        <w:t xml:space="preserve"> </w:t>
      </w:r>
      <w:r>
        <w:rPr>
          <w:rFonts w:ascii="Arial" w:cs="Arial" w:eastAsia="Arial" w:hAnsi="Arial"/>
          <w:sz w:val="20"/>
          <w:szCs w:val="20"/>
          <w:color w:val="auto"/>
        </w:rPr>
        <w:t>Protection Laws [***].</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Insurance and Indemnification</w:t>
      </w:r>
    </w:p>
    <w:p>
      <w:pPr>
        <w:spacing w:after="0" w:line="162" w:lineRule="exact"/>
        <w:rPr>
          <w:sz w:val="20"/>
          <w:szCs w:val="20"/>
          <w:color w:val="auto"/>
        </w:rPr>
      </w:pPr>
    </w:p>
    <w:p>
      <w:pPr>
        <w:jc w:val="both"/>
        <w:ind w:right="20" w:firstLine="674"/>
        <w:spacing w:after="0" w:line="259" w:lineRule="auto"/>
        <w:rPr>
          <w:sz w:val="20"/>
          <w:szCs w:val="20"/>
          <w:color w:val="auto"/>
        </w:rPr>
      </w:pPr>
      <w:r>
        <w:rPr>
          <w:rFonts w:ascii="Arial" w:cs="Arial" w:eastAsia="Arial" w:hAnsi="Arial"/>
          <w:sz w:val="20"/>
          <w:szCs w:val="20"/>
          <w:b w:val="1"/>
          <w:bCs w:val="1"/>
          <w:color w:val="auto"/>
        </w:rPr>
        <w:t xml:space="preserve">14.1 </w:t>
      </w:r>
      <w:r>
        <w:rPr>
          <w:rFonts w:ascii="Arial" w:cs="Arial" w:eastAsia="Arial" w:hAnsi="Arial"/>
          <w:sz w:val="20"/>
          <w:szCs w:val="20"/>
          <w:color w:val="auto"/>
        </w:rPr>
        <w:t>COMPANY agrees to take out insurance or make alternative arrangements as necessary to [***]. It is the clear</w:t>
      </w:r>
      <w:r>
        <w:rPr>
          <w:rFonts w:ascii="Arial" w:cs="Arial" w:eastAsia="Arial" w:hAnsi="Arial"/>
          <w:sz w:val="20"/>
          <w:szCs w:val="20"/>
          <w:b w:val="1"/>
          <w:bCs w:val="1"/>
          <w:color w:val="auto"/>
        </w:rPr>
        <w:t xml:space="preserve"> </w:t>
      </w:r>
      <w:r>
        <w:rPr>
          <w:rFonts w:ascii="Arial" w:cs="Arial" w:eastAsia="Arial" w:hAnsi="Arial"/>
          <w:sz w:val="20"/>
          <w:szCs w:val="20"/>
          <w:color w:val="auto"/>
        </w:rPr>
        <w:t>understanding that [***].</w:t>
      </w:r>
    </w:p>
    <w:p>
      <w:pPr>
        <w:spacing w:after="0" w:line="125" w:lineRule="exact"/>
        <w:rPr>
          <w:sz w:val="20"/>
          <w:szCs w:val="20"/>
          <w:color w:val="auto"/>
        </w:rPr>
      </w:pPr>
    </w:p>
    <w:p>
      <w:pPr>
        <w:jc w:val="both"/>
        <w:ind w:firstLine="674"/>
        <w:spacing w:after="0" w:line="235" w:lineRule="auto"/>
        <w:rPr>
          <w:sz w:val="20"/>
          <w:szCs w:val="20"/>
          <w:color w:val="auto"/>
        </w:rPr>
      </w:pPr>
      <w:r>
        <w:rPr>
          <w:rFonts w:ascii="Arial" w:cs="Arial" w:eastAsia="Arial" w:hAnsi="Arial"/>
          <w:sz w:val="20"/>
          <w:szCs w:val="20"/>
          <w:b w:val="1"/>
          <w:bCs w:val="1"/>
          <w:color w:val="auto"/>
        </w:rPr>
        <w:t xml:space="preserve">14.2 </w:t>
      </w:r>
      <w:r>
        <w:rPr>
          <w:rFonts w:ascii="Arial" w:cs="Arial" w:eastAsia="Arial" w:hAnsi="Arial"/>
          <w:sz w:val="20"/>
          <w:szCs w:val="20"/>
          <w:color w:val="auto"/>
        </w:rPr>
        <w:t>COMPANY agrees to defend, indemnify and hold ROCHE and its Affiliates, officers, employees, consultants or</w:t>
      </w:r>
      <w:r>
        <w:rPr>
          <w:rFonts w:ascii="Arial" w:cs="Arial" w:eastAsia="Arial" w:hAnsi="Arial"/>
          <w:sz w:val="20"/>
          <w:szCs w:val="20"/>
          <w:b w:val="1"/>
          <w:bCs w:val="1"/>
          <w:color w:val="auto"/>
        </w:rPr>
        <w:t xml:space="preserve"> </w:t>
      </w:r>
      <w:r>
        <w:rPr>
          <w:rFonts w:ascii="Arial" w:cs="Arial" w:eastAsia="Arial" w:hAnsi="Arial"/>
          <w:sz w:val="20"/>
          <w:szCs w:val="20"/>
          <w:color w:val="auto"/>
        </w:rPr>
        <w:t>agents, harmless from and against all loss, damages, reasonable costs and expenses (including reasonable attorney’s fees and expenses) incurred in connection with any claim, proceeding, or investigation, in each case, by a third party arising [***]</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provided, however, </w:t>
      </w:r>
      <w:r>
        <w:rPr>
          <w:rFonts w:ascii="Arial" w:cs="Arial" w:eastAsia="Arial" w:hAnsi="Arial"/>
          <w:sz w:val="20"/>
          <w:szCs w:val="20"/>
          <w:color w:val="auto"/>
        </w:rPr>
        <w:t>that such indemnification, defense, and hold harmless obligations shall not extend to claims to the extent</w:t>
      </w:r>
      <w:r>
        <w:rPr>
          <w:rFonts w:ascii="Arial" w:cs="Arial" w:eastAsia="Arial" w:hAnsi="Arial"/>
          <w:sz w:val="20"/>
          <w:szCs w:val="20"/>
          <w:i w:val="1"/>
          <w:iCs w:val="1"/>
          <w:color w:val="auto"/>
        </w:rPr>
        <w:t xml:space="preserve"> </w:t>
      </w:r>
      <w:r>
        <w:rPr>
          <w:rFonts w:ascii="Arial" w:cs="Arial" w:eastAsia="Arial" w:hAnsi="Arial"/>
          <w:sz w:val="20"/>
          <w:szCs w:val="20"/>
          <w:color w:val="auto"/>
        </w:rPr>
        <w:t>they are based on [***]</w:t>
      </w:r>
    </w:p>
    <w:p>
      <w:pPr>
        <w:spacing w:after="0" w:line="130" w:lineRule="exact"/>
        <w:rPr>
          <w:sz w:val="20"/>
          <w:szCs w:val="20"/>
          <w:color w:val="auto"/>
        </w:rPr>
      </w:pPr>
    </w:p>
    <w:p>
      <w:pPr>
        <w:jc w:val="both"/>
        <w:ind w:firstLine="674"/>
        <w:spacing w:after="0" w:line="261" w:lineRule="auto"/>
        <w:rPr>
          <w:sz w:val="20"/>
          <w:szCs w:val="20"/>
          <w:color w:val="auto"/>
        </w:rPr>
      </w:pPr>
      <w:r>
        <w:rPr>
          <w:rFonts w:ascii="Arial" w:cs="Arial" w:eastAsia="Arial" w:hAnsi="Arial"/>
          <w:sz w:val="19"/>
          <w:szCs w:val="19"/>
          <w:b w:val="1"/>
          <w:bCs w:val="1"/>
          <w:color w:val="auto"/>
        </w:rPr>
        <w:t xml:space="preserve">14.3 </w:t>
      </w:r>
      <w:r>
        <w:rPr>
          <w:rFonts w:ascii="Arial" w:cs="Arial" w:eastAsia="Arial" w:hAnsi="Arial"/>
          <w:sz w:val="19"/>
          <w:szCs w:val="19"/>
          <w:color w:val="auto"/>
        </w:rPr>
        <w:t>ROCHE agrees to defend, indemnify and hold COMPANY and its Affiliates, officers, employees, consultants or</w:t>
      </w:r>
      <w:r>
        <w:rPr>
          <w:rFonts w:ascii="Arial" w:cs="Arial" w:eastAsia="Arial" w:hAnsi="Arial"/>
          <w:sz w:val="19"/>
          <w:szCs w:val="19"/>
          <w:b w:val="1"/>
          <w:bCs w:val="1"/>
          <w:color w:val="auto"/>
        </w:rPr>
        <w:t xml:space="preserve"> </w:t>
      </w:r>
      <w:r>
        <w:rPr>
          <w:rFonts w:ascii="Arial" w:cs="Arial" w:eastAsia="Arial" w:hAnsi="Arial"/>
          <w:sz w:val="19"/>
          <w:szCs w:val="19"/>
          <w:color w:val="auto"/>
        </w:rPr>
        <w:t>agents, harmless from and against all loss, damages, reasonable costs and expenses (including reasonable attorney’s fees and expenses) incurred in connection with any claim, proceeding, or investigation, in each case, by a third party arising out of [***].</w:t>
      </w:r>
    </w:p>
    <w:p>
      <w:pPr>
        <w:spacing w:after="0" w:line="111" w:lineRule="exact"/>
        <w:rPr>
          <w:sz w:val="20"/>
          <w:szCs w:val="20"/>
          <w:color w:val="auto"/>
        </w:rPr>
      </w:pPr>
    </w:p>
    <w:p>
      <w:pPr>
        <w:jc w:val="both"/>
        <w:ind w:firstLine="674"/>
        <w:spacing w:after="0" w:line="259" w:lineRule="auto"/>
        <w:rPr>
          <w:sz w:val="20"/>
          <w:szCs w:val="20"/>
          <w:color w:val="auto"/>
        </w:rPr>
      </w:pPr>
      <w:r>
        <w:rPr>
          <w:rFonts w:ascii="Arial" w:cs="Arial" w:eastAsia="Arial" w:hAnsi="Arial"/>
          <w:sz w:val="20"/>
          <w:szCs w:val="20"/>
          <w:b w:val="1"/>
          <w:bCs w:val="1"/>
          <w:color w:val="auto"/>
        </w:rPr>
        <w:t xml:space="preserve">14.4 </w:t>
      </w:r>
      <w:r>
        <w:rPr>
          <w:rFonts w:ascii="Arial" w:cs="Arial" w:eastAsia="Arial" w:hAnsi="Arial"/>
          <w:sz w:val="20"/>
          <w:szCs w:val="20"/>
          <w:color w:val="auto"/>
        </w:rPr>
        <w:t>Notwithstanding Sections 14.2. and 14.3 above, each Party’s indemnification, defense and hold harmless</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14.5 </w:t>
      </w:r>
      <w:r>
        <w:rPr>
          <w:rFonts w:ascii="Arial" w:cs="Arial" w:eastAsia="Arial" w:hAnsi="Arial"/>
          <w:sz w:val="20"/>
          <w:szCs w:val="20"/>
          <w:color w:val="auto"/>
        </w:rPr>
        <w:t>ROCHE will promptly inform COMPANY in writing of any claim or lawsuit which comes to the attention of ROCHE</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42" w:lineRule="exact"/>
        <w:rPr>
          <w:sz w:val="20"/>
          <w:szCs w:val="20"/>
          <w:color w:val="auto"/>
        </w:rPr>
      </w:pPr>
    </w:p>
    <w:p>
      <w:pPr>
        <w:jc w:val="both"/>
        <w:ind w:firstLine="674"/>
        <w:spacing w:after="0" w:line="259" w:lineRule="auto"/>
        <w:rPr>
          <w:sz w:val="20"/>
          <w:szCs w:val="20"/>
          <w:color w:val="auto"/>
        </w:rPr>
      </w:pPr>
      <w:r>
        <w:rPr>
          <w:rFonts w:ascii="Arial" w:cs="Arial" w:eastAsia="Arial" w:hAnsi="Arial"/>
          <w:sz w:val="20"/>
          <w:szCs w:val="20"/>
          <w:b w:val="1"/>
          <w:bCs w:val="1"/>
          <w:color w:val="auto"/>
        </w:rPr>
        <w:t xml:space="preserve">14.6 </w:t>
      </w:r>
      <w:r>
        <w:rPr>
          <w:rFonts w:ascii="Arial" w:cs="Arial" w:eastAsia="Arial" w:hAnsi="Arial"/>
          <w:sz w:val="20"/>
          <w:szCs w:val="20"/>
          <w:color w:val="auto"/>
        </w:rPr>
        <w:t>COMPANY will promptly inform ROCHE in writing of any claim or lawsuit which comes to the attention of</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t>
      </w:r>
    </w:p>
    <w:p>
      <w:pPr>
        <w:spacing w:after="0" w:line="111" w:lineRule="exact"/>
        <w:rPr>
          <w:sz w:val="20"/>
          <w:szCs w:val="20"/>
          <w:color w:val="auto"/>
        </w:rPr>
      </w:pPr>
    </w:p>
    <w:p>
      <w:pPr>
        <w:jc w:val="both"/>
        <w:ind w:firstLine="674"/>
        <w:spacing w:after="0" w:line="253" w:lineRule="auto"/>
        <w:rPr>
          <w:sz w:val="20"/>
          <w:szCs w:val="20"/>
          <w:color w:val="auto"/>
        </w:rPr>
      </w:pPr>
      <w:r>
        <w:rPr>
          <w:rFonts w:ascii="Arial" w:cs="Arial" w:eastAsia="Arial" w:hAnsi="Arial"/>
          <w:sz w:val="19"/>
          <w:szCs w:val="19"/>
          <w:b w:val="1"/>
          <w:bCs w:val="1"/>
          <w:color w:val="auto"/>
        </w:rPr>
        <w:t xml:space="preserve">14.7 </w:t>
      </w:r>
      <w:r>
        <w:rPr>
          <w:rFonts w:ascii="Arial" w:cs="Arial" w:eastAsia="Arial" w:hAnsi="Arial"/>
          <w:sz w:val="19"/>
          <w:szCs w:val="19"/>
          <w:color w:val="auto"/>
        </w:rPr>
        <w:t>EXCEPT WITH RESPECT TO [***] IN NO EVENT SHALL EITHER PARTY OR ANY OF ITS RESPECTIVE</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BE LIABLE TO THE OTHER PARTY OR ANY OF ITS AFFILIATES FOR ANY SPECIAL, INDIRECT, INCIDENTAL, PUNITIVE OR CONSEQUENTIAL DAMAGES, WHETHER IN CONTRACT, WARRANTY, TORT, NEGLIGENCE, STRICT LIABILITY OR OTHERWISE, INCLUDING BUT NOT LIMITED TO, LOSS OF PROFITS OR REVENUE.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Force Majeure</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If the performance of this Agreement by one of the Parties is prevented, hindered 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77" w:lineRule="exact"/>
        <w:rPr>
          <w:sz w:val="20"/>
          <w:szCs w:val="20"/>
          <w:color w:val="auto"/>
        </w:rPr>
      </w:pPr>
    </w:p>
    <w:p>
      <w:pPr>
        <w:jc w:val="both"/>
        <w:ind w:left="600"/>
        <w:spacing w:after="0" w:line="241" w:lineRule="auto"/>
        <w:rPr>
          <w:sz w:val="20"/>
          <w:szCs w:val="20"/>
          <w:color w:val="auto"/>
        </w:rPr>
      </w:pPr>
      <w:r>
        <w:rPr>
          <w:rFonts w:ascii="Arial" w:cs="Arial" w:eastAsia="Arial" w:hAnsi="Arial"/>
          <w:sz w:val="20"/>
          <w:szCs w:val="20"/>
          <w:color w:val="auto"/>
        </w:rPr>
        <w:t>delayed by reason of any cause beyond this Party’s control (including but not limited to war, riots, fire, strike, governmental laws), such Party shall be excused from performance of its obligations hereunder to the extent that is necessarily prevented, hindered or delayed by such cause. [***]</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Complete Agreement; Modification</w:t>
      </w:r>
    </w:p>
    <w:p>
      <w:pPr>
        <w:spacing w:after="0" w:line="204" w:lineRule="exact"/>
        <w:rPr>
          <w:sz w:val="20"/>
          <w:szCs w:val="20"/>
          <w:color w:val="auto"/>
        </w:rPr>
      </w:pPr>
    </w:p>
    <w:p>
      <w:pPr>
        <w:jc w:val="both"/>
        <w:ind w:left="600"/>
        <w:spacing w:after="0" w:line="234" w:lineRule="auto"/>
        <w:rPr>
          <w:sz w:val="20"/>
          <w:szCs w:val="20"/>
          <w:color w:val="auto"/>
        </w:rPr>
      </w:pPr>
      <w:r>
        <w:rPr>
          <w:rFonts w:ascii="Arial" w:cs="Arial" w:eastAsia="Arial" w:hAnsi="Arial"/>
          <w:sz w:val="20"/>
          <w:szCs w:val="20"/>
          <w:color w:val="auto"/>
        </w:rPr>
        <w:t>The Parties agree to [***]. This Agreement and its attachments, together with the Safety Agreement and the Quality Agreement, constitute the sole, full and complete agreement by and between the Parties with respect to the subject matter of this Agreement and supersede all prior and contemporaneous understandings and agreements (including the CDA) relating to such subject matter. No amendments, changes, additions, deletions or modifications to or of this Agreement will be valid unless reduced to writing, signed by the Parties.</w:t>
      </w:r>
    </w:p>
    <w:p>
      <w:pPr>
        <w:spacing w:after="0" w:line="200" w:lineRule="exact"/>
        <w:rPr>
          <w:sz w:val="20"/>
          <w:szCs w:val="20"/>
          <w:color w:val="auto"/>
        </w:rPr>
      </w:pPr>
    </w:p>
    <w:p>
      <w:pPr>
        <w:ind w:left="600" w:right="9520" w:hanging="517"/>
        <w:spacing w:after="0" w:line="489" w:lineRule="auto"/>
        <w:tabs>
          <w:tab w:leader="none" w:pos="510" w:val="left"/>
        </w:tabs>
        <w:numPr>
          <w:ilvl w:val="0"/>
          <w:numId w:val="80"/>
        </w:numPr>
        <w:rPr>
          <w:rFonts w:ascii="Arial" w:cs="Arial" w:eastAsia="Arial" w:hAnsi="Arial"/>
          <w:sz w:val="17"/>
          <w:szCs w:val="17"/>
          <w:b w:val="1"/>
          <w:bCs w:val="1"/>
          <w:color w:val="auto"/>
        </w:rPr>
      </w:pPr>
      <w:r>
        <w:rPr>
          <w:rFonts w:ascii="Arial" w:cs="Arial" w:eastAsia="Arial" w:hAnsi="Arial"/>
          <w:sz w:val="19"/>
          <w:szCs w:val="19"/>
          <w:b w:val="1"/>
          <w:bCs w:val="1"/>
          <w:color w:val="auto"/>
        </w:rPr>
        <w:t xml:space="preserve">Assignment </w:t>
      </w:r>
      <w:r>
        <w:rPr>
          <w:rFonts w:ascii="Arial" w:cs="Arial" w:eastAsia="Arial" w:hAnsi="Arial"/>
          <w:sz w:val="19"/>
          <w:szCs w:val="19"/>
          <w:color w:val="auto"/>
        </w:rPr>
        <w:t>[***]</w:t>
      </w:r>
    </w:p>
    <w:p>
      <w:pPr>
        <w:ind w:left="520" w:hanging="437"/>
        <w:spacing w:after="0"/>
        <w:tabs>
          <w:tab w:leader="none" w:pos="520" w:val="left"/>
        </w:tabs>
        <w:numPr>
          <w:ilvl w:val="0"/>
          <w:numId w:val="80"/>
        </w:numPr>
        <w:rPr>
          <w:rFonts w:ascii="Arial" w:cs="Arial" w:eastAsia="Arial" w:hAnsi="Arial"/>
          <w:sz w:val="18"/>
          <w:szCs w:val="18"/>
          <w:b w:val="1"/>
          <w:bCs w:val="1"/>
          <w:color w:val="auto"/>
        </w:rPr>
      </w:pPr>
      <w:r>
        <w:rPr>
          <w:rFonts w:ascii="Arial" w:cs="Arial" w:eastAsia="Arial" w:hAnsi="Arial"/>
          <w:sz w:val="20"/>
          <w:szCs w:val="20"/>
          <w:b w:val="1"/>
          <w:bCs w:val="1"/>
          <w:color w:val="auto"/>
        </w:rPr>
        <w:t>Invalid Provision or Gaps</w:t>
      </w:r>
    </w:p>
    <w:p>
      <w:pPr>
        <w:spacing w:after="0" w:line="204" w:lineRule="exact"/>
        <w:rPr>
          <w:sz w:val="20"/>
          <w:szCs w:val="20"/>
          <w:color w:val="auto"/>
        </w:rPr>
      </w:pPr>
    </w:p>
    <w:p>
      <w:pPr>
        <w:jc w:val="both"/>
        <w:ind w:left="600"/>
        <w:spacing w:after="0" w:line="237" w:lineRule="auto"/>
        <w:rPr>
          <w:sz w:val="20"/>
          <w:szCs w:val="20"/>
          <w:color w:val="auto"/>
        </w:rPr>
      </w:pPr>
      <w:r>
        <w:rPr>
          <w:rFonts w:ascii="Arial" w:cs="Arial" w:eastAsia="Arial" w:hAnsi="Arial"/>
          <w:sz w:val="20"/>
          <w:szCs w:val="20"/>
          <w:color w:val="auto"/>
        </w:rPr>
        <w:t>If single provisions of this Agreement are or become invalid [***] the validity of the other provisions will not be affected. In lieu of the invalid provision or in order to eliminate the gap, the Parties will negotiate in good faith to agree upon a reasonable provision to carry out as nearly as practicable the original intention of the Parties at the time of entering into this Agreement.</w:t>
      </w:r>
    </w:p>
    <w:p>
      <w:pPr>
        <w:spacing w:after="0" w:line="197" w:lineRule="exact"/>
        <w:rPr>
          <w:sz w:val="20"/>
          <w:szCs w:val="20"/>
          <w:color w:val="auto"/>
        </w:rPr>
      </w:pPr>
    </w:p>
    <w:p>
      <w:pPr>
        <w:ind w:left="520" w:hanging="437"/>
        <w:spacing w:after="0"/>
        <w:tabs>
          <w:tab w:leader="none" w:pos="520" w:val="left"/>
        </w:tabs>
        <w:numPr>
          <w:ilvl w:val="0"/>
          <w:numId w:val="81"/>
        </w:numPr>
        <w:rPr>
          <w:rFonts w:ascii="Arial" w:cs="Arial" w:eastAsia="Arial" w:hAnsi="Arial"/>
          <w:sz w:val="18"/>
          <w:szCs w:val="18"/>
          <w:b w:val="1"/>
          <w:bCs w:val="1"/>
          <w:color w:val="auto"/>
        </w:rPr>
      </w:pPr>
      <w:r>
        <w:rPr>
          <w:rFonts w:ascii="Arial" w:cs="Arial" w:eastAsia="Arial" w:hAnsi="Arial"/>
          <w:sz w:val="20"/>
          <w:szCs w:val="20"/>
          <w:b w:val="1"/>
          <w:bCs w:val="1"/>
          <w:color w:val="auto"/>
        </w:rPr>
        <w:t>General Provisions</w:t>
      </w:r>
    </w:p>
    <w:p>
      <w:pPr>
        <w:spacing w:after="0" w:line="189" w:lineRule="exact"/>
        <w:rPr>
          <w:sz w:val="20"/>
          <w:szCs w:val="20"/>
          <w:color w:val="auto"/>
        </w:rPr>
      </w:pPr>
    </w:p>
    <w:p>
      <w:pPr>
        <w:ind w:left="80" w:firstLine="669"/>
        <w:spacing w:after="0" w:line="259" w:lineRule="auto"/>
        <w:rPr>
          <w:sz w:val="20"/>
          <w:szCs w:val="20"/>
          <w:color w:val="auto"/>
        </w:rPr>
      </w:pPr>
      <w:r>
        <w:rPr>
          <w:rFonts w:ascii="Arial" w:cs="Arial" w:eastAsia="Arial" w:hAnsi="Arial"/>
          <w:sz w:val="20"/>
          <w:szCs w:val="20"/>
          <w:b w:val="1"/>
          <w:bCs w:val="1"/>
          <w:color w:val="auto"/>
        </w:rPr>
        <w:t xml:space="preserve">19.1 </w:t>
      </w:r>
      <w:r>
        <w:rPr>
          <w:rFonts w:ascii="Arial" w:cs="Arial" w:eastAsia="Arial" w:hAnsi="Arial"/>
          <w:sz w:val="20"/>
          <w:szCs w:val="20"/>
          <w:color w:val="auto"/>
        </w:rPr>
        <w:t>ROCHE and COMPANY have no obligation to renew this Agreement. ROCHE and COMPANY are not under any</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 to enter into a CSA Supplement or another type of agreement with the other Party at this time or in the future.</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 xml:space="preserve">19.2 </w:t>
      </w:r>
      <w:r>
        <w:rPr>
          <w:rFonts w:ascii="Arial" w:cs="Arial" w:eastAsia="Arial" w:hAnsi="Arial"/>
          <w:sz w:val="20"/>
          <w:szCs w:val="20"/>
          <w:color w:val="auto"/>
        </w:rPr>
        <w:t>Each of ROCHE and COMPANY warrants and represents to the other Party that such Party [***].</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 xml:space="preserve">19.3 </w:t>
      </w:r>
      <w:r>
        <w:rPr>
          <w:rFonts w:ascii="Arial" w:cs="Arial" w:eastAsia="Arial" w:hAnsi="Arial"/>
          <w:sz w:val="20"/>
          <w:szCs w:val="20"/>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  Notice</w:t>
      </w:r>
    </w:p>
    <w:p>
      <w:pPr>
        <w:spacing w:after="0" w:line="204" w:lineRule="exact"/>
        <w:rPr>
          <w:sz w:val="20"/>
          <w:szCs w:val="20"/>
          <w:color w:val="auto"/>
        </w:rPr>
      </w:pPr>
    </w:p>
    <w:p>
      <w:pPr>
        <w:jc w:val="both"/>
        <w:ind w:left="600"/>
        <w:spacing w:after="0" w:line="241" w:lineRule="auto"/>
        <w:rPr>
          <w:sz w:val="20"/>
          <w:szCs w:val="20"/>
          <w:color w:val="auto"/>
        </w:rPr>
      </w:pPr>
      <w:r>
        <w:rPr>
          <w:rFonts w:ascii="Arial" w:cs="Arial" w:eastAsia="Arial" w:hAnsi="Arial"/>
          <w:sz w:val="20"/>
          <w:szCs w:val="20"/>
          <w:color w:val="auto"/>
        </w:rPr>
        <w:t>Any notice required under this Agreement must be in writing and should specifically refer to this Agreement. Notices must be [***]. Notices will be sent to the other Party at the addresses set forth below. Either Party may change such addresses by sending notice to the other Party.</w:t>
      </w:r>
    </w:p>
    <w:p>
      <w:pPr>
        <w:spacing w:after="0" w:line="200" w:lineRule="exact"/>
        <w:rPr>
          <w:sz w:val="20"/>
          <w:szCs w:val="20"/>
          <w:color w:val="auto"/>
        </w:rPr>
      </w:pPr>
    </w:p>
    <w:p>
      <w:pPr>
        <w:spacing w:after="0" w:line="213" w:lineRule="exact"/>
        <w:rPr>
          <w:sz w:val="20"/>
          <w:szCs w:val="20"/>
          <w:color w:val="auto"/>
        </w:rPr>
      </w:pPr>
    </w:p>
    <w:tbl>
      <w:tblPr>
        <w:tblLayout w:type="fixed"/>
        <w:tblInd w:w="450" w:type="dxa"/>
        <w:tblCellMar>
          <w:top w:w="0" w:type="dxa"/>
          <w:left w:w="0" w:type="dxa"/>
          <w:bottom w:w="0" w:type="dxa"/>
          <w:right w:w="0" w:type="dxa"/>
        </w:tblCellMar>
      </w:tblPr>
      <w:tr>
        <w:trPr>
          <w:trHeight w:val="364"/>
        </w:trPr>
        <w:tc>
          <w:tcPr>
            <w:tcW w:w="4760" w:type="dxa"/>
            <w:vAlign w:val="bottom"/>
            <w:tcBorders>
              <w:top w:val="single" w:sz="8" w:color="auto"/>
              <w:left w:val="single" w:sz="8" w:color="auto"/>
              <w:right w:val="single" w:sz="8" w:color="auto"/>
            </w:tcBorders>
          </w:tcPr>
          <w:p>
            <w:pPr>
              <w:ind w:left="3420"/>
              <w:spacing w:after="0"/>
              <w:rPr>
                <w:sz w:val="20"/>
                <w:szCs w:val="20"/>
                <w:color w:val="auto"/>
              </w:rPr>
            </w:pPr>
            <w:r>
              <w:rPr>
                <w:rFonts w:ascii="Arial" w:cs="Arial" w:eastAsia="Arial" w:hAnsi="Arial"/>
                <w:sz w:val="20"/>
                <w:szCs w:val="20"/>
                <w:color w:val="auto"/>
              </w:rPr>
              <w:t>ROCHE</w:t>
            </w:r>
          </w:p>
        </w:tc>
        <w:tc>
          <w:tcPr>
            <w:tcW w:w="4900" w:type="dxa"/>
            <w:vAlign w:val="bottom"/>
            <w:tcBorders>
              <w:top w:val="single" w:sz="8" w:color="auto"/>
              <w:right w:val="single" w:sz="8" w:color="auto"/>
            </w:tcBorders>
          </w:tcPr>
          <w:p>
            <w:pPr>
              <w:ind w:left="3320"/>
              <w:spacing w:after="0"/>
              <w:rPr>
                <w:sz w:val="20"/>
                <w:szCs w:val="20"/>
                <w:color w:val="auto"/>
              </w:rPr>
            </w:pPr>
            <w:r>
              <w:rPr>
                <w:rFonts w:ascii="Arial" w:cs="Arial" w:eastAsia="Arial" w:hAnsi="Arial"/>
                <w:sz w:val="20"/>
                <w:szCs w:val="20"/>
                <w:color w:val="auto"/>
              </w:rPr>
              <w:t>COMPANY</w:t>
            </w:r>
          </w:p>
        </w:tc>
      </w:tr>
      <w:tr>
        <w:trPr>
          <w:trHeight w:val="311"/>
        </w:trPr>
        <w:tc>
          <w:tcPr>
            <w:tcW w:w="4760" w:type="dxa"/>
            <w:vAlign w:val="bottom"/>
            <w:tcBorders>
              <w:left w:val="single" w:sz="8" w:color="auto"/>
              <w:bottom w:val="single" w:sz="8" w:color="auto"/>
              <w:right w:val="single" w:sz="8" w:color="auto"/>
            </w:tcBorders>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r>
    </w:tbl>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51" w:name="page152"/>
    <w:bookmarkEnd w:id="151"/>
    <w:tbl>
      <w:tblPr>
        <w:tblLayout w:type="fixed"/>
        <w:tblInd w:w="390" w:type="dxa"/>
        <w:tblCellMar>
          <w:top w:w="0" w:type="dxa"/>
          <w:left w:w="0" w:type="dxa"/>
          <w:bottom w:w="0" w:type="dxa"/>
          <w:right w:w="0" w:type="dxa"/>
        </w:tblCellMar>
      </w:tblPr>
      <w:tr>
        <w:trPr>
          <w:trHeight w:val="281"/>
        </w:trPr>
        <w:tc>
          <w:tcPr>
            <w:tcW w:w="80" w:type="dxa"/>
            <w:vAlign w:val="bottom"/>
            <w:tcBorders>
              <w:right w:val="single" w:sz="8" w:color="auto"/>
            </w:tcBorders>
          </w:tcPr>
          <w:p>
            <w:pPr>
              <w:spacing w:after="0"/>
              <w:rPr>
                <w:sz w:val="24"/>
                <w:szCs w:val="24"/>
                <w:color w:val="auto"/>
              </w:rPr>
            </w:pPr>
          </w:p>
        </w:tc>
        <w:tc>
          <w:tcPr>
            <w:tcW w:w="4580" w:type="dxa"/>
            <w:vAlign w:val="bottom"/>
            <w:tcBorders>
              <w:top w:val="single" w:sz="8" w:color="auto"/>
            </w:tcBorders>
          </w:tcPr>
          <w:p>
            <w:pPr>
              <w:jc w:val="right"/>
              <w:ind w:right="4081"/>
              <w:spacing w:after="0"/>
              <w:rPr>
                <w:sz w:val="20"/>
                <w:szCs w:val="20"/>
                <w:color w:val="auto"/>
              </w:rPr>
            </w:pPr>
            <w:r>
              <w:rPr>
                <w:rFonts w:ascii="Arial" w:cs="Arial" w:eastAsia="Arial" w:hAnsi="Arial"/>
                <w:sz w:val="20"/>
                <w:szCs w:val="20"/>
                <w:color w:val="auto"/>
              </w:rPr>
              <w:t>[***]</w:t>
            </w:r>
          </w:p>
        </w:tc>
        <w:tc>
          <w:tcPr>
            <w:tcW w:w="160" w:type="dxa"/>
            <w:vAlign w:val="bottom"/>
            <w:tcBorders>
              <w:top w:val="single" w:sz="8" w:color="auto"/>
              <w:right w:val="single" w:sz="8" w:color="auto"/>
            </w:tcBorders>
          </w:tcPr>
          <w:p>
            <w:pPr>
              <w:spacing w:after="0"/>
              <w:rPr>
                <w:sz w:val="24"/>
                <w:szCs w:val="24"/>
                <w:color w:val="auto"/>
              </w:rPr>
            </w:pPr>
          </w:p>
        </w:tc>
        <w:tc>
          <w:tcPr>
            <w:tcW w:w="4620" w:type="dxa"/>
            <w:vAlign w:val="bottom"/>
            <w:tcBorders>
              <w:top w:val="single" w:sz="8" w:color="auto"/>
            </w:tcBorders>
          </w:tcPr>
          <w:p>
            <w:pPr>
              <w:jc w:val="right"/>
              <w:ind w:right="4121"/>
              <w:spacing w:after="0"/>
              <w:rPr>
                <w:sz w:val="20"/>
                <w:szCs w:val="20"/>
                <w:color w:val="auto"/>
              </w:rPr>
            </w:pPr>
            <w:r>
              <w:rPr>
                <w:rFonts w:ascii="Arial" w:cs="Arial" w:eastAsia="Arial" w:hAnsi="Arial"/>
                <w:sz w:val="20"/>
                <w:szCs w:val="20"/>
                <w:color w:val="auto"/>
              </w:rPr>
              <w:t>[***]</w:t>
            </w:r>
          </w:p>
        </w:tc>
        <w:tc>
          <w:tcPr>
            <w:tcW w:w="280" w:type="dxa"/>
            <w:vAlign w:val="bottom"/>
            <w:tcBorders>
              <w:top w:val="single" w:sz="8" w:color="auto"/>
              <w:right w:val="single" w:sz="8" w:color="auto"/>
            </w:tcBorders>
          </w:tcPr>
          <w:p>
            <w:pPr>
              <w:spacing w:after="0"/>
              <w:rPr>
                <w:sz w:val="24"/>
                <w:szCs w:val="24"/>
                <w:color w:val="auto"/>
              </w:rPr>
            </w:pPr>
          </w:p>
        </w:tc>
      </w:tr>
      <w:tr>
        <w:trPr>
          <w:trHeight w:val="1258"/>
        </w:trPr>
        <w:tc>
          <w:tcPr>
            <w:tcW w:w="80" w:type="dxa"/>
            <w:vAlign w:val="bottom"/>
            <w:tcBorders>
              <w:right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r>
      <w:tr>
        <w:trPr>
          <w:trHeight w:val="993"/>
        </w:trPr>
        <w:tc>
          <w:tcPr>
            <w:tcW w:w="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1546"/>
        </w:trPr>
        <w:tc>
          <w:tcPr>
            <w:tcW w:w="80" w:type="dxa"/>
            <w:vAlign w:val="bottom"/>
            <w:tcBorders>
              <w:left w:val="single" w:sz="8" w:color="auto"/>
              <w:bottom w:val="single" w:sz="8" w:color="auto"/>
            </w:tcBorders>
          </w:tcPr>
          <w:p>
            <w:pPr>
              <w:spacing w:after="0"/>
              <w:rPr>
                <w:sz w:val="24"/>
                <w:szCs w:val="24"/>
                <w:color w:val="auto"/>
              </w:rPr>
            </w:pPr>
          </w:p>
        </w:tc>
        <w:tc>
          <w:tcPr>
            <w:tcW w:w="458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20" w:type="dxa"/>
            <w:vAlign w:val="bottom"/>
            <w:tcBorders>
              <w:bottom w:val="single" w:sz="8" w:color="auto"/>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213"/>
        </w:trPr>
        <w:tc>
          <w:tcPr>
            <w:tcW w:w="80" w:type="dxa"/>
            <w:vAlign w:val="bottom"/>
            <w:tcBorders>
              <w:left w:val="single" w:sz="8" w:color="auto"/>
              <w:bottom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  Debarment</w:t>
      </w:r>
    </w:p>
    <w:p>
      <w:pPr>
        <w:spacing w:after="0" w:line="191" w:lineRule="exact"/>
        <w:rPr>
          <w:sz w:val="20"/>
          <w:szCs w:val="20"/>
          <w:color w:val="auto"/>
        </w:rPr>
      </w:pPr>
    </w:p>
    <w:p>
      <w:pPr>
        <w:jc w:val="both"/>
        <w:ind w:left="600" w:right="80"/>
        <w:spacing w:after="0" w:line="243" w:lineRule="auto"/>
        <w:rPr>
          <w:sz w:val="20"/>
          <w:szCs w:val="20"/>
          <w:color w:val="auto"/>
        </w:rPr>
      </w:pPr>
      <w:r>
        <w:rPr>
          <w:rFonts w:ascii="Arial" w:cs="Arial" w:eastAsia="Arial" w:hAnsi="Arial"/>
          <w:sz w:val="19"/>
          <w:szCs w:val="19"/>
          <w:color w:val="auto"/>
        </w:rPr>
        <w:t>Each Party hereby certifies that as of the Effective Date of this Agreement, it has not been, and its principals have not been, debarred under the provisions of the Generic Drug Enforcement Act of 1992, 21 U.S.C. §335a(a) and (b), or sanctioned by a Federal Health Care Program (as defined in 42 U.S.C. Sec. 1320 a-7b(f)), including, but not limited to, the federal Medicare or a state Medicaid program, or debarred, suspended, excluded or otherwise declared ineligible from any federal agency or program. In the event that during the term of this Agreement, a Party (a) becomes debarred, suspended, excluded, sanctioned, or otherwise declared ineligible; or is included in the US Department of Health and Human Services Office of Inspector General’s List of Excluded Individuals and Entities (“</w:t>
      </w:r>
      <w:r>
        <w:rPr>
          <w:rFonts w:ascii="Arial" w:cs="Arial" w:eastAsia="Arial" w:hAnsi="Arial"/>
          <w:sz w:val="19"/>
          <w:szCs w:val="19"/>
          <w:b w:val="1"/>
          <w:bCs w:val="1"/>
          <w:color w:val="auto"/>
        </w:rPr>
        <w:t>LEIE</w:t>
      </w:r>
      <w:r>
        <w:rPr>
          <w:rFonts w:ascii="Arial" w:cs="Arial" w:eastAsia="Arial" w:hAnsi="Arial"/>
          <w:sz w:val="19"/>
          <w:szCs w:val="19"/>
          <w:color w:val="auto"/>
        </w:rPr>
        <w:t>”), whether for mandatory or permissive exclusion reasons; or (b) receives notice of an action or threat of an action with respect to any such debarment, suspension, exclusion, sanction, or ineligibility, such Party shall immediately notify the other Party. [***].</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22.  Counterparts and Electronic Signatures</w:t>
      </w:r>
    </w:p>
    <w:p>
      <w:pPr>
        <w:spacing w:after="0" w:line="191" w:lineRule="exact"/>
        <w:rPr>
          <w:sz w:val="20"/>
          <w:szCs w:val="20"/>
          <w:color w:val="auto"/>
        </w:rPr>
      </w:pPr>
    </w:p>
    <w:p>
      <w:pPr>
        <w:jc w:val="both"/>
        <w:ind w:left="600" w:right="80"/>
        <w:spacing w:after="0" w:line="241" w:lineRule="auto"/>
        <w:rPr>
          <w:sz w:val="20"/>
          <w:szCs w:val="20"/>
          <w:color w:val="auto"/>
        </w:rPr>
      </w:pPr>
      <w:r>
        <w:rPr>
          <w:rFonts w:ascii="Arial" w:cs="Arial" w:eastAsia="Arial" w:hAnsi="Arial"/>
          <w:sz w:val="20"/>
          <w:szCs w:val="20"/>
          <w:color w:val="auto"/>
        </w:rPr>
        <w:t>This Agreement may be executed in counterparts, each of which shall be deemed an original, but all of which together shall constitute one and the same instrument. The Parties agree that execution of this Agreement by e-Signatures (as defined below) shall have the same legal force and effect as the exchange of original signatures.</w:t>
      </w:r>
    </w:p>
    <w:p>
      <w:pPr>
        <w:spacing w:after="0" w:line="171" w:lineRule="exact"/>
        <w:rPr>
          <w:sz w:val="20"/>
          <w:szCs w:val="20"/>
          <w:color w:val="auto"/>
        </w:rPr>
      </w:pPr>
    </w:p>
    <w:p>
      <w:pPr>
        <w:jc w:val="both"/>
        <w:ind w:left="600" w:right="80"/>
        <w:spacing w:after="0" w:line="257" w:lineRule="auto"/>
        <w:rPr>
          <w:sz w:val="20"/>
          <w:szCs w:val="20"/>
          <w:color w:val="auto"/>
        </w:rPr>
      </w:pPr>
      <w:r>
        <w:rPr>
          <w:rFonts w:ascii="Arial" w:cs="Arial" w:eastAsia="Arial" w:hAnsi="Arial"/>
          <w:sz w:val="20"/>
          <w:szCs w:val="20"/>
          <w:color w:val="auto"/>
        </w:rPr>
        <w:t>Pursuant to this Agreement, e-Signatures shall mean [***], that [***] the electronic signature can be [***] that it can be [***].</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  Governing Law and Jurisdiction; Injunctive Relief</w:t>
      </w:r>
    </w:p>
    <w:p>
      <w:pPr>
        <w:spacing w:after="0" w:line="162" w:lineRule="exact"/>
        <w:rPr>
          <w:sz w:val="20"/>
          <w:szCs w:val="20"/>
          <w:color w:val="auto"/>
        </w:rPr>
      </w:pPr>
    </w:p>
    <w:p>
      <w:pPr>
        <w:ind w:firstLine="674"/>
        <w:spacing w:after="0" w:line="259" w:lineRule="auto"/>
        <w:rPr>
          <w:sz w:val="20"/>
          <w:szCs w:val="20"/>
          <w:color w:val="auto"/>
        </w:rPr>
      </w:pPr>
      <w:r>
        <w:rPr>
          <w:rFonts w:ascii="Arial" w:cs="Arial" w:eastAsia="Arial" w:hAnsi="Arial"/>
          <w:sz w:val="20"/>
          <w:szCs w:val="20"/>
          <w:b w:val="1"/>
          <w:bCs w:val="1"/>
          <w:color w:val="auto"/>
        </w:rPr>
        <w:t xml:space="preserve">23.1 </w:t>
      </w:r>
      <w:r>
        <w:rPr>
          <w:rFonts w:ascii="Arial" w:cs="Arial" w:eastAsia="Arial" w:hAnsi="Arial"/>
          <w:sz w:val="20"/>
          <w:szCs w:val="20"/>
          <w:color w:val="auto"/>
        </w:rPr>
        <w:t>The validity, construction and performance of this Agreement will be governed in all respects by the laws of New</w:t>
      </w:r>
      <w:r>
        <w:rPr>
          <w:rFonts w:ascii="Arial" w:cs="Arial" w:eastAsia="Arial" w:hAnsi="Arial"/>
          <w:sz w:val="20"/>
          <w:szCs w:val="20"/>
          <w:b w:val="1"/>
          <w:bCs w:val="1"/>
          <w:color w:val="auto"/>
        </w:rPr>
        <w:t xml:space="preserve"> </w:t>
      </w:r>
      <w:r>
        <w:rPr>
          <w:rFonts w:ascii="Arial" w:cs="Arial" w:eastAsia="Arial" w:hAnsi="Arial"/>
          <w:sz w:val="20"/>
          <w:szCs w:val="20"/>
          <w:color w:val="auto"/>
        </w:rPr>
        <w:t>York State, without giving effect to any choice of laws principles.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52" w:name="page153"/>
    <w:bookmarkEnd w:id="152"/>
    <w:p>
      <w:pPr>
        <w:spacing w:after="0" w:line="148" w:lineRule="exact"/>
        <w:rPr>
          <w:sz w:val="20"/>
          <w:szCs w:val="20"/>
          <w:color w:val="auto"/>
        </w:rPr>
      </w:pPr>
    </w:p>
    <w:p>
      <w:pPr>
        <w:jc w:val="both"/>
        <w:ind w:firstLine="674"/>
        <w:spacing w:after="0" w:line="235" w:lineRule="auto"/>
        <w:rPr>
          <w:sz w:val="20"/>
          <w:szCs w:val="20"/>
          <w:color w:val="auto"/>
        </w:rPr>
      </w:pPr>
      <w:r>
        <w:rPr>
          <w:rFonts w:ascii="Arial" w:cs="Arial" w:eastAsia="Arial" w:hAnsi="Arial"/>
          <w:sz w:val="20"/>
          <w:szCs w:val="20"/>
          <w:b w:val="1"/>
          <w:bCs w:val="1"/>
          <w:color w:val="auto"/>
        </w:rPr>
        <w:t xml:space="preserve">23.2 </w:t>
      </w:r>
      <w:r>
        <w:rPr>
          <w:rFonts w:ascii="Arial" w:cs="Arial" w:eastAsia="Arial" w:hAnsi="Arial"/>
          <w:sz w:val="20"/>
          <w:szCs w:val="20"/>
          <w:color w:val="auto"/>
        </w:rPr>
        <w:t>The Parties shall attempt to settle all disputes arising out of or in connection with the present Agreement in an</w:t>
      </w:r>
      <w:r>
        <w:rPr>
          <w:rFonts w:ascii="Arial" w:cs="Arial" w:eastAsia="Arial" w:hAnsi="Arial"/>
          <w:sz w:val="20"/>
          <w:szCs w:val="20"/>
          <w:b w:val="1"/>
          <w:bCs w:val="1"/>
          <w:color w:val="auto"/>
        </w:rPr>
        <w:t xml:space="preserve"> </w:t>
      </w:r>
      <w:r>
        <w:rPr>
          <w:rFonts w:ascii="Arial" w:cs="Arial" w:eastAsia="Arial" w:hAnsi="Arial"/>
          <w:sz w:val="20"/>
          <w:szCs w:val="20"/>
          <w:color w:val="auto"/>
        </w:rPr>
        <w:t>amicable way. If any claim, dispute, or controversy of whatever nature arising out of or relating to this Agreement, including the performance or alleged non-performance of a Party of its obligations under this Agreement arises between the Parties (each a “</w:t>
      </w:r>
      <w:r>
        <w:rPr>
          <w:rFonts w:ascii="Arial" w:cs="Arial" w:eastAsia="Arial" w:hAnsi="Arial"/>
          <w:sz w:val="20"/>
          <w:szCs w:val="20"/>
          <w:b w:val="1"/>
          <w:bCs w:val="1"/>
          <w:color w:val="auto"/>
        </w:rPr>
        <w:t>Dispute</w:t>
      </w:r>
      <w:r>
        <w:rPr>
          <w:rFonts w:ascii="Arial" w:cs="Arial" w:eastAsia="Arial" w:hAnsi="Arial"/>
          <w:sz w:val="20"/>
          <w:szCs w:val="20"/>
          <w:color w:val="auto"/>
        </w:rPr>
        <w:t>”), a Party will[***]. If the Parties [***] within [***] days of receipt of the written notice by the other Party, such dispute will be referred to [***], who will [***] resolve the Dispute within [***] days after such referral. [***].</w:t>
      </w:r>
    </w:p>
    <w:p>
      <w:pPr>
        <w:spacing w:after="0" w:line="143" w:lineRule="exact"/>
        <w:rPr>
          <w:sz w:val="20"/>
          <w:szCs w:val="20"/>
          <w:color w:val="auto"/>
        </w:rPr>
      </w:pPr>
    </w:p>
    <w:p>
      <w:pPr>
        <w:jc w:val="both"/>
        <w:ind w:right="20" w:firstLine="674"/>
        <w:spacing w:after="0" w:line="259" w:lineRule="auto"/>
        <w:rPr>
          <w:sz w:val="20"/>
          <w:szCs w:val="20"/>
          <w:color w:val="auto"/>
        </w:rPr>
      </w:pPr>
      <w:r>
        <w:rPr>
          <w:rFonts w:ascii="Arial" w:cs="Arial" w:eastAsia="Arial" w:hAnsi="Arial"/>
          <w:sz w:val="20"/>
          <w:szCs w:val="20"/>
          <w:b w:val="1"/>
          <w:bCs w:val="1"/>
          <w:color w:val="auto"/>
        </w:rPr>
        <w:t xml:space="preserve">23.3 </w:t>
      </w:r>
      <w:r>
        <w:rPr>
          <w:rFonts w:ascii="Arial" w:cs="Arial" w:eastAsia="Arial" w:hAnsi="Arial"/>
          <w:sz w:val="20"/>
          <w:szCs w:val="20"/>
          <w:color w:val="auto"/>
        </w:rPr>
        <w:t>The operation of the United Nations Convention on the International Sale of Goods is excluded without regard to</w:t>
      </w:r>
      <w:r>
        <w:rPr>
          <w:rFonts w:ascii="Arial" w:cs="Arial" w:eastAsia="Arial" w:hAnsi="Arial"/>
          <w:sz w:val="20"/>
          <w:szCs w:val="20"/>
          <w:b w:val="1"/>
          <w:bCs w:val="1"/>
          <w:color w:val="auto"/>
        </w:rPr>
        <w:t xml:space="preserve"> </w:t>
      </w:r>
      <w:r>
        <w:rPr>
          <w:rFonts w:ascii="Arial" w:cs="Arial" w:eastAsia="Arial" w:hAnsi="Arial"/>
          <w:sz w:val="20"/>
          <w:szCs w:val="20"/>
          <w:color w:val="auto"/>
        </w:rPr>
        <w:t>conflict of laws principles (other than Section 5-1401 of the New York General Obligations Law).</w:t>
      </w:r>
    </w:p>
    <w:p>
      <w:pPr>
        <w:spacing w:after="0" w:line="111" w:lineRule="exact"/>
        <w:rPr>
          <w:sz w:val="20"/>
          <w:szCs w:val="20"/>
          <w:color w:val="auto"/>
        </w:rPr>
      </w:pPr>
    </w:p>
    <w:p>
      <w:pPr>
        <w:jc w:val="both"/>
        <w:ind w:firstLine="674"/>
        <w:spacing w:after="0" w:line="237" w:lineRule="auto"/>
        <w:rPr>
          <w:sz w:val="20"/>
          <w:szCs w:val="20"/>
          <w:color w:val="auto"/>
        </w:rPr>
      </w:pPr>
      <w:r>
        <w:rPr>
          <w:rFonts w:ascii="Arial" w:cs="Arial" w:eastAsia="Arial" w:hAnsi="Arial"/>
          <w:sz w:val="20"/>
          <w:szCs w:val="20"/>
          <w:b w:val="1"/>
          <w:bCs w:val="1"/>
          <w:color w:val="auto"/>
        </w:rPr>
        <w:t xml:space="preserve">23.4 </w:t>
      </w:r>
      <w:r>
        <w:rPr>
          <w:rFonts w:ascii="Arial" w:cs="Arial" w:eastAsia="Arial" w:hAnsi="Arial"/>
          <w:sz w:val="20"/>
          <w:szCs w:val="20"/>
          <w:color w:val="auto"/>
        </w:rPr>
        <w:t>Nothing in this Agreement shall preclude either Party from seeking equitable relief or interim or provisional relief</w:t>
      </w:r>
      <w:r>
        <w:rPr>
          <w:rFonts w:ascii="Arial" w:cs="Arial" w:eastAsia="Arial" w:hAnsi="Arial"/>
          <w:sz w:val="20"/>
          <w:szCs w:val="20"/>
          <w:b w:val="1"/>
          <w:bCs w:val="1"/>
          <w:color w:val="auto"/>
        </w:rPr>
        <w:t xml:space="preserve"> </w:t>
      </w:r>
      <w:r>
        <w:rPr>
          <w:rFonts w:ascii="Arial" w:cs="Arial" w:eastAsia="Arial" w:hAnsi="Arial"/>
          <w:sz w:val="20"/>
          <w:szCs w:val="20"/>
          <w:color w:val="auto"/>
        </w:rPr>
        <w:t>[***], including a temporary restraining order, preliminary injunction or other interim equitable relief, concerning a dispute either prior to or during litigation if necessary to protect the interests of such Party or to preserve the status quo pending the final dispute resolution.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[Remainder intentionally left blank. Signatures on the next page.]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respective representatives of the Parties have executed this Agreement as of the Effective Date.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Agreed by the Parties through their authorized representatives: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 Hoffmann-La Roche Ltd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Basel, </w:t>
      </w:r>
      <w:r>
        <w:rPr>
          <w:rFonts w:ascii="Arial" w:cs="Arial" w:eastAsia="Arial" w:hAnsi="Arial"/>
          <w:sz w:val="20"/>
          <w:szCs w:val="20"/>
          <w:u w:val="single" w:color="auto"/>
          <w:color w:val="auto"/>
        </w:rPr>
        <w:t>07-Oct-2024 | 09:11 PDT</w:t>
      </w:r>
      <w:r>
        <w:rPr>
          <w:rFonts w:ascii="Arial" w:cs="Arial" w:eastAsia="Arial" w:hAnsi="Arial"/>
          <w:sz w:val="20"/>
          <w:szCs w:val="20"/>
          <w:color w:val="auto"/>
        </w:rPr>
        <w:t xml:space="preserve"> (Date)</w:t>
      </w:r>
    </w:p>
    <w:p>
      <w:pPr>
        <w:spacing w:after="0" w:line="200" w:lineRule="exact"/>
        <w:rPr>
          <w:sz w:val="20"/>
          <w:szCs w:val="20"/>
          <w:color w:val="auto"/>
        </w:rPr>
      </w:pPr>
    </w:p>
    <w:p>
      <w:pPr>
        <w:spacing w:after="0" w:line="30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7"/>
              </w:rPr>
              <w:t>/s/[***]</w:t>
            </w:r>
          </w:p>
        </w:tc>
        <w:tc>
          <w:tcPr>
            <w:tcW w:w="25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7"/>
              </w:rPr>
              <w:t>/s/[***]</w:t>
            </w:r>
          </w:p>
        </w:tc>
      </w:tr>
      <w:tr>
        <w:trPr>
          <w:trHeight w:val="412"/>
        </w:trPr>
        <w:tc>
          <w:tcPr>
            <w:tcW w:w="340" w:type="dxa"/>
            <w:vAlign w:val="bottom"/>
          </w:tcPr>
          <w:p>
            <w:pPr>
              <w:spacing w:after="0"/>
              <w:rPr>
                <w:sz w:val="20"/>
                <w:szCs w:val="20"/>
                <w:color w:val="auto"/>
              </w:rPr>
            </w:pPr>
            <w:r>
              <w:rPr>
                <w:rFonts w:ascii="Arial" w:cs="Arial" w:eastAsia="Arial" w:hAnsi="Arial"/>
                <w:sz w:val="20"/>
                <w:szCs w:val="20"/>
                <w:color w:val="auto"/>
                <w:w w:val="92"/>
              </w:rPr>
              <w:t>[***]</w:t>
            </w: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100" w:type="dxa"/>
            <w:vAlign w:val="bottom"/>
            <w:gridSpan w:val="3"/>
          </w:tcPr>
          <w:p>
            <w:pPr>
              <w:ind w:left="2540"/>
              <w:spacing w:after="0"/>
              <w:rPr>
                <w:sz w:val="20"/>
                <w:szCs w:val="20"/>
                <w:color w:val="auto"/>
              </w:rPr>
            </w:pPr>
            <w:r>
              <w:rPr>
                <w:rFonts w:ascii="Arial" w:cs="Arial" w:eastAsia="Arial" w:hAnsi="Arial"/>
                <w:sz w:val="20"/>
                <w:szCs w:val="20"/>
                <w:color w:val="auto"/>
              </w:rPr>
              <w:t>[***]</w:t>
            </w:r>
          </w:p>
        </w:tc>
      </w:tr>
      <w:tr>
        <w:trPr>
          <w:trHeight w:val="196"/>
        </w:trPr>
        <w:tc>
          <w:tcPr>
            <w:tcW w:w="3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20"/>
                <w:szCs w:val="20"/>
                <w:color w:val="auto"/>
                <w:w w:val="92"/>
              </w:rPr>
              <w:t>[***]</w:t>
            </w:r>
          </w:p>
        </w:tc>
        <w:tc>
          <w:tcPr>
            <w:tcW w:w="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20"/>
                <w:szCs w:val="20"/>
                <w:color w:val="auto"/>
                <w:w w:val="92"/>
              </w:rPr>
              <w:t>[***]</w:t>
            </w:r>
          </w:p>
        </w:tc>
        <w:tc>
          <w:tcPr>
            <w:tcW w:w="2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Tempest Therapeutics, Inc.</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South San Francisco, </w:t>
      </w:r>
      <w:r>
        <w:rPr>
          <w:rFonts w:ascii="Arial" w:cs="Arial" w:eastAsia="Arial" w:hAnsi="Arial"/>
          <w:sz w:val="20"/>
          <w:szCs w:val="20"/>
          <w:u w:val="single" w:color="auto"/>
          <w:color w:val="auto"/>
        </w:rPr>
        <w:t>01-Oct-2024 | 07:56 PDT</w:t>
      </w:r>
      <w:r>
        <w:rPr>
          <w:rFonts w:ascii="Arial" w:cs="Arial" w:eastAsia="Arial" w:hAnsi="Arial"/>
          <w:sz w:val="20"/>
          <w:szCs w:val="20"/>
          <w:color w:val="auto"/>
        </w:rPr>
        <w:t xml:space="preserve"> (Date)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0"/>
        <w:spacing w:after="0"/>
        <w:rPr>
          <w:sz w:val="20"/>
          <w:szCs w:val="20"/>
          <w:color w:val="auto"/>
        </w:rPr>
      </w:pPr>
      <w:r>
        <w:rPr>
          <w:rFonts w:ascii="Arial" w:cs="Arial" w:eastAsia="Arial" w:hAnsi="Arial"/>
          <w:sz w:val="20"/>
          <w:szCs w:val="20"/>
          <w:u w:val="single" w:color="auto"/>
          <w:color w:val="auto"/>
        </w:rPr>
        <w:t>/s/[***]</w:t>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20"/>
          <w:szCs w:val="20"/>
          <w:u w:val="single" w:color="auto"/>
          <w:color w:val="auto"/>
        </w:rPr>
        <w:t>[***]</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20"/>
          <w:szCs w:val="20"/>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12" w:right="49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0"/>
          <w:szCs w:val="20"/>
          <w:color w:val="auto"/>
        </w:rPr>
        <w:t>Exhibit 10.33</w:t>
      </w:r>
    </w:p>
    <w:p>
      <w:pPr>
        <w:spacing w:after="0" w:line="200" w:lineRule="exact"/>
        <w:rPr>
          <w:sz w:val="20"/>
          <w:szCs w:val="20"/>
          <w:color w:val="auto"/>
        </w:rPr>
      </w:pPr>
    </w:p>
    <w:p>
      <w:pPr>
        <w:spacing w:after="0" w:line="20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empest</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2000 Sierra Point Parkway, Suite 400</w:t>
      </w:r>
    </w:p>
    <w:p>
      <w:pPr>
        <w:ind w:left="4380"/>
        <w:spacing w:after="0"/>
        <w:rPr>
          <w:sz w:val="20"/>
          <w:szCs w:val="20"/>
          <w:color w:val="auto"/>
        </w:rPr>
      </w:pPr>
      <w:r>
        <w:rPr>
          <w:rFonts w:ascii="Times New Roman" w:cs="Times New Roman" w:eastAsia="Times New Roman" w:hAnsi="Times New Roman"/>
          <w:sz w:val="22"/>
          <w:szCs w:val="22"/>
          <w:b w:val="1"/>
          <w:bCs w:val="1"/>
          <w:color w:val="auto"/>
        </w:rPr>
        <w:t>Brisbane, California 94005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January 1, 2025</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Nicholas Maestas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EXECUTIVE EMPLOYMENT AGREEMENT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Nic:</w:t>
      </w:r>
    </w:p>
    <w:p>
      <w:pPr>
        <w:spacing w:after="0" w:line="22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On behalf of Tempest Therapeutics, Inc. (“</w:t>
      </w:r>
      <w:r>
        <w:rPr>
          <w:rFonts w:ascii="Times New Roman" w:cs="Times New Roman" w:eastAsia="Times New Roman" w:hAnsi="Times New Roman"/>
          <w:sz w:val="22"/>
          <w:szCs w:val="22"/>
          <w:b w:val="1"/>
          <w:bCs w:val="1"/>
          <w:i w:val="1"/>
          <w:iCs w:val="1"/>
          <w:color w:val="auto"/>
        </w:rPr>
        <w:t>Tempest</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it is my pleasure to confirm the terms and conditions of your continued employment as Tempest’s Chief Financial Officer and Head of Corporate Strategy, reporting to the Company’s Chief Executive Officer (the “</w:t>
      </w:r>
      <w:r>
        <w:rPr>
          <w:rFonts w:ascii="Times New Roman" w:cs="Times New Roman" w:eastAsia="Times New Roman" w:hAnsi="Times New Roman"/>
          <w:sz w:val="22"/>
          <w:szCs w:val="22"/>
          <w:b w:val="1"/>
          <w:bCs w:val="1"/>
          <w:i w:val="1"/>
          <w:iCs w:val="1"/>
          <w:color w:val="auto"/>
        </w:rPr>
        <w:t>CEO</w:t>
      </w:r>
      <w:r>
        <w:rPr>
          <w:rFonts w:ascii="Times New Roman" w:cs="Times New Roman" w:eastAsia="Times New Roman" w:hAnsi="Times New Roman"/>
          <w:sz w:val="22"/>
          <w:szCs w:val="22"/>
          <w:color w:val="auto"/>
        </w:rPr>
        <w:t xml:space="preserve">”). During your employment with Tempest, you will devote substantially all of your professional efforts to the business of Tempest, except that you may engage in the business activities described on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of this employment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xml:space="preserve">”), and other activities that may be approved in advance by the Company’s Chief Executive Officer, with advice from the Board (which together with the activities set forth on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may include one for-profit board membership(s)), in each case, so long as these activities do not interfere or conflict with your obligations to the Company. Your employment under the terms of this Agreement shall continue until it terminates in accordance with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below.</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Agreement supersedes, amends and restates in all respects all prior agreements and understandings between you and the Company regarding the subject matter herein. The date on which you sign this Agreement is referred to herein as the “</w:t>
      </w:r>
      <w:r>
        <w:rPr>
          <w:rFonts w:ascii="Times New Roman" w:cs="Times New Roman" w:eastAsia="Times New Roman" w:hAnsi="Times New Roman"/>
          <w:sz w:val="22"/>
          <w:szCs w:val="22"/>
          <w:b w:val="1"/>
          <w:bCs w:val="1"/>
          <w:i w:val="1"/>
          <w:iCs w:val="1"/>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Date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Agreement is intended to summarize some of the terms and conditions of your employment.</w:t>
      </w:r>
    </w:p>
    <w:p>
      <w:pPr>
        <w:spacing w:after="0" w:line="206" w:lineRule="exact"/>
        <w:rPr>
          <w:sz w:val="20"/>
          <w:szCs w:val="20"/>
          <w:color w:val="auto"/>
        </w:rPr>
      </w:pPr>
    </w:p>
    <w:p>
      <w:pPr>
        <w:jc w:val="both"/>
        <w:ind w:firstLine="757"/>
        <w:spacing w:after="0" w:line="244" w:lineRule="auto"/>
        <w:tabs>
          <w:tab w:leader="none" w:pos="101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Location</w:t>
      </w:r>
      <w:r>
        <w:rPr>
          <w:rFonts w:ascii="Times New Roman" w:cs="Times New Roman" w:eastAsia="Times New Roman" w:hAnsi="Times New Roman"/>
          <w:sz w:val="22"/>
          <w:szCs w:val="22"/>
          <w:color w:val="auto"/>
        </w:rPr>
        <w:t>. Your place of employment will be at Tempest’s principal offices, currently located in Brisbane, California. You will be required to work from this location as reasonably determined by the Company in accordance with its “work from home,” and “work from office” policies, taking into account relevant factors of your responsibilities.</w:t>
      </w:r>
    </w:p>
    <w:p>
      <w:pPr>
        <w:spacing w:after="0" w:line="17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Base Salary</w:t>
      </w:r>
      <w:r>
        <w:rPr>
          <w:rFonts w:ascii="Times New Roman" w:cs="Times New Roman" w:eastAsia="Times New Roman" w:hAnsi="Times New Roman"/>
          <w:sz w:val="22"/>
          <w:szCs w:val="22"/>
          <w:color w:val="auto"/>
        </w:rPr>
        <w:t>. Your annualized base salary rate is $425,000, less standard deductions and withholding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payable bi-weekly in accordance with Tempest’s regular payroll practices. Your salary shall be reviewed annually and may be adjusted in connection with any such review.</w:t>
      </w:r>
    </w:p>
    <w:p>
      <w:pPr>
        <w:spacing w:after="0" w:line="167"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Bonus Program</w:t>
      </w:r>
      <w:r>
        <w:rPr>
          <w:rFonts w:ascii="Times New Roman" w:cs="Times New Roman" w:eastAsia="Times New Roman" w:hAnsi="Times New Roman"/>
          <w:sz w:val="22"/>
          <w:szCs w:val="22"/>
          <w:color w:val="auto"/>
        </w:rPr>
        <w:t>. You will be eligible for an annual target bonus of forty percent (40%) of your annual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base salary, as determined by the Board in its sole discretion based upon, among other things, the achievement of pre-determined performance milestones.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5" w:name="page156"/>
    <w:bookmarkEnd w:id="155"/>
    <w:p>
      <w:pPr>
        <w:spacing w:after="0" w:line="258" w:lineRule="auto"/>
        <w:rPr>
          <w:sz w:val="20"/>
          <w:szCs w:val="20"/>
          <w:color w:val="auto"/>
        </w:rPr>
      </w:pPr>
      <w:r>
        <w:rPr>
          <w:rFonts w:ascii="Times New Roman" w:cs="Times New Roman" w:eastAsia="Times New Roman" w:hAnsi="Times New Roman"/>
          <w:sz w:val="22"/>
          <w:szCs w:val="22"/>
          <w:color w:val="auto"/>
        </w:rPr>
        <w:t>annual bonus, if earned, shall be paid no later than March 15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of the year immediately following the year to which the applicable annual bonus relates.</w:t>
      </w:r>
    </w:p>
    <w:p>
      <w:pPr>
        <w:spacing w:after="0" w:line="154" w:lineRule="exact"/>
        <w:rPr>
          <w:sz w:val="20"/>
          <w:szCs w:val="20"/>
          <w:color w:val="auto"/>
        </w:rPr>
      </w:pPr>
    </w:p>
    <w:p>
      <w:pPr>
        <w:jc w:val="both"/>
        <w:ind w:firstLine="1505"/>
        <w:spacing w:after="0" w:line="235" w:lineRule="auto"/>
        <w:tabs>
          <w:tab w:leader="none" w:pos="203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Option Grants</w:t>
      </w:r>
      <w:r>
        <w:rPr>
          <w:rFonts w:ascii="Times New Roman" w:cs="Times New Roman" w:eastAsia="Times New Roman" w:hAnsi="Times New Roman"/>
          <w:sz w:val="22"/>
          <w:szCs w:val="22"/>
          <w:color w:val="auto"/>
        </w:rPr>
        <w:t>. As of the Effective Date, you acknowledge that you have been granted options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purchase shares of Tempest’s common stock (the “Option”), vesting in accordance with the terms of the grant agreements therefor, and otherwise in accordance with this Agreement. You also may be granted other stock options in the course of providing services to the Company (collectively with the Option, the “</w:t>
      </w:r>
      <w:r>
        <w:rPr>
          <w:rFonts w:ascii="Times New Roman" w:cs="Times New Roman" w:eastAsia="Times New Roman" w:hAnsi="Times New Roman"/>
          <w:sz w:val="22"/>
          <w:szCs w:val="22"/>
          <w:b w:val="1"/>
          <w:bCs w:val="1"/>
          <w:i w:val="1"/>
          <w:iCs w:val="1"/>
          <w:color w:val="auto"/>
        </w:rPr>
        <w:t>Stock Option Grants</w:t>
      </w:r>
      <w:r>
        <w:rPr>
          <w:rFonts w:ascii="Times New Roman" w:cs="Times New Roman" w:eastAsia="Times New Roman" w:hAnsi="Times New Roman"/>
          <w:sz w:val="22"/>
          <w:szCs w:val="22"/>
          <w:color w:val="auto"/>
        </w:rPr>
        <w:t>”). The Stock Option Grants are also subject to the terms of Tempest’s equity incentive arrangements, including its customary Incentive Stock Option (ISO) Grant Agreement. In the event that (i) the Company consummates a Change in Control (as defined below), and (ii) the Stock Option Grants are not otherwise vested, then one hundred percent (100%) of remaining shares subject to the Stock Option Grants shall vest in full on the date immediately prior to the effective date of the Change in Control, subject to your continuous employment through such vesting date.</w:t>
      </w:r>
    </w:p>
    <w:p>
      <w:pPr>
        <w:spacing w:after="0" w:line="173"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Withholding. </w:t>
      </w:r>
      <w:r>
        <w:rPr>
          <w:rFonts w:ascii="Times New Roman" w:cs="Times New Roman" w:eastAsia="Times New Roman" w:hAnsi="Times New Roman"/>
          <w:sz w:val="22"/>
          <w:szCs w:val="22"/>
          <w:color w:val="auto"/>
        </w:rPr>
        <w:t>Tempest shall withhold from any compensation or benefits payable to you by Tempest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federal, state and/or local income, employment and/or other similar taxes as may be required to be withheld pursuant to any applicable law or regulation.</w:t>
      </w:r>
    </w:p>
    <w:p>
      <w:pPr>
        <w:spacing w:after="0" w:line="171"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Other</w:t>
      </w:r>
      <w:r>
        <w:rPr>
          <w:rFonts w:ascii="Times New Roman" w:cs="Times New Roman" w:eastAsia="Times New Roman" w:hAnsi="Times New Roman"/>
          <w:sz w:val="22"/>
          <w:szCs w:val="22"/>
          <w:color w:val="auto"/>
        </w:rPr>
        <w:t>. You will be eligible to participate in the benefits to be offered by Tempest on the same terms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conditions as it will make such benefits available to employees in positions similar to your position. The benefits are currently expected to include health insurance and such other benefits provided by similar companies of a similar stage, as approved by the Board.</w:t>
      </w:r>
    </w:p>
    <w:p>
      <w:pPr>
        <w:spacing w:after="0" w:line="171"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Expenses</w:t>
      </w:r>
      <w:r>
        <w:rPr>
          <w:rFonts w:ascii="Times New Roman" w:cs="Times New Roman" w:eastAsia="Times New Roman" w:hAnsi="Times New Roman"/>
          <w:sz w:val="22"/>
          <w:szCs w:val="22"/>
          <w:color w:val="auto"/>
        </w:rPr>
        <w:t>. Tempest shall reimburse you for all reasonable expenses of the type authorized by Tempest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incurred by you in the performance of your duties under this Agreement, all in accordance with the Company’s reimbursement policies.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As is the case of all employee benefits, such benefits will be governed by the terms and conditions of applicable Tempest plans or policies, which are subject to change or discontinuation at any time.</w:t>
      </w:r>
    </w:p>
    <w:p>
      <w:pPr>
        <w:spacing w:after="0" w:line="158" w:lineRule="exact"/>
        <w:rPr>
          <w:sz w:val="20"/>
          <w:szCs w:val="20"/>
          <w:color w:val="auto"/>
        </w:rPr>
      </w:pPr>
    </w:p>
    <w:p>
      <w:pPr>
        <w:ind w:left="1020" w:hanging="263"/>
        <w:spacing w:after="0"/>
        <w:tabs>
          <w:tab w:leader="none" w:pos="102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 xml:space="preserve"> For purposes of this Agreement:</w:t>
      </w:r>
    </w:p>
    <w:p>
      <w:pPr>
        <w:spacing w:after="0" w:line="204" w:lineRule="exact"/>
        <w:rPr>
          <w:sz w:val="20"/>
          <w:szCs w:val="20"/>
          <w:color w:val="auto"/>
        </w:rPr>
      </w:pPr>
    </w:p>
    <w:p>
      <w:pPr>
        <w:jc w:val="both"/>
        <w:ind w:firstLine="2441"/>
        <w:spacing w:after="0" w:line="236"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b w:val="1"/>
          <w:bCs w:val="1"/>
          <w:i w:val="1"/>
          <w:iCs w:val="1"/>
          <w:color w:val="auto"/>
        </w:rPr>
        <w:t>Accrued Benefits</w:t>
      </w:r>
      <w:r>
        <w:rPr>
          <w:rFonts w:ascii="Times New Roman" w:cs="Times New Roman" w:eastAsia="Times New Roman" w:hAnsi="Times New Roman"/>
          <w:sz w:val="22"/>
          <w:szCs w:val="22"/>
          <w:color w:val="auto"/>
        </w:rPr>
        <w:t>” means: (i) any unpaid base salary for services rendered prior to the date of termination of employment; (ii) any earned but unpaid annual bonus for any completed fiscal year prior to the year in which termination of employment occurs; (iii) reimbursement of any unreimbursed business expenses incurred as of the date of termination of employment in accordance with Tempest’s reimbursement policy, (iv) accrued but unused vacation (if applicable), earned through the date of termination of employment; and (v) all other payments, benefits or fringe benefits to which you shall be entitled under the terms of any applicable compensation arrangement or benefit, equity or fringe benefit plan or program or grant with or by Tempest or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6" w:name="page157"/>
    <w:bookmarkEnd w:id="156"/>
    <w:p>
      <w:pPr>
        <w:jc w:val="both"/>
        <w:ind w:firstLine="2254"/>
        <w:spacing w:after="0" w:line="236" w:lineRule="auto"/>
        <w:tabs>
          <w:tab w:leader="none" w:pos="2546" w:val="left"/>
        </w:tabs>
        <w:numPr>
          <w:ilvl w:val="3"/>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means conduct involving one or more of the following by you: (i) failure to perform a substantial portion of your duties and responsibilities in accordance with the terms or requirements of this Agreement and your position, which failure continues for, or is not permanently cured within, a period of 30 days after written notice given to you by Tempest, except in the case of your physical or mental illness; (ii) disloyalty, gross negligence, willful misconduct, or dishonesty that materially injures Tempest or a breach of fiduciary duty to Tempest; (iii) the conviction of (x) a felony or (y) a misdemeanor involving moral turpitude, or fraud; (iv) the commission of an act of embezzlement or fraud; or (v) the material breach of any agreement between Tempest and you.</w:t>
      </w:r>
    </w:p>
    <w:p>
      <w:pPr>
        <w:spacing w:after="0" w:line="175"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3"/>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shall have the meaning set forth in the Company’s 2017 Equity Incentive</w:t>
      </w:r>
    </w:p>
    <w:p>
      <w:pPr>
        <w:spacing w:after="0" w:line="20"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w:t>
      </w:r>
    </w:p>
    <w:p>
      <w:pPr>
        <w:spacing w:after="0" w:line="176" w:lineRule="exact"/>
        <w:rPr>
          <w:rFonts w:ascii="Times New Roman" w:cs="Times New Roman" w:eastAsia="Times New Roman" w:hAnsi="Times New Roman"/>
          <w:sz w:val="22"/>
          <w:szCs w:val="22"/>
          <w:color w:val="auto"/>
        </w:rPr>
      </w:pPr>
    </w:p>
    <w:p>
      <w:pPr>
        <w:ind w:firstLine="2254"/>
        <w:spacing w:after="0" w:line="264" w:lineRule="auto"/>
        <w:tabs>
          <w:tab w:leader="none" w:pos="2546" w:val="left"/>
        </w:tabs>
        <w:numPr>
          <w:ilvl w:val="3"/>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 Period</w:t>
      </w:r>
      <w:r>
        <w:rPr>
          <w:rFonts w:ascii="Times New Roman" w:cs="Times New Roman" w:eastAsia="Times New Roman" w:hAnsi="Times New Roman"/>
          <w:sz w:val="22"/>
          <w:szCs w:val="22"/>
          <w:color w:val="auto"/>
        </w:rPr>
        <w:t>” means the three (3) month period prior to, and twelve (12) month period following, a Change in Control.</w:t>
      </w:r>
    </w:p>
    <w:p>
      <w:pPr>
        <w:spacing w:after="0" w:line="145" w:lineRule="exact"/>
        <w:rPr>
          <w:rFonts w:ascii="Times New Roman" w:cs="Times New Roman" w:eastAsia="Times New Roman" w:hAnsi="Times New Roman"/>
          <w:sz w:val="22"/>
          <w:szCs w:val="22"/>
          <w:color w:val="auto"/>
        </w:rPr>
      </w:pPr>
    </w:p>
    <w:p>
      <w:pPr>
        <w:jc w:val="both"/>
        <w:ind w:firstLine="2254"/>
        <w:spacing w:after="0" w:line="241" w:lineRule="auto"/>
        <w:tabs>
          <w:tab w:leader="none" w:pos="2546" w:val="left"/>
        </w:tabs>
        <w:numPr>
          <w:ilvl w:val="3"/>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means, without your express written consent, (i) any reduction in your annual base salary other than a reduction which is proportional to general reductions affecting other senior executive officers of Tempest generally, or (ii) any material reduction in your title or scope of responsibilities without your consent (other than your removal from the Board).</w:t>
      </w:r>
    </w:p>
    <w:p>
      <w:pPr>
        <w:spacing w:after="0" w:line="173"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Severance Benefits and Payment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2075"/>
        <w:spacing w:after="0" w:line="233" w:lineRule="auto"/>
        <w:tabs>
          <w:tab w:leader="none" w:pos="2546" w:val="left"/>
        </w:tabs>
        <w:numPr>
          <w:ilvl w:val="2"/>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If your employment with Tempest is terminated (x) by Tempest for any reason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than Cause, or (y) by you for Good Reason, Tempest will pay you (1) the Accrued Benefits; (2) subject to your compliance with </w:t>
      </w:r>
      <w:r>
        <w:rPr>
          <w:rFonts w:ascii="Times New Roman" w:cs="Times New Roman" w:eastAsia="Times New Roman" w:hAnsi="Times New Roman"/>
          <w:sz w:val="22"/>
          <w:szCs w:val="22"/>
          <w:u w:val="single" w:color="auto"/>
          <w:color w:val="auto"/>
        </w:rPr>
        <w:t>Section 4(c)</w:t>
      </w:r>
      <w:r>
        <w:rPr>
          <w:rFonts w:ascii="Times New Roman" w:cs="Times New Roman" w:eastAsia="Times New Roman" w:hAnsi="Times New Roman"/>
          <w:sz w:val="22"/>
          <w:szCs w:val="22"/>
          <w:color w:val="auto"/>
        </w:rPr>
        <w:t xml:space="preserve"> below, after the execution and delivery of the Separation Agreement and General Release in the form attached hereto as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Separation Agreement and General Release</w:t>
      </w:r>
      <w:r>
        <w:rPr>
          <w:rFonts w:ascii="Times New Roman" w:cs="Times New Roman" w:eastAsia="Times New Roman" w:hAnsi="Times New Roman"/>
          <w:sz w:val="22"/>
          <w:szCs w:val="22"/>
          <w:color w:val="auto"/>
        </w:rPr>
        <w:t>”) and the expiration of any revocation period without the release being revoked, nine (9) months’ base salary, plus a prorated portion of your bonus at target for the year of your termination, less standard deductions, payable in bi-weekly installments in accordance with the Company’s regular payroll policies; and (3) if you elect to continue your health insurance coverage pursuant to your rights under the Consolidated Omnibus Budget Reconciliation Act of 1985, as amended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following the termination of your employment, your monthly premium under COBRA on a monthly basis until the earlier of (x) nine (9) months following the effective termination date, or (y) the date upon which you commence full-time employment (or employment that provides you with eligibility for healthcare benefits substantially comparable to those provided by Tempest). A termination of your employment by Tempest due to physical or mental illness which is not a Disability (as defined herein) shall be treated as an involuntary termination other than for Cause. The term “</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shall mean that you have not been able to materially engage in your duties and responsibilities by reason of any medically determinable physical or mental impairment for a period of not less than 120 consecutive days or not less than 180 days during any one-year period.</w:t>
      </w:r>
    </w:p>
    <w:p>
      <w:pPr>
        <w:spacing w:after="0" w:line="177" w:lineRule="exact"/>
        <w:rPr>
          <w:rFonts w:ascii="Times New Roman" w:cs="Times New Roman" w:eastAsia="Times New Roman" w:hAnsi="Times New Roman"/>
          <w:sz w:val="22"/>
          <w:szCs w:val="22"/>
          <w:color w:val="auto"/>
        </w:rPr>
      </w:pPr>
    </w:p>
    <w:p>
      <w:pPr>
        <w:ind w:left="2560" w:hanging="485"/>
        <w:spacing w:after="0"/>
        <w:tabs>
          <w:tab w:leader="none" w:pos="2560" w:val="left"/>
        </w:tabs>
        <w:numPr>
          <w:ilvl w:val="2"/>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 connection with the Change in Control Period. </w:t>
      </w:r>
      <w:r>
        <w:rPr>
          <w:rFonts w:ascii="Times New Roman" w:cs="Times New Roman" w:eastAsia="Times New Roman" w:hAnsi="Times New Roman"/>
          <w:sz w:val="22"/>
          <w:szCs w:val="22"/>
          <w:color w:val="auto"/>
        </w:rPr>
        <w:t>If your employment with Tempest is terminated</w:t>
      </w:r>
    </w:p>
    <w:p>
      <w:pPr>
        <w:spacing w:after="0" w:line="18" w:lineRule="exact"/>
        <w:rPr>
          <w:rFonts w:ascii="Times New Roman" w:cs="Times New Roman" w:eastAsia="Times New Roman" w:hAnsi="Times New Roman"/>
          <w:sz w:val="22"/>
          <w:szCs w:val="22"/>
          <w:color w:val="auto"/>
        </w:rPr>
      </w:pPr>
    </w:p>
    <w:p>
      <w:pPr>
        <w:ind w:firstLine="8"/>
        <w:spacing w:after="0" w:line="237" w:lineRule="auto"/>
        <w:tabs>
          <w:tab w:leader="none" w:pos="31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Tempest for any reason other than Cause, or (y) by you for Good Reason during the Change in Control Period, Tempest will pay you (1) the Accrued Benefits;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57" w:name="page158"/>
    <w:bookmarkEnd w:id="157"/>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subject to your compliance with </w:t>
      </w:r>
      <w:r>
        <w:rPr>
          <w:rFonts w:ascii="Times New Roman" w:cs="Times New Roman" w:eastAsia="Times New Roman" w:hAnsi="Times New Roman"/>
          <w:sz w:val="22"/>
          <w:szCs w:val="22"/>
          <w:u w:val="single" w:color="auto"/>
          <w:color w:val="auto"/>
        </w:rPr>
        <w:t>Section 4(c)</w:t>
      </w:r>
      <w:r>
        <w:rPr>
          <w:rFonts w:ascii="Times New Roman" w:cs="Times New Roman" w:eastAsia="Times New Roman" w:hAnsi="Times New Roman"/>
          <w:sz w:val="22"/>
          <w:szCs w:val="22"/>
          <w:color w:val="auto"/>
        </w:rPr>
        <w:t xml:space="preserve"> below, after the execution and delivery of the Separation Agreement and General Release and the expiration of any revocation period without the release being revoked, twelve (12) months’ base salary plus your annual bonus at one hundred percent (100%) of target, less standard deductions, payable in a single lump sum on the 60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day following the termination of your employment; and (3) if you elect to continue your health insurance coverage pursuant to your rights under COBRA following the termination of your employment, your monthly premium under COBRA on a monthly basis until the earlier of (x) twelve (12) months following the effective termination date, or (y) the date upon which you commence full-time employment (or employment that provides you with eligibility for healthcare benefits substantially comparable to those provided by Tempest). A termination of your employment by Tempest due to physical or mental illness which is not a Disability shall be treated as an involuntary termination other than for Cause.</w:t>
      </w:r>
    </w:p>
    <w:p>
      <w:pPr>
        <w:spacing w:after="0" w:line="179" w:lineRule="exact"/>
        <w:rPr>
          <w:sz w:val="20"/>
          <w:szCs w:val="20"/>
          <w:color w:val="auto"/>
        </w:rPr>
      </w:pPr>
    </w:p>
    <w:p>
      <w:pPr>
        <w:jc w:val="both"/>
        <w:ind w:firstLine="1505"/>
        <w:spacing w:after="0" w:line="237" w:lineRule="auto"/>
        <w:tabs>
          <w:tab w:leader="none" w:pos="2036"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Eligibility for Severance</w:t>
      </w:r>
      <w:r>
        <w:rPr>
          <w:rFonts w:ascii="Times New Roman" w:cs="Times New Roman" w:eastAsia="Times New Roman" w:hAnsi="Times New Roman"/>
          <w:sz w:val="22"/>
          <w:szCs w:val="22"/>
          <w:color w:val="auto"/>
        </w:rPr>
        <w:t>. Eligibility for receipt of the items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above, shall be conditioned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your (i) returning to Tempest promptly upon termination of your employment all of its property, including confidential information and all electronically stored information, and (ii) signing and not revoking the Separation Agreement and General Release within the applicable deadline set forth therein, but in no event later than forty-five (45) calendar days following your employment termination date. No benefits set forth in Section 4(b) above will be paid or provided hereunder prior to the effective date of the Separation Agreement and General Release (other than any Accrued Benefits required to be paid).</w:t>
      </w:r>
    </w:p>
    <w:p>
      <w:pPr>
        <w:spacing w:after="0" w:line="175" w:lineRule="exact"/>
        <w:rPr>
          <w:rFonts w:ascii="Times New Roman" w:cs="Times New Roman" w:eastAsia="Times New Roman" w:hAnsi="Times New Roman"/>
          <w:sz w:val="22"/>
          <w:szCs w:val="22"/>
          <w:color w:val="auto"/>
        </w:rPr>
      </w:pPr>
    </w:p>
    <w:p>
      <w:pPr>
        <w:ind w:right="20" w:firstLine="1505"/>
        <w:spacing w:after="0" w:line="262" w:lineRule="auto"/>
        <w:tabs>
          <w:tab w:leader="none" w:pos="2036"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Accrued Benefits</w:t>
      </w:r>
      <w:r>
        <w:rPr>
          <w:rFonts w:ascii="Times New Roman" w:cs="Times New Roman" w:eastAsia="Times New Roman" w:hAnsi="Times New Roman"/>
          <w:sz w:val="22"/>
          <w:szCs w:val="22"/>
          <w:color w:val="auto"/>
        </w:rPr>
        <w:t>. The Accrued Benefits shall be paid to you (or your estate in the event of your death)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upon termination of employment regardless of the circumstances giving rise to such termination.</w:t>
      </w:r>
    </w:p>
    <w:p>
      <w:pPr>
        <w:spacing w:after="0" w:line="153"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xml:space="preserve">. Your employment with Tempest is at will, meaning it may be terminated by you or Tempest at any time, subject to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above, for any reason with or without Cause. You understand that this Agreement is not a contract for employment for a definite term.</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01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and Proprietary Rights Agreement</w:t>
      </w:r>
      <w:r>
        <w:rPr>
          <w:rFonts w:ascii="Times New Roman" w:cs="Times New Roman" w:eastAsia="Times New Roman" w:hAnsi="Times New Roman"/>
          <w:sz w:val="22"/>
          <w:szCs w:val="22"/>
          <w:color w:val="auto"/>
        </w:rPr>
        <w:t xml:space="preserve">. This offer of employment is subject to the Confidentiality and Proprietary Rights Agreement attached as </w:t>
      </w:r>
      <w:r>
        <w:rPr>
          <w:rFonts w:ascii="Times New Roman" w:cs="Times New Roman" w:eastAsia="Times New Roman" w:hAnsi="Times New Roman"/>
          <w:sz w:val="22"/>
          <w:szCs w:val="22"/>
          <w:u w:val="single" w:color="auto"/>
          <w:color w:val="auto"/>
        </w:rPr>
        <w:t>Appendix C</w:t>
      </w:r>
      <w:r>
        <w:rPr>
          <w:rFonts w:ascii="Times New Roman" w:cs="Times New Roman" w:eastAsia="Times New Roman" w:hAnsi="Times New Roman"/>
          <w:sz w:val="22"/>
          <w:szCs w:val="22"/>
          <w:color w:val="auto"/>
        </w:rPr>
        <w:t>, which shall be effective as of the date set forth therein.</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Inconsistent Obligations</w:t>
      </w:r>
      <w:r>
        <w:rPr>
          <w:rFonts w:ascii="Times New Roman" w:cs="Times New Roman" w:eastAsia="Times New Roman" w:hAnsi="Times New Roman"/>
          <w:sz w:val="22"/>
          <w:szCs w:val="22"/>
          <w:color w:val="auto"/>
        </w:rPr>
        <w:t>. By accepting this offer of employment, you represent and warrant to Tempest that you are under no obligations or commitments, whether contractual or otherwise, that are inconsistent with your obligations set forth in this Agreement or that would be violated by your employment by Tempest. You agree that you will not take any action on behalf of Tempest or cause Tempest to take any action that will violate any agreement that you have with a prior employer.</w:t>
      </w:r>
    </w:p>
    <w:p>
      <w:pPr>
        <w:spacing w:after="0" w:line="180"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Delayed Commencement Date for Payments and Benefits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intent of the parties hereto is that payments and benefits under this Agreement comply with, or be exempt from, Section 409A of the Internal Revenue Code of 1986, as amended, and the regulations and guidance promulgated thereunder (collectively “</w:t>
      </w:r>
      <w:r>
        <w:rPr>
          <w:rFonts w:ascii="Times New Roman" w:cs="Times New Roman" w:eastAsia="Times New Roman" w:hAnsi="Times New Roman"/>
          <w:sz w:val="22"/>
          <w:szCs w:val="22"/>
          <w:b w:val="1"/>
          <w:bCs w:val="1"/>
          <w:i w:val="1"/>
          <w:iCs w:val="1"/>
          <w:color w:val="auto"/>
        </w:rPr>
        <w:t>Code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8" w:name="page159"/>
    <w:bookmarkEnd w:id="158"/>
    <w:p>
      <w:pPr>
        <w:jc w:val="both"/>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409A</w:t>
      </w:r>
      <w:r>
        <w:rPr>
          <w:rFonts w:ascii="Times New Roman" w:cs="Times New Roman" w:eastAsia="Times New Roman" w:hAnsi="Times New Roman"/>
          <w:sz w:val="22"/>
          <w:szCs w:val="22"/>
          <w:color w:val="auto"/>
        </w:rPr>
        <w:t>”) and, accordingly, to the maximum extent permitted, this Agreement shall be interpreted to be in compliance therewith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exempt therefrom. If you notify Tempest (with specificity as to the reason therefor) that you believe that any provision of this Agreement (or of any award of compensation, including equity compensation or benefits) would cause you to incur any additional tax or interest under Code Section 409A and Tempest concurs with such belief or Tempest independently makes such determination, Tempest shall, after consulting with you, reform such provision to try to comply with Code Section 409A through good faith modifications to the minimum extent reasonably appropriate to conform with Code Section 409A. To the extent that any provision hereof is modified in order to comply with Code Section 409A, such modification shall be made in good faith and shall, to the maximum extent reasonably possible, maintain the original intent and economic benefit to you and Tempest of the applicable provision without violating the provisions of Code Section 409A.</w:t>
      </w:r>
    </w:p>
    <w:p>
      <w:pPr>
        <w:spacing w:after="0" w:line="180" w:lineRule="exact"/>
        <w:rPr>
          <w:sz w:val="20"/>
          <w:szCs w:val="20"/>
          <w:color w:val="auto"/>
        </w:rPr>
      </w:pPr>
    </w:p>
    <w:p>
      <w:pPr>
        <w:jc w:val="both"/>
        <w:ind w:firstLine="1505"/>
        <w:spacing w:after="0" w:line="232" w:lineRule="auto"/>
        <w:tabs>
          <w:tab w:leader="none" w:pos="2036"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A termination of employment shall not be deemed to have occurred for purposes of any provision of this Agreement providing for the payment of any amounts or benefits upon or following a termination of employment that are considered “nonqualified deferred compensation” under Code Section 409A unless such termination is also a “separation from service” within the meaning of Code Section 409A and, for purposes of any such provision of this Agreement, references to a “termination,” “termination of employment” or like terms shall mean “separation from service.” Notwithstanding any provision to the contrary in this Agreement, no payments or benefits that are considered “nonqualified deferred compensation” under Code Section 409A to which you otherwise become entitled under this Agreement in connection with your termination of employment, shall be made or provided to you prior to the earlier of (i) the expiration of the 6 month period measured from the date of your “separation from service” with Tempest (as such term is defined in Code Section 409A) or (ii) the date of your death, if you are deemed at the time of such separation from service to be a “specified employee” under Code Section 409A and if, in the absence of such delay, the payments would be subject to additional tax under Code Section 409A. Upon the expiration of the applicable Code Section 409A(a)(2) deferral period, all payments and benefits deferred pursuant to this </w:t>
      </w:r>
      <w:r>
        <w:rPr>
          <w:rFonts w:ascii="Times New Roman" w:cs="Times New Roman" w:eastAsia="Times New Roman" w:hAnsi="Times New Roman"/>
          <w:sz w:val="22"/>
          <w:szCs w:val="22"/>
          <w:u w:val="single" w:color="auto"/>
          <w:color w:val="auto"/>
        </w:rPr>
        <w:t>Section 8(b)</w:t>
      </w:r>
      <w:r>
        <w:rPr>
          <w:rFonts w:ascii="Times New Roman" w:cs="Times New Roman" w:eastAsia="Times New Roman" w:hAnsi="Times New Roman"/>
          <w:sz w:val="22"/>
          <w:szCs w:val="22"/>
          <w:color w:val="auto"/>
        </w:rPr>
        <w:t xml:space="preserve"> (whether they would have otherwise been payable in a single sum or in installments in the absence of such deferral) shall be paid or reimbursed to you in a lump sum, and any remaining payments and benefits due under this Agreement shall be paid or provided in accordance with the normal payment dates specified for them herein. In addition to the above, to the extent required to comply with Code Section 409A and the applicable regulations and guidance issued thereunder, if the applicable deadline for you to execute (and not revoke) the applicable Separation Agreement and General Release spans two calendar years, your severance benefits set forth in Section 4(b) above shall commence to be paid on the first regularly scheduled payroll date that occurs in the second calendar year.</w:t>
      </w:r>
    </w:p>
    <w:p>
      <w:pPr>
        <w:spacing w:after="0" w:line="186" w:lineRule="exact"/>
        <w:rPr>
          <w:rFonts w:ascii="Times New Roman" w:cs="Times New Roman" w:eastAsia="Times New Roman" w:hAnsi="Times New Roman"/>
          <w:sz w:val="21"/>
          <w:szCs w:val="21"/>
          <w:color w:val="auto"/>
        </w:rPr>
      </w:pPr>
    </w:p>
    <w:p>
      <w:pPr>
        <w:ind w:left="2040" w:hanging="535"/>
        <w:spacing w:after="0"/>
        <w:tabs>
          <w:tab w:leader="none" w:pos="204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For purposes of Code Section 409A, your right to receive any installment</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payment pursuant to this Agreement shall be treated as a right to receive a series of separate and distinct payments. Whenever a payment under this Agreement specifies a payment period with reference to a number of days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“payment shall be made within 30 days following the date of termination”), the actual date of payment within the specified period shall be within the sole discretion of Tempest. Notwithstanding any other provision of this Agreement to the contrary, in no event shall any payment under this Agreement that constitutes “nonqualified deferred compensation” for purposes of Code Section 409A be subject to offset, counterclaim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2"/>
          <w:szCs w:val="22"/>
          <w:color w:val="auto"/>
        </w:rPr>
        <w:t>recoupment by any other amount payable to you unless otherwise permitted by Code Section 409A.</w:t>
      </w:r>
    </w:p>
    <w:p>
      <w:pPr>
        <w:spacing w:after="0" w:line="206" w:lineRule="exact"/>
        <w:rPr>
          <w:sz w:val="20"/>
          <w:szCs w:val="20"/>
          <w:color w:val="auto"/>
        </w:rPr>
      </w:pPr>
    </w:p>
    <w:p>
      <w:pPr>
        <w:jc w:val="both"/>
        <w:ind w:firstLine="1505"/>
        <w:spacing w:after="0" w:line="249" w:lineRule="auto"/>
        <w:tabs>
          <w:tab w:leader="none" w:pos="2036"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All in-kind benefits provided and expenses eligible for reimbursement under this Agreement shall be provided by Tempest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pacing w:after="0" w:line="170" w:lineRule="exact"/>
        <w:rPr>
          <w:rFonts w:ascii="Times New Roman" w:cs="Times New Roman" w:eastAsia="Times New Roman" w:hAnsi="Times New Roman"/>
          <w:sz w:val="20"/>
          <w:szCs w:val="20"/>
          <w:color w:val="auto"/>
        </w:rPr>
      </w:pPr>
    </w:p>
    <w:p>
      <w:pPr>
        <w:ind w:firstLine="1505"/>
        <w:spacing w:after="0" w:line="258" w:lineRule="auto"/>
        <w:tabs>
          <w:tab w:leader="none" w:pos="2036"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If under this Agreement an amount is to be paid in installments, each installment shall be treated as a separate payment for purposes of Treasury Regulation Section 1.409A-2(b)(2)(iii).</w:t>
      </w:r>
    </w:p>
    <w:p>
      <w:pPr>
        <w:spacing w:after="0" w:line="154" w:lineRule="exact"/>
        <w:rPr>
          <w:rFonts w:ascii="Times New Roman" w:cs="Times New Roman" w:eastAsia="Times New Roman" w:hAnsi="Times New Roman"/>
          <w:sz w:val="21"/>
          <w:szCs w:val="21"/>
          <w:color w:val="auto"/>
        </w:rPr>
      </w:pPr>
    </w:p>
    <w:p>
      <w:pPr>
        <w:jc w:val="both"/>
        <w:ind w:firstLine="757"/>
        <w:spacing w:after="0" w:line="232" w:lineRule="auto"/>
        <w:tabs>
          <w:tab w:leader="none" w:pos="118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280G</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In the event that the amount of any compensation, payment or distribution by Tempest or its affiliates to or for your benefit, whether paid or payable or distributed or distributable pursuant to the terms of this Agreement or otherwise, calculated in a manner consistent with Section 280G of the Code and the applicable regulations thereunder (the “</w:t>
      </w:r>
      <w:r>
        <w:rPr>
          <w:rFonts w:ascii="Times New Roman" w:cs="Times New Roman" w:eastAsia="Times New Roman" w:hAnsi="Times New Roman"/>
          <w:sz w:val="22"/>
          <w:szCs w:val="22"/>
          <w:b w:val="1"/>
          <w:bCs w:val="1"/>
          <w:i w:val="1"/>
          <w:iCs w:val="1"/>
          <w:color w:val="auto"/>
        </w:rPr>
        <w:t>Aggregate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Payments</w:t>
      </w:r>
      <w:r>
        <w:rPr>
          <w:rFonts w:ascii="Times New Roman" w:cs="Times New Roman" w:eastAsia="Times New Roman" w:hAnsi="Times New Roman"/>
          <w:sz w:val="22"/>
          <w:szCs w:val="22"/>
          <w:color w:val="auto"/>
        </w:rPr>
        <w:t>”) would be subject to the excise tax imposed by Section 4999 of the Code, then the Aggregate Payments shall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reduced (but not below zero) so that the sum of all of the Aggregate Payments shall be $1.00 less than the amount at which you become subject to the excise tax imposed by Section 4999 of the Code; provided that such reduction shall only occur if it would result in you receiving a higher After Tax Amount (as defined below) than you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(i) cash payments not subject to Section 409A of the Code; (ii) cash payments subject to Section 409A of the Code; (iii) equity-based payments and acceleration; and (iv) non-cash forms of benefits; provided that in the case of all the foregoing Aggregate Payments all amounts or payments that are not subject to calculation under Treas. Reg. § 1.280G-1, Q&amp;A-24(b) or (c) shall be reduced before any amounts that are subject to calculation under Treasury Regulation §1.280G-1, Q&amp;A- 24(b) or (c). For purposes of this Section 9, the “</w:t>
      </w:r>
      <w:r>
        <w:rPr>
          <w:rFonts w:ascii="Times New Roman" w:cs="Times New Roman" w:eastAsia="Times New Roman" w:hAnsi="Times New Roman"/>
          <w:sz w:val="22"/>
          <w:szCs w:val="22"/>
          <w:b w:val="1"/>
          <w:bCs w:val="1"/>
          <w:i w:val="1"/>
          <w:iCs w:val="1"/>
          <w:color w:val="auto"/>
        </w:rPr>
        <w:t>After Tax Amount</w:t>
      </w:r>
      <w:r>
        <w:rPr>
          <w:rFonts w:ascii="Times New Roman" w:cs="Times New Roman" w:eastAsia="Times New Roman" w:hAnsi="Times New Roman"/>
          <w:sz w:val="22"/>
          <w:szCs w:val="22"/>
          <w:color w:val="auto"/>
        </w:rPr>
        <w:t>” means the amount of the Aggregate Payments less all federal, state, and local income, excise and employment taxes imposed on you as a result of your receipt of the Aggregate Payments. For purposes of determining the After Tax Amount, you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The determination as to whether a reduction in the Aggregate Payments shall be made pursuant to this Section 9 shall be made by a nationally recognized accounting firm or a firm specializing in Section 280G calculations selected by Tempest, which shall provide detailed supporting calculations both to Tempest and you. The costs of obtaining such determination and all related fees and expenses (including related fees and expenses incurred in any later audit) shall be borne by Tempest. Notwithstanding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0" w:name="page161"/>
    <w:bookmarkEnd w:id="160"/>
    <w:p>
      <w:pPr>
        <w:jc w:val="both"/>
        <w:spacing w:after="0" w:line="236" w:lineRule="auto"/>
        <w:rPr>
          <w:sz w:val="20"/>
          <w:szCs w:val="20"/>
          <w:color w:val="auto"/>
        </w:rPr>
      </w:pPr>
      <w:r>
        <w:rPr>
          <w:rFonts w:ascii="Times New Roman" w:cs="Times New Roman" w:eastAsia="Times New Roman" w:hAnsi="Times New Roman"/>
          <w:sz w:val="22"/>
          <w:szCs w:val="22"/>
          <w:color w:val="auto"/>
        </w:rPr>
        <w:t>if (i) Tempest is not publicly traded prior to the occurrence of a change in control such that the private company exception pursuant to Q &amp; A #7 of the regulations promulgated under Section 280G of the Code is applicable and (ii) you request that Tempest seek shareholder approval of the portion of any payments to be made to you which are parachute payments under Section 280G and exceed 2.99 times your “base amount” (as such term is defined in Section 280G) in order that, upon obtaining such approval, all of the payments will be exempt from the excise taxes imposed under Sections 280G and 4999 of the Code, Tempest shall use its reasonable best efforts to obtain such approval.</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40" w:hanging="535"/>
        <w:spacing w:after="0"/>
        <w:tabs>
          <w:tab w:leader="none" w:pos="204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This offer of employment is made subject to you having the legal right to work in the United States.</w:t>
      </w:r>
    </w:p>
    <w:p>
      <w:pPr>
        <w:spacing w:after="0" w:line="206" w:lineRule="exact"/>
        <w:rPr>
          <w:rFonts w:ascii="Times New Roman" w:cs="Times New Roman" w:eastAsia="Times New Roman" w:hAnsi="Times New Roman"/>
          <w:sz w:val="21"/>
          <w:szCs w:val="21"/>
          <w:color w:val="auto"/>
        </w:rPr>
      </w:pPr>
    </w:p>
    <w:p>
      <w:pPr>
        <w:ind w:firstLine="1505"/>
        <w:spacing w:after="0" w:line="258" w:lineRule="auto"/>
        <w:tabs>
          <w:tab w:leader="none" w:pos="2036"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Your employment with Tempest is subject to all Company policies and procedures, and Tempest retains the right to change its policies or procedures at any time.</w:t>
      </w:r>
    </w:p>
    <w:p>
      <w:pPr>
        <w:spacing w:after="0" w:line="158" w:lineRule="exact"/>
        <w:rPr>
          <w:rFonts w:ascii="Times New Roman" w:cs="Times New Roman" w:eastAsia="Times New Roman" w:hAnsi="Times New Roman"/>
          <w:sz w:val="21"/>
          <w:szCs w:val="21"/>
          <w:color w:val="auto"/>
        </w:rPr>
      </w:pPr>
    </w:p>
    <w:p>
      <w:pPr>
        <w:ind w:firstLine="1505"/>
        <w:spacing w:after="0" w:line="258" w:lineRule="auto"/>
        <w:tabs>
          <w:tab w:leader="none" w:pos="2036"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This Agreement may be executed in several counterparts, each of which shall be deemed to be an original but all of which together will constitute one and the same instrument.</w:t>
      </w:r>
    </w:p>
    <w:p>
      <w:pPr>
        <w:spacing w:after="0" w:line="158" w:lineRule="exact"/>
        <w:rPr>
          <w:rFonts w:ascii="Times New Roman" w:cs="Times New Roman" w:eastAsia="Times New Roman" w:hAnsi="Times New Roman"/>
          <w:sz w:val="21"/>
          <w:szCs w:val="21"/>
          <w:color w:val="auto"/>
        </w:rPr>
      </w:pPr>
    </w:p>
    <w:p>
      <w:pPr>
        <w:jc w:val="both"/>
        <w:ind w:firstLine="1505"/>
        <w:spacing w:after="0" w:line="238" w:lineRule="auto"/>
        <w:tabs>
          <w:tab w:leader="none" w:pos="2036"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Neither this Agreement nor any of your rights or obligations hereunder shall be assignable by you. Tempest may assign this Agreement or any of its obligations hereunder to any subsidiary of Tempest, or to any successor (whether by merger, purchase or otherwise) to all or substantially all of the equity, assets or businesses of Tempest. This Agreement is intended to bind and inure to the benefit of and be enforceable to you and Tempest and Tempest’s permitted successors and assigns.</w:t>
      </w:r>
    </w:p>
    <w:p>
      <w:pPr>
        <w:spacing w:after="0" w:line="176" w:lineRule="exact"/>
        <w:rPr>
          <w:rFonts w:ascii="Times New Roman" w:cs="Times New Roman" w:eastAsia="Times New Roman" w:hAnsi="Times New Roman"/>
          <w:sz w:val="21"/>
          <w:szCs w:val="21"/>
          <w:color w:val="auto"/>
        </w:rPr>
      </w:pPr>
    </w:p>
    <w:p>
      <w:pPr>
        <w:jc w:val="both"/>
        <w:ind w:firstLine="1505"/>
        <w:spacing w:after="0" w:line="238" w:lineRule="auto"/>
        <w:tabs>
          <w:tab w:leader="none" w:pos="2036"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No provision of this Agreement may be modified, waived or discharged unless such waiver, modification or discharge is agreed to in writing and signed by you and such officer or director as may be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spacing w:after="0" w:line="176" w:lineRule="exact"/>
        <w:rPr>
          <w:rFonts w:ascii="Times New Roman" w:cs="Times New Roman" w:eastAsia="Times New Roman" w:hAnsi="Times New Roman"/>
          <w:sz w:val="21"/>
          <w:szCs w:val="21"/>
          <w:color w:val="auto"/>
        </w:rPr>
      </w:pPr>
    </w:p>
    <w:p>
      <w:pPr>
        <w:ind w:firstLine="1505"/>
        <w:spacing w:after="0" w:line="258" w:lineRule="auto"/>
        <w:tabs>
          <w:tab w:leader="none" w:pos="2036"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validity, interpretation, construction and performance of this Agreement shall be governed by the laws of the State of California without regard to the choice of law principles thereof.</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1" w:name="page162"/>
    <w:bookmarkEnd w:id="161"/>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TEMPEST THERAPEUTICS, INC.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-13970</wp:posOffset>
            </wp:positionV>
            <wp:extent cx="192024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3">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22"/>
          <w:szCs w:val="22"/>
          <w:color w:val="auto"/>
        </w:rPr>
        <w:t>Stephen Brady</w:t>
      </w:r>
    </w:p>
    <w:p>
      <w:pPr>
        <w:ind w:left="76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AGREED</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4688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Nicholas Maestas</w:t>
      </w:r>
    </w:p>
    <w:p>
      <w:pPr>
        <w:spacing w:after="0" w:line="20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-13970</wp:posOffset>
            </wp:positionV>
            <wp:extent cx="24460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5">
                      <a:extLst>
                        <a:ext uri="{28A0092B-C50C-407E-A947-70E740481C1C}"/>
                      </a:extLst>
                    </a:blip>
                    <a:srcRect/>
                    <a:stretch>
                      <a:fillRect/>
                    </a:stretch>
                  </pic:blipFill>
                  <pic:spPr bwMode="auto">
                    <a:xfrm>
                      <a:off x="0" y="0"/>
                      <a:ext cx="24460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Appendices:</w:t>
      </w:r>
      <w:r>
        <w:rPr>
          <w:sz w:val="20"/>
          <w:szCs w:val="20"/>
          <w:color w:val="auto"/>
        </w:rPr>
        <w:tab/>
      </w:r>
      <w:r>
        <w:rPr>
          <w:rFonts w:ascii="Times New Roman" w:cs="Times New Roman" w:eastAsia="Times New Roman" w:hAnsi="Times New Roman"/>
          <w:sz w:val="21"/>
          <w:szCs w:val="21"/>
          <w:color w:val="auto"/>
        </w:rPr>
        <w:t>Appendix A — Approved Activities</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Appendix B — Separation Agreement and General Release</w:t>
      </w:r>
    </w:p>
    <w:p>
      <w:pPr>
        <w:ind w:left="440"/>
        <w:spacing w:after="0"/>
        <w:rPr>
          <w:sz w:val="20"/>
          <w:szCs w:val="20"/>
          <w:color w:val="auto"/>
        </w:rPr>
      </w:pPr>
      <w:r>
        <w:rPr>
          <w:rFonts w:ascii="Times New Roman" w:cs="Times New Roman" w:eastAsia="Times New Roman" w:hAnsi="Times New Roman"/>
          <w:sz w:val="21"/>
          <w:szCs w:val="21"/>
          <w:color w:val="auto"/>
        </w:rPr>
        <w:t>Appendix C — Confidentiality and Proprietary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1173480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color w:val="auto"/>
        </w:rPr>
        <w:t>Exhibit 19.1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empest</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herapeutics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nsider</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rading</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olicy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dopted</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arch</w:t>
      </w:r>
      <w:r>
        <w:rPr>
          <w:rFonts w:ascii="Arial" w:cs="Arial" w:eastAsia="Arial" w:hAnsi="Arial"/>
          <w:sz w:val="20"/>
          <w:szCs w:val="20"/>
          <w:b w:val="1"/>
          <w:bCs w:val="1"/>
          <w:color w:val="auto"/>
        </w:rPr>
        <w:t xml:space="preserve">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794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7">
                      <a:extLst>
                        <a:ext uri="{28A0092B-C50C-407E-A947-70E740481C1C}"/>
                      </a:extLst>
                    </a:blip>
                    <a:srcRect/>
                    <a:stretch>
                      <a:fillRect/>
                    </a:stretch>
                  </pic:blipFill>
                  <pic:spPr bwMode="auto">
                    <a:xfrm>
                      <a:off x="0" y="0"/>
                      <a:ext cx="279400"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ntroduction</w:t>
      </w:r>
    </w:p>
    <w:p>
      <w:pPr>
        <w:spacing w:after="0" w:line="204" w:lineRule="exact"/>
        <w:rPr>
          <w:sz w:val="20"/>
          <w:szCs w:val="20"/>
          <w:color w:val="auto"/>
        </w:rPr>
      </w:pPr>
    </w:p>
    <w:p>
      <w:pPr>
        <w:jc w:val="both"/>
        <w:ind w:firstLine="374"/>
        <w:spacing w:after="0" w:line="231" w:lineRule="auto"/>
        <w:rPr>
          <w:sz w:val="20"/>
          <w:szCs w:val="20"/>
          <w:color w:val="auto"/>
        </w:rPr>
      </w:pPr>
      <w:r>
        <w:rPr>
          <w:rFonts w:ascii="Arial" w:cs="Arial" w:eastAsia="Arial" w:hAnsi="Arial"/>
          <w:sz w:val="20"/>
          <w:szCs w:val="20"/>
          <w:color w:val="auto"/>
        </w:rPr>
        <w:t>During the course of your relationship with Tempest Therapeutics, Inc. (“</w:t>
      </w:r>
      <w:r>
        <w:rPr>
          <w:rFonts w:ascii="Arial" w:cs="Arial" w:eastAsia="Arial" w:hAnsi="Arial"/>
          <w:sz w:val="20"/>
          <w:szCs w:val="20"/>
          <w:b w:val="1"/>
          <w:bCs w:val="1"/>
          <w:i w:val="1"/>
          <w:iCs w:val="1"/>
          <w:color w:val="auto"/>
        </w:rPr>
        <w:t>Tempest</w:t>
      </w:r>
      <w:r>
        <w:rPr>
          <w:rFonts w:ascii="Arial" w:cs="Arial" w:eastAsia="Arial" w:hAnsi="Arial"/>
          <w:sz w:val="20"/>
          <w:szCs w:val="20"/>
          <w:color w:val="auto"/>
        </w:rPr>
        <w:t>”), you may receive material information that is not yet publicly available (“</w:t>
      </w:r>
      <w:r>
        <w:rPr>
          <w:rFonts w:ascii="Arial" w:cs="Arial" w:eastAsia="Arial" w:hAnsi="Arial"/>
          <w:sz w:val="20"/>
          <w:szCs w:val="20"/>
          <w:b w:val="1"/>
          <w:bCs w:val="1"/>
          <w:i w:val="1"/>
          <w:iCs w:val="1"/>
          <w:color w:val="auto"/>
        </w:rPr>
        <w:t>material nonpublic information</w:t>
      </w:r>
      <w:r>
        <w:rPr>
          <w:rFonts w:ascii="Arial" w:cs="Arial" w:eastAsia="Arial" w:hAnsi="Arial"/>
          <w:sz w:val="20"/>
          <w:szCs w:val="20"/>
          <w:color w:val="auto"/>
        </w:rPr>
        <w:t>”) about Tempest or other publicly traded companies. Material nonpublic information may give you, or someone you pass that information on to, a leg up over others when deciding whether to buy, sell or otherwise transact in Tempest’s securities or the securities of another publicly traded company. This policy sets forth guidelines with respect to transactions in Tempest securities and, as noted, in the securities of other applicable publicly traded companies, in each case by our employees (including officers), directors, consultants who are advised that they are subject to this policy or who may become aware of material non-public information (“</w:t>
      </w:r>
      <w:r>
        <w:rPr>
          <w:rFonts w:ascii="Arial" w:cs="Arial" w:eastAsia="Arial" w:hAnsi="Arial"/>
          <w:sz w:val="20"/>
          <w:szCs w:val="20"/>
          <w:b w:val="1"/>
          <w:bCs w:val="1"/>
          <w:i w:val="1"/>
          <w:iCs w:val="1"/>
          <w:color w:val="auto"/>
        </w:rPr>
        <w:t>designated consultants</w:t>
      </w:r>
      <w:r>
        <w:rPr>
          <w:rFonts w:ascii="Arial" w:cs="Arial" w:eastAsia="Arial" w:hAnsi="Arial"/>
          <w:sz w:val="20"/>
          <w:szCs w:val="20"/>
          <w:color w:val="auto"/>
        </w:rPr>
        <w:t>”) and the other persons or entities subject to this policy as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tatement of</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olicy</w:t>
      </w:r>
    </w:p>
    <w:p>
      <w:pPr>
        <w:spacing w:after="0" w:line="204" w:lineRule="exact"/>
        <w:rPr>
          <w:sz w:val="20"/>
          <w:szCs w:val="20"/>
          <w:color w:val="auto"/>
        </w:rPr>
      </w:pPr>
    </w:p>
    <w:p>
      <w:pPr>
        <w:jc w:val="both"/>
        <w:ind w:firstLine="374"/>
        <w:spacing w:after="0" w:line="268" w:lineRule="auto"/>
        <w:rPr>
          <w:sz w:val="20"/>
          <w:szCs w:val="20"/>
          <w:color w:val="auto"/>
        </w:rPr>
      </w:pPr>
      <w:r>
        <w:rPr>
          <w:rFonts w:ascii="Arial" w:cs="Arial" w:eastAsia="Arial" w:hAnsi="Arial"/>
          <w:sz w:val="20"/>
          <w:szCs w:val="20"/>
          <w:color w:val="auto"/>
        </w:rPr>
        <w:t xml:space="preserve">It is the policy of Tempest that an employee, director or designated consultant of Tempest (or any other person or entity subject to this policy) who is aware of material nonpublic information relating to Tempest </w:t>
      </w:r>
      <w:r>
        <w:rPr>
          <w:rFonts w:ascii="Arial" w:cs="Arial" w:eastAsia="Arial" w:hAnsi="Arial"/>
          <w:sz w:val="20"/>
          <w:szCs w:val="20"/>
          <w:b w:val="1"/>
          <w:bCs w:val="1"/>
          <w:color w:val="auto"/>
        </w:rPr>
        <w:t>may not</w:t>
      </w:r>
      <w:r>
        <w:rPr>
          <w:rFonts w:ascii="Arial" w:cs="Arial" w:eastAsia="Arial" w:hAnsi="Arial"/>
          <w:sz w:val="20"/>
          <w:szCs w:val="20"/>
          <w:color w:val="auto"/>
        </w:rPr>
        <w:t>, directly or indirectly:</w:t>
      </w:r>
    </w:p>
    <w:p>
      <w:pPr>
        <w:spacing w:after="0" w:line="134" w:lineRule="exact"/>
        <w:rPr>
          <w:sz w:val="20"/>
          <w:szCs w:val="20"/>
          <w:color w:val="auto"/>
        </w:rPr>
      </w:pPr>
    </w:p>
    <w:p>
      <w:pPr>
        <w:ind w:left="1220" w:hanging="374"/>
        <w:spacing w:after="0" w:line="257" w:lineRule="auto"/>
        <w:tabs>
          <w:tab w:leader="none" w:pos="12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engage in any transactions in Tempest’s securities, except as otherwise specified under the heading “Exceptions to this Policy” below;</w:t>
      </w:r>
    </w:p>
    <w:p>
      <w:pPr>
        <w:spacing w:after="0" w:line="47" w:lineRule="exact"/>
        <w:rPr>
          <w:rFonts w:ascii="Arial" w:cs="Arial" w:eastAsia="Arial" w:hAnsi="Arial"/>
          <w:sz w:val="20"/>
          <w:szCs w:val="20"/>
          <w:color w:val="auto"/>
        </w:rPr>
      </w:pPr>
    </w:p>
    <w:p>
      <w:pPr>
        <w:ind w:left="1220" w:hanging="374"/>
        <w:spacing w:after="0"/>
        <w:tabs>
          <w:tab w:leader="none" w:pos="12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recommend the purchase or sale of any Tempest’s securities;</w:t>
      </w:r>
    </w:p>
    <w:p>
      <w:pPr>
        <w:spacing w:after="0" w:line="94" w:lineRule="exact"/>
        <w:rPr>
          <w:rFonts w:ascii="Arial" w:cs="Arial" w:eastAsia="Arial" w:hAnsi="Arial"/>
          <w:sz w:val="20"/>
          <w:szCs w:val="20"/>
          <w:color w:val="auto"/>
        </w:rPr>
      </w:pPr>
    </w:p>
    <w:p>
      <w:pPr>
        <w:jc w:val="both"/>
        <w:ind w:left="1220" w:hanging="374"/>
        <w:spacing w:after="0" w:line="237" w:lineRule="auto"/>
        <w:tabs>
          <w:tab w:leader="none" w:pos="12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disclose material nonpublic information to persons within Tempest whose jobs do not require them to have that information, or outside of Tempest to other persons, such as family, friends, business associates and investors, unless the disclosure is made in accordance with Tempest’s policies regarding the protection or authorized external disclosure of information regarding Tempest; or</w:t>
      </w:r>
    </w:p>
    <w:p>
      <w:pPr>
        <w:spacing w:after="0" w:line="63" w:lineRule="exact"/>
        <w:rPr>
          <w:rFonts w:ascii="Arial" w:cs="Arial" w:eastAsia="Arial" w:hAnsi="Arial"/>
          <w:sz w:val="20"/>
          <w:szCs w:val="20"/>
          <w:color w:val="auto"/>
        </w:rPr>
      </w:pPr>
    </w:p>
    <w:p>
      <w:pPr>
        <w:ind w:left="1220" w:hanging="374"/>
        <w:spacing w:after="0"/>
        <w:tabs>
          <w:tab w:leader="none" w:pos="12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assist anyone engaged in the above activities.</w:t>
      </w:r>
    </w:p>
    <w:p>
      <w:pPr>
        <w:spacing w:after="0" w:line="202"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20"/>
          <w:szCs w:val="20"/>
          <w:color w:val="auto"/>
        </w:rPr>
        <w:t xml:space="preserve">The prohibition against insider trading is absolute. It applies </w:t>
      </w:r>
      <w:r>
        <w:rPr>
          <w:rFonts w:ascii="Arial" w:cs="Arial" w:eastAsia="Arial" w:hAnsi="Arial"/>
          <w:sz w:val="20"/>
          <w:szCs w:val="20"/>
          <w:b w:val="1"/>
          <w:bCs w:val="1"/>
          <w:i w:val="1"/>
          <w:iCs w:val="1"/>
          <w:color w:val="auto"/>
        </w:rPr>
        <w:t>even if</w:t>
      </w:r>
      <w:r>
        <w:rPr>
          <w:rFonts w:ascii="Arial" w:cs="Arial" w:eastAsia="Arial" w:hAnsi="Arial"/>
          <w:sz w:val="20"/>
          <w:szCs w:val="20"/>
          <w:color w:val="auto"/>
        </w:rPr>
        <w:t xml:space="preserve">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w:t>
      </w:r>
      <w:r>
        <w:rPr>
          <w:rFonts w:ascii="Arial" w:cs="Arial" w:eastAsia="Arial" w:hAnsi="Arial"/>
          <w:sz w:val="20"/>
          <w:szCs w:val="20"/>
          <w:b w:val="1"/>
          <w:bCs w:val="1"/>
          <w:color w:val="auto"/>
        </w:rPr>
        <w:t>any</w:t>
      </w:r>
      <w:r>
        <w:rPr>
          <w:rFonts w:ascii="Arial" w:cs="Arial" w:eastAsia="Arial" w:hAnsi="Arial"/>
          <w:sz w:val="20"/>
          <w:szCs w:val="20"/>
          <w:color w:val="auto"/>
        </w:rPr>
        <w:t xml:space="preserve"> material nonpublic information relating to Tempest at the time of the transaction.</w:t>
      </w:r>
    </w:p>
    <w:p>
      <w:pPr>
        <w:spacing w:after="0" w:line="164" w:lineRule="exact"/>
        <w:rPr>
          <w:sz w:val="20"/>
          <w:szCs w:val="20"/>
          <w:color w:val="auto"/>
        </w:rPr>
      </w:pPr>
    </w:p>
    <w:p>
      <w:pPr>
        <w:jc w:val="both"/>
        <w:ind w:firstLine="374"/>
        <w:spacing w:after="0" w:line="234" w:lineRule="auto"/>
        <w:rPr>
          <w:sz w:val="20"/>
          <w:szCs w:val="20"/>
          <w:color w:val="auto"/>
        </w:rPr>
      </w:pPr>
      <w:r>
        <w:rPr>
          <w:rFonts w:ascii="Arial" w:cs="Arial" w:eastAsia="Arial" w:hAnsi="Arial"/>
          <w:sz w:val="20"/>
          <w:szCs w:val="20"/>
          <w:color w:val="auto"/>
        </w:rPr>
        <w:t>The U.S. federal securities laws do not recognize any mitigating circumstances to insider trading. In addition, even the appearance of an improper transaction must be avoided to preserve Tempest’s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p>
    <w:p>
      <w:pPr>
        <w:spacing w:after="0" w:line="175" w:lineRule="exact"/>
        <w:rPr>
          <w:sz w:val="20"/>
          <w:szCs w:val="20"/>
          <w:color w:val="auto"/>
        </w:rPr>
      </w:pPr>
    </w:p>
    <w:p>
      <w:pPr>
        <w:jc w:val="both"/>
        <w:ind w:right="20" w:firstLine="374"/>
        <w:spacing w:after="0" w:line="257" w:lineRule="auto"/>
        <w:rPr>
          <w:sz w:val="20"/>
          <w:szCs w:val="20"/>
          <w:color w:val="auto"/>
        </w:rPr>
      </w:pPr>
      <w:r>
        <w:rPr>
          <w:rFonts w:ascii="Arial" w:cs="Arial" w:eastAsia="Arial" w:hAnsi="Arial"/>
          <w:sz w:val="20"/>
          <w:szCs w:val="20"/>
          <w:color w:val="auto"/>
        </w:rPr>
        <w:t>It is also important to note that the laws prohibiting insider trading are not limited to trading by the insider alone; advising others to trade on the basis of material nonpublic information is illegal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color w:val="auto"/>
        </w:rPr>
        <w:t>Exhibit 19.1</w:t>
      </w:r>
    </w:p>
    <w:p>
      <w:pPr>
        <w:spacing w:after="0" w:line="200" w:lineRule="exact"/>
        <w:rPr>
          <w:sz w:val="20"/>
          <w:szCs w:val="20"/>
          <w:color w:val="auto"/>
        </w:rPr>
      </w:pPr>
    </w:p>
    <w:p>
      <w:pPr>
        <w:spacing w:after="0" w:line="23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 xml:space="preserve">and squarely prohibited by this policy. Liability in such cases can extend both to the “tippee”—the person to whom the insider disclosed material nonpublic information—and to the “tipper,” the insider himself or herself. In such cases, you can be held liable for your own transactions, as well as the transactions by a tippee and even the transactions of a tippee’s tippee. For these and other reasons, it is the policy of Tempest that no employee, director or designated consultant of Tempest (or any other person or entity subject to this policy) may either (a) recommend to another person or entity that they buy, hold or sell Tempest’s securities </w:t>
      </w:r>
      <w:r>
        <w:rPr>
          <w:rFonts w:ascii="Arial" w:cs="Arial" w:eastAsia="Arial" w:hAnsi="Arial"/>
          <w:sz w:val="20"/>
          <w:szCs w:val="20"/>
          <w:b w:val="1"/>
          <w:bCs w:val="1"/>
          <w:color w:val="auto"/>
        </w:rPr>
        <w:t>at any time</w:t>
      </w:r>
      <w:r>
        <w:rPr>
          <w:rFonts w:ascii="Arial" w:cs="Arial" w:eastAsia="Arial" w:hAnsi="Arial"/>
          <w:sz w:val="20"/>
          <w:szCs w:val="20"/>
          <w:color w:val="auto"/>
        </w:rPr>
        <w:t xml:space="preserve"> or (b) disclose material nonpublic information to persons within Tempest whose jobs do not require them to have that information, or outside of Tempest to other persons (unless the disclosure is made in accordance with Tempest’s policies regarding the protection or authorized external disclosure of information regarding Tempest).</w:t>
      </w:r>
    </w:p>
    <w:p>
      <w:pPr>
        <w:spacing w:after="0" w:line="173" w:lineRule="exact"/>
        <w:rPr>
          <w:sz w:val="20"/>
          <w:szCs w:val="20"/>
          <w:color w:val="auto"/>
        </w:rPr>
      </w:pPr>
    </w:p>
    <w:p>
      <w:pPr>
        <w:jc w:val="both"/>
        <w:ind w:firstLine="469"/>
        <w:spacing w:after="0" w:line="232" w:lineRule="auto"/>
        <w:rPr>
          <w:sz w:val="20"/>
          <w:szCs w:val="20"/>
          <w:color w:val="auto"/>
        </w:rPr>
      </w:pPr>
      <w:r>
        <w:rPr>
          <w:rFonts w:ascii="Arial" w:cs="Arial" w:eastAsia="Arial" w:hAnsi="Arial"/>
          <w:sz w:val="20"/>
          <w:szCs w:val="20"/>
          <w:color w:val="auto"/>
        </w:rPr>
        <w:t>In addition, it is the policy of Tempest that no person subject to this policy who, in the course of his or her relationship with Tempest, learns of or is otherwise aware of material nonpublic information about another publicly traded company with which Tempest does business, including a partner or collaborator (a “</w:t>
      </w:r>
      <w:r>
        <w:rPr>
          <w:rFonts w:ascii="Arial" w:cs="Arial" w:eastAsia="Arial" w:hAnsi="Arial"/>
          <w:sz w:val="20"/>
          <w:szCs w:val="20"/>
          <w:b w:val="1"/>
          <w:bCs w:val="1"/>
          <w:i w:val="1"/>
          <w:iCs w:val="1"/>
          <w:color w:val="auto"/>
        </w:rPr>
        <w:t>Business Partner</w:t>
      </w:r>
      <w:r>
        <w:rPr>
          <w:rFonts w:ascii="Arial" w:cs="Arial" w:eastAsia="Arial" w:hAnsi="Arial"/>
          <w:sz w:val="20"/>
          <w:szCs w:val="20"/>
          <w:color w:val="auto"/>
        </w:rPr>
        <w:t xml:space="preserve">”), may trade in such Business Partner’s securities until the information becomes public or is no longer material. </w:t>
      </w:r>
      <w:r>
        <w:rPr>
          <w:rFonts w:ascii="Arial" w:cs="Arial" w:eastAsia="Arial" w:hAnsi="Arial"/>
          <w:sz w:val="20"/>
          <w:szCs w:val="20"/>
          <w:b w:val="1"/>
          <w:bCs w:val="1"/>
          <w:color w:val="auto"/>
        </w:rPr>
        <w:t>Moreover, no such person who, in the course of his</w:t>
      </w:r>
      <w:r>
        <w:rPr>
          <w:rFonts w:ascii="Arial" w:cs="Arial" w:eastAsia="Arial" w:hAnsi="Arial"/>
          <w:sz w:val="20"/>
          <w:szCs w:val="20"/>
          <w:color w:val="auto"/>
        </w:rPr>
        <w:t xml:space="preserve"> </w:t>
      </w:r>
      <w:r>
        <w:rPr>
          <w:rFonts w:ascii="Arial" w:cs="Arial" w:eastAsia="Arial" w:hAnsi="Arial"/>
          <w:sz w:val="20"/>
          <w:szCs w:val="20"/>
          <w:b w:val="1"/>
          <w:bCs w:val="1"/>
          <w:color w:val="auto"/>
        </w:rPr>
        <w:t>or her relationship with Tempest, learns of or is otherwise aware of material nonpublic information about Tempest or any Business Partner that is also material to any other public traded company, including but not limited to an economically-linked company such as a competitor of Tempest, may trade in that other company’s securities until the information becomes public or is no longer material to that other company.</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There are no exceptions to this policy, except as specifically noted above or below.</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ransactions</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ubject to this</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olicy</w:t>
      </w:r>
    </w:p>
    <w:p>
      <w:pPr>
        <w:spacing w:after="0" w:line="204" w:lineRule="exact"/>
        <w:rPr>
          <w:sz w:val="20"/>
          <w:szCs w:val="20"/>
          <w:color w:val="auto"/>
        </w:rPr>
      </w:pPr>
    </w:p>
    <w:p>
      <w:pPr>
        <w:jc w:val="both"/>
        <w:ind w:firstLine="374"/>
        <w:spacing w:after="0" w:line="233" w:lineRule="auto"/>
        <w:rPr>
          <w:sz w:val="20"/>
          <w:szCs w:val="20"/>
          <w:color w:val="auto"/>
        </w:rPr>
      </w:pPr>
      <w:r>
        <w:rPr>
          <w:rFonts w:ascii="Arial" w:cs="Arial" w:eastAsia="Arial" w:hAnsi="Arial"/>
          <w:sz w:val="20"/>
          <w:szCs w:val="20"/>
          <w:color w:val="auto"/>
        </w:rPr>
        <w:t>This policy applies to all transactions in securities issued by Tempest, as well as derivative securities that are not issued by Tempest, such as exchange-traded put or call options or swaps relating to Tempest’s securities. Accordingly, for purposes of this policy, the terms “</w:t>
      </w:r>
      <w:r>
        <w:rPr>
          <w:rFonts w:ascii="Arial" w:cs="Arial" w:eastAsia="Arial" w:hAnsi="Arial"/>
          <w:sz w:val="20"/>
          <w:szCs w:val="20"/>
          <w:b w:val="1"/>
          <w:bCs w:val="1"/>
          <w:i w:val="1"/>
          <w:iCs w:val="1"/>
          <w:color w:val="auto"/>
        </w:rPr>
        <w:t>trade</w:t>
      </w:r>
      <w:r>
        <w:rPr>
          <w:rFonts w:ascii="Arial" w:cs="Arial" w:eastAsia="Arial" w:hAnsi="Arial"/>
          <w:sz w:val="20"/>
          <w:szCs w:val="20"/>
          <w:color w:val="auto"/>
        </w:rPr>
        <w:t>,” “</w:t>
      </w:r>
      <w:r>
        <w:rPr>
          <w:rFonts w:ascii="Arial" w:cs="Arial" w:eastAsia="Arial" w:hAnsi="Arial"/>
          <w:sz w:val="20"/>
          <w:szCs w:val="20"/>
          <w:b w:val="1"/>
          <w:bCs w:val="1"/>
          <w:i w:val="1"/>
          <w:iCs w:val="1"/>
          <w:color w:val="auto"/>
        </w:rPr>
        <w:t>trading</w:t>
      </w:r>
      <w:r>
        <w:rPr>
          <w:rFonts w:ascii="Arial" w:cs="Arial" w:eastAsia="Arial" w:hAnsi="Arial"/>
          <w:sz w:val="20"/>
          <w:szCs w:val="20"/>
          <w:color w:val="auto"/>
        </w:rPr>
        <w:t>” and “</w:t>
      </w:r>
      <w:r>
        <w:rPr>
          <w:rFonts w:ascii="Arial" w:cs="Arial" w:eastAsia="Arial" w:hAnsi="Arial"/>
          <w:sz w:val="20"/>
          <w:szCs w:val="20"/>
          <w:b w:val="1"/>
          <w:bCs w:val="1"/>
          <w:i w:val="1"/>
          <w:iCs w:val="1"/>
          <w:color w:val="auto"/>
        </w:rPr>
        <w:t>transactions</w:t>
      </w:r>
      <w:r>
        <w:rPr>
          <w:rFonts w:ascii="Arial" w:cs="Arial" w:eastAsia="Arial" w:hAnsi="Arial"/>
          <w:sz w:val="20"/>
          <w:szCs w:val="20"/>
          <w:color w:val="auto"/>
        </w:rPr>
        <w:t>” include not only purchases and sales of Tempest’s common stock in the public market but also any other purchases, sales, transfers, gifts or other acquisitions and dispositions of common or preferred equity, options, warrants and other securities (including debt securities) and other arrangements or transactions that affect economic exposure to changes in the prices of these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ersons</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ubject to this</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olicy</w:t>
      </w:r>
    </w:p>
    <w:p>
      <w:pPr>
        <w:spacing w:after="0" w:line="204" w:lineRule="exact"/>
        <w:rPr>
          <w:sz w:val="20"/>
          <w:szCs w:val="20"/>
          <w:color w:val="auto"/>
        </w:rPr>
      </w:pPr>
    </w:p>
    <w:p>
      <w:pPr>
        <w:jc w:val="both"/>
        <w:ind w:firstLine="374"/>
        <w:spacing w:after="0" w:line="233" w:lineRule="auto"/>
        <w:rPr>
          <w:sz w:val="20"/>
          <w:szCs w:val="20"/>
          <w:color w:val="auto"/>
        </w:rPr>
      </w:pPr>
      <w:r>
        <w:rPr>
          <w:rFonts w:ascii="Arial" w:cs="Arial" w:eastAsia="Arial" w:hAnsi="Arial"/>
          <w:sz w:val="20"/>
          <w:szCs w:val="20"/>
          <w:color w:val="auto"/>
        </w:rPr>
        <w:t xml:space="preserve">This policy applies to you and all other employees, directors and designated consultants of Tempest and its subsidiaries. This policy also applies to members of your immediate family, persons with whom you share a household, persons who are your economic dependents and any other individuals or entities whose transactions in securities you influence, direct or control (including, e.g., a venture or other investment fund, </w:t>
      </w:r>
      <w:r>
        <w:rPr>
          <w:rFonts w:ascii="Arial" w:cs="Arial" w:eastAsia="Arial" w:hAnsi="Arial"/>
          <w:sz w:val="20"/>
          <w:szCs w:val="20"/>
          <w:u w:val="single" w:color="auto"/>
          <w:color w:val="auto"/>
        </w:rPr>
        <w:t>if</w:t>
      </w:r>
      <w:r>
        <w:rPr>
          <w:rFonts w:ascii="Arial" w:cs="Arial" w:eastAsia="Arial" w:hAnsi="Arial"/>
          <w:sz w:val="20"/>
          <w:szCs w:val="20"/>
          <w:color w:val="auto"/>
        </w:rPr>
        <w:t xml:space="preserve"> you influence, direct or control transactions by the fund). The foregoing persons who are deemed subject to this policy are referred to in this policy as “</w:t>
      </w:r>
      <w:r>
        <w:rPr>
          <w:rFonts w:ascii="Arial" w:cs="Arial" w:eastAsia="Arial" w:hAnsi="Arial"/>
          <w:sz w:val="20"/>
          <w:szCs w:val="20"/>
          <w:b w:val="1"/>
          <w:bCs w:val="1"/>
          <w:i w:val="1"/>
          <w:iCs w:val="1"/>
          <w:color w:val="auto"/>
        </w:rPr>
        <w:t>Related Persons</w:t>
      </w:r>
      <w:r>
        <w:rPr>
          <w:rFonts w:ascii="Arial" w:cs="Arial" w:eastAsia="Arial" w:hAnsi="Arial"/>
          <w:sz w:val="20"/>
          <w:szCs w:val="20"/>
          <w:color w:val="auto"/>
        </w:rPr>
        <w:t>.” You are responsible for making sure that your Related Persons comply with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color w:val="auto"/>
        </w:rPr>
        <w:t>Exhibit 19.1</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re</w:t>
      </w:r>
      <w:r>
        <w:rPr>
          <w:rFonts w:ascii="Arial" w:cs="Arial" w:eastAsia="Arial" w:hAnsi="Arial"/>
          <w:sz w:val="20"/>
          <w:szCs w:val="20"/>
          <w:b w:val="1"/>
          <w:bCs w:val="1"/>
          <w:color w:val="auto"/>
        </w:rPr>
        <w:t>-C</w:t>
      </w:r>
      <w:r>
        <w:rPr>
          <w:rFonts w:ascii="Arial" w:cs="Arial" w:eastAsia="Arial" w:hAnsi="Arial"/>
          <w:sz w:val="13"/>
          <w:szCs w:val="13"/>
          <w:b w:val="1"/>
          <w:bCs w:val="1"/>
          <w:color w:val="auto"/>
        </w:rPr>
        <w:t>learance and</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dvance</w:t>
      </w:r>
      <w:r>
        <w:rPr>
          <w:rFonts w:ascii="Arial" w:cs="Arial" w:eastAsia="Arial" w:hAnsi="Arial"/>
          <w:sz w:val="20"/>
          <w:szCs w:val="20"/>
          <w:b w:val="1"/>
          <w:bCs w:val="1"/>
          <w:color w:val="auto"/>
        </w:rPr>
        <w:t xml:space="preserve"> N</w:t>
      </w:r>
      <w:r>
        <w:rPr>
          <w:rFonts w:ascii="Arial" w:cs="Arial" w:eastAsia="Arial" w:hAnsi="Arial"/>
          <w:sz w:val="13"/>
          <w:szCs w:val="13"/>
          <w:b w:val="1"/>
          <w:bCs w:val="1"/>
          <w:color w:val="auto"/>
        </w:rPr>
        <w:t>otice of</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ransactions</w:t>
      </w:r>
    </w:p>
    <w:p>
      <w:pPr>
        <w:spacing w:after="0" w:line="204" w:lineRule="exact"/>
        <w:rPr>
          <w:sz w:val="20"/>
          <w:szCs w:val="20"/>
          <w:color w:val="auto"/>
        </w:rPr>
      </w:pPr>
    </w:p>
    <w:p>
      <w:pPr>
        <w:jc w:val="both"/>
        <w:ind w:firstLine="374"/>
        <w:spacing w:after="0" w:line="234" w:lineRule="auto"/>
        <w:rPr>
          <w:sz w:val="20"/>
          <w:szCs w:val="20"/>
          <w:color w:val="auto"/>
        </w:rPr>
      </w:pPr>
      <w:r>
        <w:rPr>
          <w:rFonts w:ascii="Arial" w:cs="Arial" w:eastAsia="Arial" w:hAnsi="Arial"/>
          <w:sz w:val="20"/>
          <w:szCs w:val="20"/>
          <w:color w:val="auto"/>
        </w:rPr>
        <w:t>Employees, directors, and designated consultants of Tempest who have been notified that they are subject to pre-clearance requirements may not engage in any transaction in Tempest’s securities without first obtaining pre-clearance of the transaction from the Compliance Officer at least two business days in advance of the proposed transaction. The Compliance Officer will then determine whether the transaction may proceed and, if so, will direct the appropriate individual to help comply with any required reporting requirements under Section 16(a) of the Exchange Act.</w:t>
      </w:r>
    </w:p>
    <w:p>
      <w:pPr>
        <w:spacing w:after="0" w:line="175"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20"/>
          <w:szCs w:val="20"/>
          <w:color w:val="auto"/>
        </w:rPr>
        <w:t>Pre-cleared transactions not completed within five business days will require new pre-clearance. Tempest may choose to shorten this period.</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hort</w:t>
      </w:r>
      <w:r>
        <w:rPr>
          <w:rFonts w:ascii="Arial" w:cs="Arial" w:eastAsia="Arial" w:hAnsi="Arial"/>
          <w:sz w:val="20"/>
          <w:szCs w:val="20"/>
          <w:b w:val="1"/>
          <w:bCs w:val="1"/>
          <w:color w:val="auto"/>
        </w:rPr>
        <w:t>-S</w:t>
      </w:r>
      <w:r>
        <w:rPr>
          <w:rFonts w:ascii="Arial" w:cs="Arial" w:eastAsia="Arial" w:hAnsi="Arial"/>
          <w:sz w:val="13"/>
          <w:szCs w:val="13"/>
          <w:b w:val="1"/>
          <w:bCs w:val="1"/>
          <w:color w:val="auto"/>
        </w:rPr>
        <w:t>wing</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rading</w:t>
      </w:r>
      <w:r>
        <w:rPr>
          <w:rFonts w:ascii="Arial" w:cs="Arial" w:eastAsia="Arial" w:hAnsi="Arial"/>
          <w:sz w:val="20"/>
          <w:szCs w:val="20"/>
          <w:b w:val="1"/>
          <w:bCs w:val="1"/>
          <w:color w:val="auto"/>
        </w:rPr>
        <w:t>, C</w:t>
      </w:r>
      <w:r>
        <w:rPr>
          <w:rFonts w:ascii="Arial" w:cs="Arial" w:eastAsia="Arial" w:hAnsi="Arial"/>
          <w:sz w:val="13"/>
          <w:szCs w:val="13"/>
          <w:b w:val="1"/>
          <w:bCs w:val="1"/>
          <w:color w:val="auto"/>
        </w:rPr>
        <w:t>ontrol</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tock and</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ection</w:t>
      </w:r>
      <w:r>
        <w:rPr>
          <w:rFonts w:ascii="Arial" w:cs="Arial" w:eastAsia="Arial" w:hAnsi="Arial"/>
          <w:sz w:val="20"/>
          <w:szCs w:val="20"/>
          <w:b w:val="1"/>
          <w:bCs w:val="1"/>
          <w:color w:val="auto"/>
        </w:rPr>
        <w:t xml:space="preserve"> 16 R</w:t>
      </w:r>
      <w:r>
        <w:rPr>
          <w:rFonts w:ascii="Arial" w:cs="Arial" w:eastAsia="Arial" w:hAnsi="Arial"/>
          <w:sz w:val="13"/>
          <w:szCs w:val="13"/>
          <w:b w:val="1"/>
          <w:bCs w:val="1"/>
          <w:color w:val="auto"/>
        </w:rPr>
        <w:t>eports</w:t>
      </w:r>
    </w:p>
    <w:p>
      <w:pPr>
        <w:spacing w:after="0" w:line="204" w:lineRule="exact"/>
        <w:rPr>
          <w:sz w:val="20"/>
          <w:szCs w:val="20"/>
          <w:color w:val="auto"/>
        </w:rPr>
      </w:pPr>
    </w:p>
    <w:p>
      <w:pPr>
        <w:jc w:val="both"/>
        <w:ind w:firstLine="374"/>
        <w:spacing w:after="0" w:line="234" w:lineRule="auto"/>
        <w:rPr>
          <w:sz w:val="20"/>
          <w:szCs w:val="20"/>
          <w:color w:val="auto"/>
        </w:rPr>
      </w:pPr>
      <w:r>
        <w:rPr>
          <w:rFonts w:ascii="Arial" w:cs="Arial" w:eastAsia="Arial" w:hAnsi="Arial"/>
          <w:sz w:val="20"/>
          <w:szCs w:val="20"/>
          <w:color w:val="auto"/>
        </w:rPr>
        <w:t>In addition to the pre-clearance requirements set forth above, officers and directors subject to the reporting obligations under Section 16 of the Exchange Act (“</w:t>
      </w:r>
      <w:r>
        <w:rPr>
          <w:rFonts w:ascii="Arial" w:cs="Arial" w:eastAsia="Arial" w:hAnsi="Arial"/>
          <w:sz w:val="20"/>
          <w:szCs w:val="20"/>
          <w:b w:val="1"/>
          <w:bCs w:val="1"/>
          <w:i w:val="1"/>
          <w:iCs w:val="1"/>
          <w:color w:val="auto"/>
        </w:rPr>
        <w:t>Section 16 Persons</w:t>
      </w:r>
      <w:r>
        <w:rPr>
          <w:rFonts w:ascii="Arial" w:cs="Arial" w:eastAsia="Arial" w:hAnsi="Arial"/>
          <w:sz w:val="20"/>
          <w:szCs w:val="20"/>
          <w:color w:val="auto"/>
        </w:rPr>
        <w:t>”) must also give advance notice of their plans to execute any transaction (including the exercise of an outstanding stock option) to the Compliance Officer. Once any transaction takes place, the employee, director or designated consultant must immediately notify the Compliance Officer so that Tempest may assist in any Section 16 reporting obligations.</w:t>
      </w:r>
    </w:p>
    <w:p>
      <w:pPr>
        <w:spacing w:after="0" w:line="175"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20"/>
          <w:szCs w:val="20"/>
          <w:color w:val="auto"/>
        </w:rPr>
        <w:t>Section 16 Persons should also take care to avoid short-swing transactions (within the meaning of Section 16(b) of the Exchange Act) and the restrictions on sales by control persons (Rule 144 under the Securities Act of 1933, as amended), and should file all appropriate Section 16(a) reports (Forms 3, 4 and 5), which are described in Tempest’s Section 16 Compliance Program, and any notices of sale required by Rule 144.</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vent</w:t>
      </w:r>
      <w:r>
        <w:rPr>
          <w:rFonts w:ascii="Arial" w:cs="Arial" w:eastAsia="Arial" w:hAnsi="Arial"/>
          <w:sz w:val="20"/>
          <w:szCs w:val="20"/>
          <w:b w:val="1"/>
          <w:bCs w:val="1"/>
          <w:color w:val="auto"/>
        </w:rPr>
        <w:t>-S</w:t>
      </w:r>
      <w:r>
        <w:rPr>
          <w:rFonts w:ascii="Arial" w:cs="Arial" w:eastAsia="Arial" w:hAnsi="Arial"/>
          <w:sz w:val="13"/>
          <w:szCs w:val="13"/>
          <w:b w:val="1"/>
          <w:bCs w:val="1"/>
          <w:color w:val="auto"/>
        </w:rPr>
        <w:t>pecific</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rading</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lackouts</w:t>
      </w:r>
    </w:p>
    <w:p>
      <w:pPr>
        <w:spacing w:after="0" w:line="204" w:lineRule="exact"/>
        <w:rPr>
          <w:sz w:val="20"/>
          <w:szCs w:val="20"/>
          <w:color w:val="auto"/>
        </w:rPr>
      </w:pPr>
    </w:p>
    <w:p>
      <w:pPr>
        <w:jc w:val="both"/>
        <w:ind w:firstLine="374"/>
        <w:spacing w:after="0" w:line="231" w:lineRule="auto"/>
        <w:rPr>
          <w:sz w:val="20"/>
          <w:szCs w:val="20"/>
          <w:color w:val="auto"/>
        </w:rPr>
      </w:pPr>
      <w:r>
        <w:rPr>
          <w:rFonts w:ascii="Arial" w:cs="Arial" w:eastAsia="Arial" w:hAnsi="Arial"/>
          <w:sz w:val="20"/>
          <w:szCs w:val="20"/>
          <w:color w:val="auto"/>
        </w:rPr>
        <w:t>From time to time, an event may occur that is material to Tempest and is known by only a few employees, directors, and/or designated consultants. So long as the event remains material and nonpublic, the persons designated by the Tempest’s Vice President, Strategy and Finance (or his or her designee, or another individual designated by the Board (the “</w:t>
      </w:r>
      <w:r>
        <w:rPr>
          <w:rFonts w:ascii="Arial" w:cs="Arial" w:eastAsia="Arial" w:hAnsi="Arial"/>
          <w:sz w:val="20"/>
          <w:szCs w:val="20"/>
          <w:b w:val="1"/>
          <w:bCs w:val="1"/>
          <w:i w:val="1"/>
          <w:iCs w:val="1"/>
          <w:color w:val="auto"/>
        </w:rPr>
        <w:t>Compliance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Officer</w:t>
      </w:r>
      <w:r>
        <w:rPr>
          <w:rFonts w:ascii="Arial" w:cs="Arial" w:eastAsia="Arial" w:hAnsi="Arial"/>
          <w:sz w:val="20"/>
          <w:szCs w:val="20"/>
          <w:color w:val="auto"/>
        </w:rPr>
        <w:t>”) may not trade in Tempest’s securities. In that situation, Tempest will notify the designated individuals that neither they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nor their Related Persons may trade in the Tempest’s securities. The existence of an event-specific trading blackout should also be considered material nonpublic information and should not be communicated to any other person. Even if you have not been designated as a person who should not trade due to an event-specific trading blackout, you should not trade while aware of material nonpublic information. Exceptions will not be granted during an event-specific trading blackout.</w:t>
      </w:r>
    </w:p>
    <w:p>
      <w:pPr>
        <w:spacing w:after="0" w:line="173"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20"/>
          <w:szCs w:val="20"/>
          <w:color w:val="auto"/>
        </w:rPr>
        <w:t>The event-driven trading blackouts do not apply to those transactions to which this policy does not apply, as described under the heading “Exceptions to this Policy” below.</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aterial</w:t>
      </w:r>
      <w:r>
        <w:rPr>
          <w:rFonts w:ascii="Arial" w:cs="Arial" w:eastAsia="Arial" w:hAnsi="Arial"/>
          <w:sz w:val="20"/>
          <w:szCs w:val="20"/>
          <w:b w:val="1"/>
          <w:bCs w:val="1"/>
          <w:color w:val="auto"/>
        </w:rPr>
        <w:t xml:space="preserve"> N</w:t>
      </w:r>
      <w:r>
        <w:rPr>
          <w:rFonts w:ascii="Arial" w:cs="Arial" w:eastAsia="Arial" w:hAnsi="Arial"/>
          <w:sz w:val="13"/>
          <w:szCs w:val="13"/>
          <w:b w:val="1"/>
          <w:bCs w:val="1"/>
          <w:color w:val="auto"/>
        </w:rPr>
        <w:t>onpublic</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nformation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Material information</w:t>
      </w:r>
    </w:p>
    <w:p>
      <w:pPr>
        <w:spacing w:after="0" w:line="202"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20"/>
          <w:szCs w:val="20"/>
          <w:color w:val="auto"/>
        </w:rPr>
        <w:t>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color w:val="auto"/>
        </w:rPr>
        <w:t>Exhibit 19.1</w:t>
      </w:r>
    </w:p>
    <w:p>
      <w:pPr>
        <w:spacing w:after="0" w:line="200" w:lineRule="exact"/>
        <w:rPr>
          <w:sz w:val="20"/>
          <w:szCs w:val="20"/>
          <w:color w:val="auto"/>
        </w:rPr>
      </w:pPr>
    </w:p>
    <w:p>
      <w:pPr>
        <w:spacing w:after="0" w:line="23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of that company’s securities or to be considered important by investors who are considering trading that company’s securities. If the information makes you want to trade, it would probably have the same effect on others. Keep in mind that both positive and negative information can be material.</w:t>
      </w:r>
    </w:p>
    <w:p>
      <w:pPr>
        <w:spacing w:after="0" w:line="171" w:lineRule="exact"/>
        <w:rPr>
          <w:sz w:val="20"/>
          <w:szCs w:val="20"/>
          <w:color w:val="auto"/>
        </w:rPr>
      </w:pPr>
    </w:p>
    <w:p>
      <w:pPr>
        <w:jc w:val="both"/>
        <w:ind w:firstLine="374"/>
        <w:spacing w:after="0" w:line="234" w:lineRule="auto"/>
        <w:rPr>
          <w:sz w:val="20"/>
          <w:szCs w:val="20"/>
          <w:color w:val="auto"/>
        </w:rPr>
      </w:pPr>
      <w:r>
        <w:rPr>
          <w:rFonts w:ascii="Arial" w:cs="Arial" w:eastAsia="Arial" w:hAnsi="Arial"/>
          <w:sz w:val="20"/>
          <w:szCs w:val="20"/>
          <w:color w:val="auto"/>
        </w:rPr>
        <w:t>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w:t>
      </w:r>
    </w:p>
    <w:p>
      <w:pPr>
        <w:spacing w:after="0" w:line="175" w:lineRule="exact"/>
        <w:rPr>
          <w:sz w:val="20"/>
          <w:szCs w:val="20"/>
          <w:color w:val="auto"/>
        </w:rPr>
      </w:pPr>
    </w:p>
    <w:p>
      <w:pPr>
        <w:ind w:left="1140" w:hanging="383"/>
        <w:spacing w:after="0"/>
        <w:tabs>
          <w:tab w:leader="none" w:pos="1140" w:val="left"/>
        </w:tabs>
        <w:numPr>
          <w:ilvl w:val="0"/>
          <w:numId w:val="96"/>
        </w:numPr>
        <w:rPr>
          <w:rFonts w:ascii="Times New Roman" w:cs="Times New Roman" w:eastAsia="Times New Roman" w:hAnsi="Times New Roman"/>
          <w:sz w:val="20"/>
          <w:szCs w:val="20"/>
          <w:color w:val="auto"/>
        </w:rPr>
      </w:pPr>
      <w:r>
        <w:rPr>
          <w:rFonts w:ascii="Arial" w:cs="Arial" w:eastAsia="Arial" w:hAnsi="Arial"/>
          <w:sz w:val="20"/>
          <w:szCs w:val="20"/>
          <w:color w:val="auto"/>
        </w:rPr>
        <w:t>financial results or forecasts;</w:t>
      </w:r>
    </w:p>
    <w:p>
      <w:pPr>
        <w:spacing w:after="0" w:line="16" w:lineRule="exact"/>
        <w:rPr>
          <w:rFonts w:ascii="Times New Roman" w:cs="Times New Roman" w:eastAsia="Times New Roman" w:hAnsi="Times New Roman"/>
          <w:sz w:val="20"/>
          <w:szCs w:val="20"/>
          <w:color w:val="auto"/>
        </w:rPr>
      </w:pPr>
    </w:p>
    <w:p>
      <w:pPr>
        <w:ind w:left="1140" w:hanging="383"/>
        <w:spacing w:after="0" w:line="238" w:lineRule="auto"/>
        <w:tabs>
          <w:tab w:leader="none" w:pos="1140" w:val="left"/>
        </w:tabs>
        <w:numPr>
          <w:ilvl w:val="0"/>
          <w:numId w:val="96"/>
        </w:numPr>
        <w:rPr>
          <w:rFonts w:ascii="Times New Roman" w:cs="Times New Roman" w:eastAsia="Times New Roman" w:hAnsi="Times New Roman"/>
          <w:sz w:val="20"/>
          <w:szCs w:val="20"/>
          <w:color w:val="auto"/>
        </w:rPr>
      </w:pPr>
      <w:r>
        <w:rPr>
          <w:rFonts w:ascii="Arial" w:cs="Arial" w:eastAsia="Arial" w:hAnsi="Arial"/>
          <w:sz w:val="20"/>
          <w:szCs w:val="20"/>
          <w:color w:val="auto"/>
        </w:rPr>
        <w:t>status of product or product candidate development or regulatory approvals;</w:t>
      </w:r>
    </w:p>
    <w:p>
      <w:pPr>
        <w:ind w:left="1140" w:hanging="383"/>
        <w:spacing w:after="0" w:line="238" w:lineRule="auto"/>
        <w:tabs>
          <w:tab w:leader="none" w:pos="1140" w:val="left"/>
        </w:tabs>
        <w:numPr>
          <w:ilvl w:val="0"/>
          <w:numId w:val="96"/>
        </w:numPr>
        <w:rPr>
          <w:rFonts w:ascii="Times New Roman" w:cs="Times New Roman" w:eastAsia="Times New Roman" w:hAnsi="Times New Roman"/>
          <w:sz w:val="20"/>
          <w:szCs w:val="20"/>
          <w:color w:val="auto"/>
        </w:rPr>
      </w:pPr>
      <w:r>
        <w:rPr>
          <w:rFonts w:ascii="Arial" w:cs="Arial" w:eastAsia="Arial" w:hAnsi="Arial"/>
          <w:sz w:val="20"/>
          <w:szCs w:val="20"/>
          <w:color w:val="auto"/>
        </w:rPr>
        <w:t>clinical data relating to products or product candidates;</w:t>
      </w:r>
    </w:p>
    <w:p>
      <w:pPr>
        <w:ind w:left="1140" w:hanging="383"/>
        <w:spacing w:after="0" w:line="238" w:lineRule="auto"/>
        <w:tabs>
          <w:tab w:leader="none" w:pos="1140" w:val="left"/>
        </w:tabs>
        <w:numPr>
          <w:ilvl w:val="0"/>
          <w:numId w:val="96"/>
        </w:numPr>
        <w:rPr>
          <w:rFonts w:ascii="Times New Roman" w:cs="Times New Roman" w:eastAsia="Times New Roman" w:hAnsi="Times New Roman"/>
          <w:sz w:val="20"/>
          <w:szCs w:val="20"/>
          <w:color w:val="auto"/>
        </w:rPr>
      </w:pPr>
      <w:r>
        <w:rPr>
          <w:rFonts w:ascii="Arial" w:cs="Arial" w:eastAsia="Arial" w:hAnsi="Arial"/>
          <w:sz w:val="20"/>
          <w:szCs w:val="20"/>
          <w:color w:val="auto"/>
        </w:rPr>
        <w:t>timelines for pre-clinical studies or clinical trials;</w:t>
      </w:r>
    </w:p>
    <w:p>
      <w:pPr>
        <w:ind w:left="1140" w:hanging="383"/>
        <w:spacing w:after="0" w:line="238" w:lineRule="auto"/>
        <w:tabs>
          <w:tab w:leader="none" w:pos="1140" w:val="left"/>
        </w:tabs>
        <w:numPr>
          <w:ilvl w:val="0"/>
          <w:numId w:val="96"/>
        </w:numPr>
        <w:rPr>
          <w:rFonts w:ascii="Times New Roman" w:cs="Times New Roman" w:eastAsia="Times New Roman" w:hAnsi="Times New Roman"/>
          <w:sz w:val="20"/>
          <w:szCs w:val="20"/>
          <w:color w:val="auto"/>
        </w:rPr>
      </w:pPr>
      <w:r>
        <w:rPr>
          <w:rFonts w:ascii="Arial" w:cs="Arial" w:eastAsia="Arial" w:hAnsi="Arial"/>
          <w:sz w:val="20"/>
          <w:szCs w:val="20"/>
          <w:color w:val="auto"/>
        </w:rPr>
        <w:t>acquisitions or dispositions of assets, divisions or companies;</w:t>
      </w:r>
    </w:p>
    <w:p>
      <w:pPr>
        <w:ind w:left="1140" w:hanging="383"/>
        <w:spacing w:after="0" w:line="238" w:lineRule="auto"/>
        <w:tabs>
          <w:tab w:leader="none" w:pos="1140" w:val="left"/>
        </w:tabs>
        <w:numPr>
          <w:ilvl w:val="0"/>
          <w:numId w:val="96"/>
        </w:numPr>
        <w:rPr>
          <w:rFonts w:ascii="Times New Roman" w:cs="Times New Roman" w:eastAsia="Times New Roman" w:hAnsi="Times New Roman"/>
          <w:sz w:val="20"/>
          <w:szCs w:val="20"/>
          <w:color w:val="auto"/>
        </w:rPr>
      </w:pPr>
      <w:r>
        <w:rPr>
          <w:rFonts w:ascii="Arial" w:cs="Arial" w:eastAsia="Arial" w:hAnsi="Arial"/>
          <w:sz w:val="20"/>
          <w:szCs w:val="20"/>
          <w:color w:val="auto"/>
        </w:rPr>
        <w:t>public or private sales of debt or equity securities;</w:t>
      </w:r>
    </w:p>
    <w:p>
      <w:pPr>
        <w:ind w:left="1140" w:hanging="383"/>
        <w:spacing w:after="0" w:line="238" w:lineRule="auto"/>
        <w:tabs>
          <w:tab w:leader="none" w:pos="1140" w:val="left"/>
        </w:tabs>
        <w:numPr>
          <w:ilvl w:val="0"/>
          <w:numId w:val="96"/>
        </w:numPr>
        <w:rPr>
          <w:rFonts w:ascii="Times New Roman" w:cs="Times New Roman" w:eastAsia="Times New Roman" w:hAnsi="Times New Roman"/>
          <w:sz w:val="20"/>
          <w:szCs w:val="20"/>
          <w:color w:val="auto"/>
        </w:rPr>
      </w:pPr>
      <w:r>
        <w:rPr>
          <w:rFonts w:ascii="Arial" w:cs="Arial" w:eastAsia="Arial" w:hAnsi="Arial"/>
          <w:sz w:val="20"/>
          <w:szCs w:val="20"/>
          <w:color w:val="auto"/>
        </w:rPr>
        <w:t>stock splits, dividends or changes in dividend policy;</w:t>
      </w:r>
    </w:p>
    <w:p>
      <w:pPr>
        <w:ind w:left="1140" w:hanging="383"/>
        <w:spacing w:after="0" w:line="238" w:lineRule="auto"/>
        <w:tabs>
          <w:tab w:leader="none" w:pos="1140" w:val="left"/>
        </w:tabs>
        <w:numPr>
          <w:ilvl w:val="0"/>
          <w:numId w:val="96"/>
        </w:numPr>
        <w:rPr>
          <w:rFonts w:ascii="Times New Roman" w:cs="Times New Roman" w:eastAsia="Times New Roman" w:hAnsi="Times New Roman"/>
          <w:sz w:val="20"/>
          <w:szCs w:val="20"/>
          <w:color w:val="auto"/>
        </w:rPr>
      </w:pPr>
      <w:r>
        <w:rPr>
          <w:rFonts w:ascii="Arial" w:cs="Arial" w:eastAsia="Arial" w:hAnsi="Arial"/>
          <w:sz w:val="20"/>
          <w:szCs w:val="20"/>
          <w:color w:val="auto"/>
        </w:rPr>
        <w:t>the establishment of a repurchase program for Tempest’s securities;</w:t>
      </w:r>
    </w:p>
    <w:p>
      <w:pPr>
        <w:ind w:left="1140" w:hanging="383"/>
        <w:spacing w:after="0" w:line="238" w:lineRule="auto"/>
        <w:tabs>
          <w:tab w:leader="none" w:pos="1140" w:val="left"/>
        </w:tabs>
        <w:numPr>
          <w:ilvl w:val="0"/>
          <w:numId w:val="96"/>
        </w:numPr>
        <w:rPr>
          <w:rFonts w:ascii="Times New Roman" w:cs="Times New Roman" w:eastAsia="Times New Roman" w:hAnsi="Times New Roman"/>
          <w:sz w:val="20"/>
          <w:szCs w:val="20"/>
          <w:color w:val="auto"/>
        </w:rPr>
      </w:pPr>
      <w:r>
        <w:rPr>
          <w:rFonts w:ascii="Arial" w:cs="Arial" w:eastAsia="Arial" w:hAnsi="Arial"/>
          <w:sz w:val="20"/>
          <w:szCs w:val="20"/>
          <w:color w:val="auto"/>
        </w:rPr>
        <w:t>gain or loss of a significant licensor, licensee or supplier; and</w:t>
      </w:r>
    </w:p>
    <w:p>
      <w:pPr>
        <w:ind w:left="1140" w:hanging="383"/>
        <w:spacing w:after="0" w:line="238" w:lineRule="auto"/>
        <w:tabs>
          <w:tab w:leader="none" w:pos="1140" w:val="left"/>
        </w:tabs>
        <w:numPr>
          <w:ilvl w:val="0"/>
          <w:numId w:val="96"/>
        </w:numPr>
        <w:rPr>
          <w:rFonts w:ascii="Times New Roman" w:cs="Times New Roman" w:eastAsia="Times New Roman" w:hAnsi="Times New Roman"/>
          <w:sz w:val="20"/>
          <w:szCs w:val="20"/>
          <w:color w:val="auto"/>
        </w:rPr>
      </w:pPr>
      <w:r>
        <w:rPr>
          <w:rFonts w:ascii="Arial" w:cs="Arial" w:eastAsia="Arial" w:hAnsi="Arial"/>
          <w:sz w:val="20"/>
          <w:szCs w:val="20"/>
          <w:color w:val="auto"/>
        </w:rPr>
        <w:t>changes or new corporate partner relationships or collaborations.</w:t>
      </w:r>
    </w:p>
    <w:p>
      <w:pPr>
        <w:ind w:left="1140" w:hanging="383"/>
        <w:spacing w:after="0" w:line="238" w:lineRule="auto"/>
        <w:tabs>
          <w:tab w:leader="none" w:pos="1140" w:val="left"/>
        </w:tabs>
        <w:numPr>
          <w:ilvl w:val="0"/>
          <w:numId w:val="96"/>
        </w:numPr>
        <w:rPr>
          <w:rFonts w:ascii="Times New Roman" w:cs="Times New Roman" w:eastAsia="Times New Roman" w:hAnsi="Times New Roman"/>
          <w:sz w:val="20"/>
          <w:szCs w:val="20"/>
          <w:color w:val="auto"/>
        </w:rPr>
      </w:pPr>
      <w:r>
        <w:rPr>
          <w:rFonts w:ascii="Arial" w:cs="Arial" w:eastAsia="Arial" w:hAnsi="Arial"/>
          <w:sz w:val="20"/>
          <w:szCs w:val="20"/>
          <w:color w:val="auto"/>
        </w:rPr>
        <w:t>notice of issuance or denial of patents;</w:t>
      </w:r>
    </w:p>
    <w:p>
      <w:pPr>
        <w:ind w:left="1140" w:hanging="383"/>
        <w:spacing w:after="0" w:line="238" w:lineRule="auto"/>
        <w:tabs>
          <w:tab w:leader="none" w:pos="1140" w:val="left"/>
        </w:tabs>
        <w:numPr>
          <w:ilvl w:val="0"/>
          <w:numId w:val="96"/>
        </w:numPr>
        <w:rPr>
          <w:rFonts w:ascii="Times New Roman" w:cs="Times New Roman" w:eastAsia="Times New Roman" w:hAnsi="Times New Roman"/>
          <w:sz w:val="20"/>
          <w:szCs w:val="20"/>
          <w:color w:val="auto"/>
        </w:rPr>
      </w:pPr>
      <w:r>
        <w:rPr>
          <w:rFonts w:ascii="Arial" w:cs="Arial" w:eastAsia="Arial" w:hAnsi="Arial"/>
          <w:sz w:val="20"/>
          <w:szCs w:val="20"/>
          <w:color w:val="auto"/>
        </w:rPr>
        <w:t>regulatory developments;</w:t>
      </w:r>
    </w:p>
    <w:p>
      <w:pPr>
        <w:ind w:left="1140" w:hanging="383"/>
        <w:spacing w:after="0" w:line="238" w:lineRule="auto"/>
        <w:tabs>
          <w:tab w:leader="none" w:pos="1140" w:val="left"/>
        </w:tabs>
        <w:numPr>
          <w:ilvl w:val="0"/>
          <w:numId w:val="96"/>
        </w:numPr>
        <w:rPr>
          <w:rFonts w:ascii="Times New Roman" w:cs="Times New Roman" w:eastAsia="Times New Roman" w:hAnsi="Times New Roman"/>
          <w:sz w:val="20"/>
          <w:szCs w:val="20"/>
          <w:color w:val="auto"/>
        </w:rPr>
      </w:pPr>
      <w:r>
        <w:rPr>
          <w:rFonts w:ascii="Arial" w:cs="Arial" w:eastAsia="Arial" w:hAnsi="Arial"/>
          <w:sz w:val="20"/>
          <w:szCs w:val="20"/>
          <w:color w:val="auto"/>
        </w:rPr>
        <w:t>management or control changes;</w:t>
      </w:r>
    </w:p>
    <w:p>
      <w:pPr>
        <w:ind w:left="1140" w:hanging="383"/>
        <w:spacing w:after="0" w:line="238" w:lineRule="auto"/>
        <w:tabs>
          <w:tab w:leader="none" w:pos="1140" w:val="left"/>
        </w:tabs>
        <w:numPr>
          <w:ilvl w:val="0"/>
          <w:numId w:val="96"/>
        </w:numPr>
        <w:rPr>
          <w:rFonts w:ascii="Times New Roman" w:cs="Times New Roman" w:eastAsia="Times New Roman" w:hAnsi="Times New Roman"/>
          <w:sz w:val="20"/>
          <w:szCs w:val="20"/>
          <w:color w:val="auto"/>
        </w:rPr>
      </w:pPr>
      <w:r>
        <w:rPr>
          <w:rFonts w:ascii="Arial" w:cs="Arial" w:eastAsia="Arial" w:hAnsi="Arial"/>
          <w:sz w:val="20"/>
          <w:szCs w:val="20"/>
          <w:color w:val="auto"/>
        </w:rPr>
        <w:t>employee layoffs;</w:t>
      </w:r>
    </w:p>
    <w:p>
      <w:pPr>
        <w:ind w:left="1140" w:hanging="383"/>
        <w:spacing w:after="0" w:line="224" w:lineRule="auto"/>
        <w:tabs>
          <w:tab w:leader="none" w:pos="1140" w:val="left"/>
        </w:tabs>
        <w:numPr>
          <w:ilvl w:val="0"/>
          <w:numId w:val="96"/>
        </w:numPr>
        <w:rPr>
          <w:rFonts w:ascii="Times New Roman" w:cs="Times New Roman" w:eastAsia="Times New Roman" w:hAnsi="Times New Roman"/>
          <w:sz w:val="20"/>
          <w:szCs w:val="20"/>
          <w:color w:val="auto"/>
        </w:rPr>
      </w:pPr>
      <w:r>
        <w:rPr>
          <w:rFonts w:ascii="Arial" w:cs="Arial" w:eastAsia="Arial" w:hAnsi="Arial"/>
          <w:sz w:val="20"/>
          <w:szCs w:val="20"/>
          <w:color w:val="auto"/>
        </w:rPr>
        <w:t>a disruption in Tempest’s operations or breach or unauthorized access of its property or assets, including its facilities and information technology infrastructure;</w:t>
      </w:r>
    </w:p>
    <w:p>
      <w:pPr>
        <w:spacing w:after="0" w:line="1" w:lineRule="exact"/>
        <w:rPr>
          <w:rFonts w:ascii="Times New Roman" w:cs="Times New Roman" w:eastAsia="Times New Roman" w:hAnsi="Times New Roman"/>
          <w:sz w:val="20"/>
          <w:szCs w:val="20"/>
          <w:color w:val="auto"/>
        </w:rPr>
      </w:pPr>
    </w:p>
    <w:p>
      <w:pPr>
        <w:ind w:left="1140" w:hanging="383"/>
        <w:spacing w:after="0" w:line="238" w:lineRule="auto"/>
        <w:tabs>
          <w:tab w:leader="none" w:pos="1140" w:val="left"/>
        </w:tabs>
        <w:numPr>
          <w:ilvl w:val="0"/>
          <w:numId w:val="96"/>
        </w:numPr>
        <w:rPr>
          <w:rFonts w:ascii="Times New Roman" w:cs="Times New Roman" w:eastAsia="Times New Roman" w:hAnsi="Times New Roman"/>
          <w:sz w:val="20"/>
          <w:szCs w:val="20"/>
          <w:color w:val="auto"/>
        </w:rPr>
      </w:pPr>
      <w:r>
        <w:rPr>
          <w:rFonts w:ascii="Arial" w:cs="Arial" w:eastAsia="Arial" w:hAnsi="Arial"/>
          <w:sz w:val="20"/>
          <w:szCs w:val="20"/>
          <w:color w:val="auto"/>
        </w:rPr>
        <w:t>tender offers or proxy fights;</w:t>
      </w:r>
    </w:p>
    <w:p>
      <w:pPr>
        <w:ind w:left="1140" w:hanging="383"/>
        <w:spacing w:after="0" w:line="238" w:lineRule="auto"/>
        <w:tabs>
          <w:tab w:leader="none" w:pos="1140" w:val="left"/>
        </w:tabs>
        <w:numPr>
          <w:ilvl w:val="0"/>
          <w:numId w:val="96"/>
        </w:numPr>
        <w:rPr>
          <w:rFonts w:ascii="Times New Roman" w:cs="Times New Roman" w:eastAsia="Times New Roman" w:hAnsi="Times New Roman"/>
          <w:sz w:val="20"/>
          <w:szCs w:val="20"/>
          <w:color w:val="auto"/>
        </w:rPr>
      </w:pPr>
      <w:r>
        <w:rPr>
          <w:rFonts w:ascii="Arial" w:cs="Arial" w:eastAsia="Arial" w:hAnsi="Arial"/>
          <w:sz w:val="20"/>
          <w:szCs w:val="20"/>
          <w:color w:val="auto"/>
        </w:rPr>
        <w:t>accounting restatements;</w:t>
      </w:r>
    </w:p>
    <w:p>
      <w:pPr>
        <w:ind w:left="1140" w:hanging="383"/>
        <w:spacing w:after="0" w:line="238" w:lineRule="auto"/>
        <w:tabs>
          <w:tab w:leader="none" w:pos="1140" w:val="left"/>
        </w:tabs>
        <w:numPr>
          <w:ilvl w:val="0"/>
          <w:numId w:val="96"/>
        </w:numPr>
        <w:rPr>
          <w:rFonts w:ascii="Times New Roman" w:cs="Times New Roman" w:eastAsia="Times New Roman" w:hAnsi="Times New Roman"/>
          <w:sz w:val="20"/>
          <w:szCs w:val="20"/>
          <w:color w:val="auto"/>
        </w:rPr>
      </w:pPr>
      <w:r>
        <w:rPr>
          <w:rFonts w:ascii="Arial" w:cs="Arial" w:eastAsia="Arial" w:hAnsi="Arial"/>
          <w:sz w:val="20"/>
          <w:szCs w:val="20"/>
          <w:color w:val="auto"/>
        </w:rPr>
        <w:t>litigation or settlements; and</w:t>
      </w:r>
    </w:p>
    <w:p>
      <w:pPr>
        <w:ind w:left="1140" w:hanging="383"/>
        <w:spacing w:after="0"/>
        <w:tabs>
          <w:tab w:leader="none" w:pos="1140" w:val="left"/>
        </w:tabs>
        <w:numPr>
          <w:ilvl w:val="0"/>
          <w:numId w:val="96"/>
        </w:numPr>
        <w:rPr>
          <w:rFonts w:ascii="Times New Roman" w:cs="Times New Roman" w:eastAsia="Times New Roman" w:hAnsi="Times New Roman"/>
          <w:sz w:val="20"/>
          <w:szCs w:val="20"/>
          <w:color w:val="auto"/>
        </w:rPr>
      </w:pPr>
      <w:r>
        <w:rPr>
          <w:rFonts w:ascii="Arial" w:cs="Arial" w:eastAsia="Arial" w:hAnsi="Arial"/>
          <w:sz w:val="20"/>
          <w:szCs w:val="20"/>
          <w:color w:val="auto"/>
        </w:rPr>
        <w:t>impending bankruptcy.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When information is considered public</w:t>
      </w:r>
    </w:p>
    <w:p>
      <w:pPr>
        <w:spacing w:after="0" w:line="202" w:lineRule="exact"/>
        <w:rPr>
          <w:sz w:val="20"/>
          <w:szCs w:val="20"/>
          <w:color w:val="auto"/>
        </w:rPr>
      </w:pPr>
    </w:p>
    <w:p>
      <w:pPr>
        <w:jc w:val="both"/>
        <w:ind w:firstLine="374"/>
        <w:spacing w:after="0" w:line="230" w:lineRule="auto"/>
        <w:rPr>
          <w:sz w:val="20"/>
          <w:szCs w:val="20"/>
          <w:color w:val="auto"/>
        </w:rPr>
      </w:pPr>
      <w:r>
        <w:rPr>
          <w:rFonts w:ascii="Arial" w:cs="Arial" w:eastAsia="Arial" w:hAnsi="Arial"/>
          <w:sz w:val="20"/>
          <w:szCs w:val="20"/>
          <w:color w:val="auto"/>
        </w:rPr>
        <w:t>The prohibition on trading when you have material nonpublic information lifts once that information becomes publicly disseminated. But for information to be considered publicly disseminated, it must be widely disseminated through a press release, a filing with the Securities and Exchange Commission (the “</w:t>
      </w:r>
      <w:r>
        <w:rPr>
          <w:rFonts w:ascii="Arial" w:cs="Arial" w:eastAsia="Arial" w:hAnsi="Arial"/>
          <w:sz w:val="20"/>
          <w:szCs w:val="20"/>
          <w:b w:val="1"/>
          <w:bCs w:val="1"/>
          <w:i w:val="1"/>
          <w:iCs w:val="1"/>
          <w:color w:val="auto"/>
        </w:rPr>
        <w:t>SEC</w:t>
      </w:r>
      <w:r>
        <w:rPr>
          <w:rFonts w:ascii="Arial" w:cs="Arial" w:eastAsia="Arial" w:hAnsi="Arial"/>
          <w:sz w:val="20"/>
          <w:szCs w:val="20"/>
          <w:color w:val="auto"/>
        </w:rPr>
        <w:t>”),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two full trading days have elapsed since the information was publicly disclosed. For example, if we announce material nonpublic information before trading begins on Wednesday, then you may execute a transaction in our securities on Friday; if we announce material nonpublic information after trading ends on Wednesday, then you may execute a transaction in our securities on Monday. Depending on the particular circumstances, Tempest may determine that a longer or shorter waiting period should apply to the release of specific material nonpublic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xceptions to this</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color w:val="auto"/>
        </w:rPr>
        <w:t>Exhibit 19.1</w:t>
      </w:r>
    </w:p>
    <w:p>
      <w:pPr>
        <w:spacing w:after="0" w:line="200" w:lineRule="exact"/>
        <w:rPr>
          <w:sz w:val="20"/>
          <w:szCs w:val="20"/>
          <w:color w:val="auto"/>
        </w:rPr>
      </w:pPr>
    </w:p>
    <w:p>
      <w:pPr>
        <w:spacing w:after="0" w:line="23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This policy does not apply in the case of the following transactions, except as specifically noted:</w:t>
      </w:r>
    </w:p>
    <w:p>
      <w:pPr>
        <w:spacing w:after="0" w:line="4" w:lineRule="exact"/>
        <w:rPr>
          <w:sz w:val="20"/>
          <w:szCs w:val="20"/>
          <w:color w:val="auto"/>
        </w:rPr>
      </w:pPr>
    </w:p>
    <w:p>
      <w:pPr>
        <w:jc w:val="both"/>
        <w:ind w:firstLine="374"/>
        <w:spacing w:after="0" w:line="244" w:lineRule="auto"/>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9"/>
          <w:szCs w:val="19"/>
          <w:b w:val="1"/>
          <w:bCs w:val="1"/>
          <w:i w:val="1"/>
          <w:iCs w:val="1"/>
          <w:color w:val="auto"/>
        </w:rPr>
        <w:t>Option Exercises</w:t>
      </w:r>
      <w:r>
        <w:rPr>
          <w:rFonts w:ascii="Arial" w:cs="Arial" w:eastAsia="Arial" w:hAnsi="Arial"/>
          <w:sz w:val="19"/>
          <w:szCs w:val="19"/>
          <w:color w:val="auto"/>
        </w:rPr>
        <w:t>. This policy does not apply to the exercise of options granted under Tempest’s equity compensation</w:t>
      </w:r>
      <w:r>
        <w:rPr>
          <w:rFonts w:ascii="Arial" w:cs="Arial" w:eastAsia="Arial" w:hAnsi="Arial"/>
          <w:sz w:val="18"/>
          <w:szCs w:val="18"/>
          <w:b w:val="1"/>
          <w:bCs w:val="1"/>
          <w:color w:val="auto"/>
        </w:rPr>
        <w:t xml:space="preserve"> </w:t>
      </w:r>
      <w:r>
        <w:rPr>
          <w:rFonts w:ascii="Arial" w:cs="Arial" w:eastAsia="Arial" w:hAnsi="Arial"/>
          <w:sz w:val="19"/>
          <w:szCs w:val="19"/>
          <w:color w:val="auto"/>
        </w:rPr>
        <w:t>plans for cash or, where permitted under the option, by a net exercise transaction with the Company or by delivery to Tempest of already-owned Tempest stock. This policy does, however, apply to any sale of stock as part of a broker-assisted cashless exercise or any other market sale, whether or not for the purpose of generating the cash needed to pay the exercise price or pay taxes.</w:t>
      </w:r>
    </w:p>
    <w:p>
      <w:pPr>
        <w:spacing w:after="0" w:line="389"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b w:val="1"/>
          <w:bCs w:val="1"/>
          <w:color w:val="auto"/>
        </w:rPr>
        <w:t>2.</w:t>
      </w:r>
      <w:r>
        <w:rPr>
          <w:rFonts w:ascii="Arial" w:cs="Arial" w:eastAsia="Arial" w:hAnsi="Arial"/>
          <w:sz w:val="19"/>
          <w:szCs w:val="19"/>
          <w:b w:val="1"/>
          <w:bCs w:val="1"/>
          <w:i w:val="1"/>
          <w:iCs w:val="1"/>
          <w:color w:val="auto"/>
        </w:rPr>
        <w:t>Tax Withholding Transactions</w:t>
      </w:r>
      <w:r>
        <w:rPr>
          <w:rFonts w:ascii="Arial" w:cs="Arial" w:eastAsia="Arial" w:hAnsi="Arial"/>
          <w:sz w:val="19"/>
          <w:szCs w:val="19"/>
          <w:color w:val="auto"/>
        </w:rPr>
        <w:t>. This policy does not apply to the surrender of shares directly to Tempest to satisfy tax</w:t>
      </w:r>
      <w:r>
        <w:rPr>
          <w:rFonts w:ascii="Arial" w:cs="Arial" w:eastAsia="Arial" w:hAnsi="Arial"/>
          <w:sz w:val="18"/>
          <w:szCs w:val="18"/>
          <w:b w:val="1"/>
          <w:bCs w:val="1"/>
          <w:color w:val="auto"/>
        </w:rPr>
        <w:t xml:space="preserve"> </w:t>
      </w:r>
      <w:r>
        <w:rPr>
          <w:rFonts w:ascii="Arial" w:cs="Arial" w:eastAsia="Arial" w:hAnsi="Arial"/>
          <w:sz w:val="19"/>
          <w:szCs w:val="19"/>
          <w:color w:val="auto"/>
        </w:rPr>
        <w:t>withholding obligations as a result of the issuance of shares upon vesting or exercise of restricted stock units, options or other equity awards granted under Tempest’s equity compensation plans. Of course, any market sale of the stock received upon exercise or vesting of any such equity awards remains subject to all provisions of this policy whether or not for the purpose of generating the cash needed to pay the exercise price or pay taxes.</w:t>
      </w:r>
    </w:p>
    <w:p>
      <w:pPr>
        <w:spacing w:after="0" w:line="167" w:lineRule="exact"/>
        <w:rPr>
          <w:sz w:val="20"/>
          <w:szCs w:val="20"/>
          <w:color w:val="auto"/>
        </w:rPr>
      </w:pPr>
    </w:p>
    <w:p>
      <w:pPr>
        <w:jc w:val="both"/>
        <w:ind w:firstLine="374"/>
        <w:spacing w:after="0" w:line="260" w:lineRule="auto"/>
        <w:rPr>
          <w:sz w:val="20"/>
          <w:szCs w:val="20"/>
          <w:color w:val="auto"/>
        </w:rPr>
      </w:pPr>
      <w:r>
        <w:rPr>
          <w:rFonts w:ascii="Arial" w:cs="Arial" w:eastAsia="Arial" w:hAnsi="Arial"/>
          <w:sz w:val="18"/>
          <w:szCs w:val="18"/>
          <w:b w:val="1"/>
          <w:bCs w:val="1"/>
          <w:color w:val="auto"/>
        </w:rPr>
        <w:t>3.</w:t>
      </w:r>
      <w:r>
        <w:rPr>
          <w:rFonts w:ascii="Arial" w:cs="Arial" w:eastAsia="Arial" w:hAnsi="Arial"/>
          <w:sz w:val="19"/>
          <w:szCs w:val="19"/>
          <w:b w:val="1"/>
          <w:bCs w:val="1"/>
          <w:i w:val="1"/>
          <w:iCs w:val="1"/>
          <w:color w:val="auto"/>
        </w:rPr>
        <w:t>ESPP</w:t>
      </w:r>
      <w:r>
        <w:rPr>
          <w:rFonts w:ascii="Arial" w:cs="Arial" w:eastAsia="Arial" w:hAnsi="Arial"/>
          <w:sz w:val="19"/>
          <w:szCs w:val="19"/>
          <w:i w:val="1"/>
          <w:iCs w:val="1"/>
          <w:color w:val="auto"/>
        </w:rPr>
        <w:t>.</w:t>
      </w:r>
      <w:r>
        <w:rPr>
          <w:rFonts w:ascii="Arial" w:cs="Arial" w:eastAsia="Arial" w:hAnsi="Arial"/>
          <w:sz w:val="18"/>
          <w:szCs w:val="18"/>
          <w:b w:val="1"/>
          <w:bCs w:val="1"/>
          <w:color w:val="auto"/>
        </w:rPr>
        <w:t xml:space="preserve"> </w:t>
      </w:r>
      <w:r>
        <w:rPr>
          <w:rFonts w:ascii="Arial" w:cs="Arial" w:eastAsia="Arial" w:hAnsi="Arial"/>
          <w:sz w:val="19"/>
          <w:szCs w:val="19"/>
          <w:color w:val="auto"/>
        </w:rPr>
        <w:t>This policy does not apply to the purchase of stock by employees under Tempest’s Employee Stock Purchase Plan</w:t>
      </w:r>
      <w:r>
        <w:rPr>
          <w:rFonts w:ascii="Arial" w:cs="Arial" w:eastAsia="Arial" w:hAnsi="Arial"/>
          <w:sz w:val="18"/>
          <w:szCs w:val="18"/>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i w:val="1"/>
          <w:iCs w:val="1"/>
          <w:color w:val="auto"/>
        </w:rPr>
        <w:t>ESPP</w:t>
      </w:r>
      <w:r>
        <w:rPr>
          <w:rFonts w:ascii="Arial" w:cs="Arial" w:eastAsia="Arial" w:hAnsi="Arial"/>
          <w:sz w:val="19"/>
          <w:szCs w:val="19"/>
          <w:color w:val="auto"/>
        </w:rPr>
        <w:t>”) on periodic designated dates in accordance with the ESPP. This policy does, however, apply to any sale of stock acquired pursuant to the ESPP.</w:t>
      </w:r>
    </w:p>
    <w:p>
      <w:pPr>
        <w:spacing w:after="0" w:line="154"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b w:val="1"/>
          <w:bCs w:val="1"/>
          <w:color w:val="auto"/>
        </w:rPr>
        <w:t>4.</w:t>
      </w:r>
      <w:r>
        <w:rPr>
          <w:rFonts w:ascii="Arial" w:cs="Arial" w:eastAsia="Arial" w:hAnsi="Arial"/>
          <w:sz w:val="19"/>
          <w:szCs w:val="19"/>
          <w:b w:val="1"/>
          <w:bCs w:val="1"/>
          <w:i w:val="1"/>
          <w:iCs w:val="1"/>
          <w:color w:val="auto"/>
        </w:rPr>
        <w:t>10b5-1 Automatic Trading Programs</w:t>
      </w:r>
      <w:r>
        <w:rPr>
          <w:rFonts w:ascii="Arial" w:cs="Arial" w:eastAsia="Arial" w:hAnsi="Arial"/>
          <w:sz w:val="19"/>
          <w:szCs w:val="19"/>
          <w:i w:val="1"/>
          <w:iCs w:val="1"/>
          <w:color w:val="auto"/>
        </w:rPr>
        <w:t>.</w:t>
      </w:r>
      <w:r>
        <w:rPr>
          <w:rFonts w:ascii="Arial" w:cs="Arial" w:eastAsia="Arial" w:hAnsi="Arial"/>
          <w:sz w:val="18"/>
          <w:szCs w:val="18"/>
          <w:b w:val="1"/>
          <w:bCs w:val="1"/>
          <w:color w:val="auto"/>
        </w:rPr>
        <w:t xml:space="preserve"> </w:t>
      </w:r>
      <w:r>
        <w:rPr>
          <w:rFonts w:ascii="Arial" w:cs="Arial" w:eastAsia="Arial" w:hAnsi="Arial"/>
          <w:sz w:val="19"/>
          <w:szCs w:val="19"/>
          <w:color w:val="auto"/>
        </w:rPr>
        <w:t>Under Rule 10b5-1 of the Securities Exchange Act of 1934, as amended</w:t>
      </w:r>
      <w:r>
        <w:rPr>
          <w:rFonts w:ascii="Arial" w:cs="Arial" w:eastAsia="Arial" w:hAnsi="Arial"/>
          <w:sz w:val="18"/>
          <w:szCs w:val="18"/>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and as permitted by Tempest, employees, directors and consultants may establish a trading plan under which a broker is instructed to buy and sell Tempest securities based on pre-determined criteria (a “</w:t>
      </w:r>
      <w:r>
        <w:rPr>
          <w:rFonts w:ascii="Arial" w:cs="Arial" w:eastAsia="Arial" w:hAnsi="Arial"/>
          <w:sz w:val="19"/>
          <w:szCs w:val="19"/>
          <w:b w:val="1"/>
          <w:bCs w:val="1"/>
          <w:i w:val="1"/>
          <w:iCs w:val="1"/>
          <w:color w:val="auto"/>
        </w:rPr>
        <w:t>Trading Plan</w:t>
      </w:r>
      <w:r>
        <w:rPr>
          <w:rFonts w:ascii="Arial" w:cs="Arial" w:eastAsia="Arial" w:hAnsi="Arial"/>
          <w:sz w:val="19"/>
          <w:szCs w:val="19"/>
          <w:color w:val="auto"/>
        </w:rPr>
        <w:t>”). So long as a Trading Plan is properly established, purchases and sales of Tempest securities pursuant to that Trading Plan are not subject to this policy. To be properly established, an employee’s, director’s or consultant’s Trading Plan must be established in compliance with the requirements of Rule 10b5-1 of the Exchange Act and any applicable 10b5-1 trading plan guidelines of Tempest at a time when they were unaware of any material nonpublic information relating Tempest and when Tempest was not otherwise in a trading blackout period. Moreover, all Trading Plans must be reviewed and approved by Tempest before being established to confirm that the Trading Plan complies with all pertinent company policies and applicable securities laws.</w:t>
      </w:r>
    </w:p>
    <w:p>
      <w:pPr>
        <w:spacing w:after="0" w:line="169" w:lineRule="exact"/>
        <w:rPr>
          <w:sz w:val="20"/>
          <w:szCs w:val="20"/>
          <w:color w:val="auto"/>
        </w:rPr>
      </w:pPr>
    </w:p>
    <w:p>
      <w:pPr>
        <w:jc w:val="both"/>
        <w:ind w:firstLine="374"/>
        <w:spacing w:after="0" w:line="245" w:lineRule="auto"/>
        <w:rPr>
          <w:sz w:val="20"/>
          <w:szCs w:val="20"/>
          <w:color w:val="auto"/>
        </w:rPr>
      </w:pPr>
      <w:r>
        <w:rPr>
          <w:rFonts w:ascii="Arial" w:cs="Arial" w:eastAsia="Arial" w:hAnsi="Arial"/>
          <w:sz w:val="18"/>
          <w:szCs w:val="18"/>
          <w:b w:val="1"/>
          <w:bCs w:val="1"/>
          <w:color w:val="auto"/>
        </w:rPr>
        <w:t>5.</w:t>
      </w:r>
      <w:r>
        <w:rPr>
          <w:rFonts w:ascii="Arial" w:cs="Arial" w:eastAsia="Arial" w:hAnsi="Arial"/>
          <w:sz w:val="19"/>
          <w:szCs w:val="19"/>
          <w:b w:val="1"/>
          <w:bCs w:val="1"/>
          <w:i w:val="1"/>
          <w:iCs w:val="1"/>
          <w:color w:val="auto"/>
        </w:rPr>
        <w:t>401(k) Plan</w:t>
      </w:r>
      <w:r>
        <w:rPr>
          <w:rFonts w:ascii="Arial" w:cs="Arial" w:eastAsia="Arial" w:hAnsi="Arial"/>
          <w:sz w:val="19"/>
          <w:szCs w:val="19"/>
          <w:color w:val="auto"/>
        </w:rPr>
        <w:t>. This policy does not apply to purchases of Tempest’s securities in Tempest’s 401(k) plan resulting from your</w:t>
      </w:r>
      <w:r>
        <w:rPr>
          <w:rFonts w:ascii="Arial" w:cs="Arial" w:eastAsia="Arial" w:hAnsi="Arial"/>
          <w:sz w:val="18"/>
          <w:szCs w:val="18"/>
          <w:b w:val="1"/>
          <w:bCs w:val="1"/>
          <w:color w:val="auto"/>
        </w:rPr>
        <w:t xml:space="preserve"> </w:t>
      </w:r>
      <w:r>
        <w:rPr>
          <w:rFonts w:ascii="Arial" w:cs="Arial" w:eastAsia="Arial" w:hAnsi="Arial"/>
          <w:sz w:val="19"/>
          <w:szCs w:val="19"/>
          <w:color w:val="auto"/>
        </w:rPr>
        <w:t>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Tempest stock fund; (b) an election to make an intra-plan transfer of an existing account balance into or out of the Tempest stock fund; (c) an election to borrow money against your 401(k) plan account if the loan will result in a liquidation of some or all of your Tempest stock fund balance; and (d) an election to pre-pay a plan loan if the pre-payment will result in allocation of loan proceeds to the Tempest stock fund.</w:t>
      </w:r>
    </w:p>
    <w:p>
      <w:pPr>
        <w:spacing w:after="0" w:line="167" w:lineRule="exact"/>
        <w:rPr>
          <w:sz w:val="20"/>
          <w:szCs w:val="20"/>
          <w:color w:val="auto"/>
        </w:rPr>
      </w:pPr>
    </w:p>
    <w:p>
      <w:pPr>
        <w:jc w:val="both"/>
        <w:ind w:firstLine="374"/>
        <w:spacing w:after="0" w:line="260" w:lineRule="auto"/>
        <w:rPr>
          <w:sz w:val="20"/>
          <w:szCs w:val="20"/>
          <w:color w:val="auto"/>
        </w:rPr>
      </w:pPr>
      <w:r>
        <w:rPr>
          <w:rFonts w:ascii="Arial" w:cs="Arial" w:eastAsia="Arial" w:hAnsi="Arial"/>
          <w:sz w:val="18"/>
          <w:szCs w:val="18"/>
          <w:b w:val="1"/>
          <w:bCs w:val="1"/>
          <w:color w:val="auto"/>
        </w:rPr>
        <w:t>6.</w:t>
      </w:r>
      <w:r>
        <w:rPr>
          <w:rFonts w:ascii="Arial" w:cs="Arial" w:eastAsia="Arial" w:hAnsi="Arial"/>
          <w:sz w:val="19"/>
          <w:szCs w:val="19"/>
          <w:b w:val="1"/>
          <w:bCs w:val="1"/>
          <w:i w:val="1"/>
          <w:iCs w:val="1"/>
          <w:color w:val="auto"/>
        </w:rPr>
        <w:t>Domestic Relations Order</w:t>
      </w:r>
      <w:r>
        <w:rPr>
          <w:rFonts w:ascii="Arial" w:cs="Arial" w:eastAsia="Arial" w:hAnsi="Arial"/>
          <w:sz w:val="19"/>
          <w:szCs w:val="19"/>
          <w:color w:val="auto"/>
        </w:rPr>
        <w:t>. This policy does not apply to the acquisition or disposition of Tempest’s securities pursuant</w:t>
      </w:r>
      <w:r>
        <w:rPr>
          <w:rFonts w:ascii="Arial" w:cs="Arial" w:eastAsia="Arial" w:hAnsi="Arial"/>
          <w:sz w:val="18"/>
          <w:szCs w:val="18"/>
          <w:b w:val="1"/>
          <w:bCs w:val="1"/>
          <w:color w:val="auto"/>
        </w:rPr>
        <w:t xml:space="preserve"> </w:t>
      </w:r>
      <w:r>
        <w:rPr>
          <w:rFonts w:ascii="Arial" w:cs="Arial" w:eastAsia="Arial" w:hAnsi="Arial"/>
          <w:sz w:val="19"/>
          <w:szCs w:val="19"/>
          <w:color w:val="auto"/>
        </w:rPr>
        <w:t>to a domestic relations order, as defined in the Internal Revenue Code of 1986, as amended, or Title I of the Employee Retirement Income Security Act of 1974, as amended, or the rules thereunder.</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pecial and</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rohibited</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color w:val="auto"/>
        </w:rPr>
        <w:t>Exhibit 19.1</w:t>
      </w:r>
    </w:p>
    <w:p>
      <w:pPr>
        <w:spacing w:after="0" w:line="200" w:lineRule="exact"/>
        <w:rPr>
          <w:sz w:val="20"/>
          <w:szCs w:val="20"/>
          <w:color w:val="auto"/>
        </w:rPr>
      </w:pPr>
    </w:p>
    <w:p>
      <w:pPr>
        <w:spacing w:after="0" w:line="236" w:lineRule="exact"/>
        <w:rPr>
          <w:sz w:val="20"/>
          <w:szCs w:val="20"/>
          <w:color w:val="auto"/>
        </w:rPr>
      </w:pPr>
    </w:p>
    <w:p>
      <w:pPr>
        <w:jc w:val="both"/>
        <w:ind w:right="20" w:firstLine="374"/>
        <w:spacing w:after="0" w:line="242" w:lineRule="auto"/>
        <w:rPr>
          <w:sz w:val="20"/>
          <w:szCs w:val="20"/>
          <w:color w:val="auto"/>
        </w:rPr>
      </w:pPr>
      <w:r>
        <w:rPr>
          <w:rFonts w:ascii="Arial" w:cs="Arial" w:eastAsia="Arial" w:hAnsi="Arial"/>
          <w:sz w:val="20"/>
          <w:szCs w:val="20"/>
          <w:color w:val="auto"/>
        </w:rPr>
        <w:t xml:space="preserve">1. </w:t>
      </w:r>
      <w:r>
        <w:rPr>
          <w:rFonts w:ascii="Arial" w:cs="Arial" w:eastAsia="Arial" w:hAnsi="Arial"/>
          <w:sz w:val="20"/>
          <w:szCs w:val="20"/>
          <w:b w:val="1"/>
          <w:bCs w:val="1"/>
          <w:i w:val="1"/>
          <w:iCs w:val="1"/>
          <w:color w:val="auto"/>
        </w:rPr>
        <w:t>Inherently Speculative Transactions</w:t>
      </w:r>
      <w:r>
        <w:rPr>
          <w:rFonts w:ascii="Arial" w:cs="Arial" w:eastAsia="Arial" w:hAnsi="Arial"/>
          <w:sz w:val="20"/>
          <w:szCs w:val="20"/>
          <w:b w:val="1"/>
          <w:bCs w:val="1"/>
          <w:color w:val="auto"/>
        </w:rPr>
        <w:t>.</w:t>
      </w:r>
      <w:r>
        <w:rPr>
          <w:rFonts w:ascii="Arial" w:cs="Arial" w:eastAsia="Arial" w:hAnsi="Arial"/>
          <w:sz w:val="20"/>
          <w:szCs w:val="20"/>
          <w:color w:val="auto"/>
        </w:rPr>
        <w:t xml:space="preserve"> No Tempest employee, director or designated consultant may engage in short sales, transactions in put options, call options or other derivative securities on an exchange or in any other organized market, or in any other inherently speculative transactions with respect to Tempest’s stock.</w:t>
      </w:r>
    </w:p>
    <w:p>
      <w:pPr>
        <w:spacing w:after="0" w:line="170" w:lineRule="exact"/>
        <w:rPr>
          <w:sz w:val="20"/>
          <w:szCs w:val="20"/>
          <w:color w:val="auto"/>
        </w:rPr>
      </w:pPr>
    </w:p>
    <w:p>
      <w:pPr>
        <w:jc w:val="both"/>
        <w:ind w:firstLine="374"/>
        <w:spacing w:after="0" w:line="232" w:lineRule="auto"/>
        <w:rPr>
          <w:sz w:val="20"/>
          <w:szCs w:val="20"/>
          <w:color w:val="auto"/>
        </w:rPr>
      </w:pPr>
      <w:r>
        <w:rPr>
          <w:rFonts w:ascii="Arial" w:cs="Arial" w:eastAsia="Arial" w:hAnsi="Arial"/>
          <w:sz w:val="20"/>
          <w:szCs w:val="20"/>
          <w:color w:val="auto"/>
        </w:rPr>
        <w:t>2.</w:t>
      </w:r>
      <w:r>
        <w:rPr>
          <w:rFonts w:ascii="Arial" w:cs="Arial" w:eastAsia="Arial" w:hAnsi="Arial"/>
          <w:sz w:val="20"/>
          <w:szCs w:val="20"/>
          <w:b w:val="1"/>
          <w:bCs w:val="1"/>
          <w:i w:val="1"/>
          <w:iCs w:val="1"/>
          <w:color w:val="auto"/>
        </w:rPr>
        <w:t>Hedging Transactions.</w:t>
      </w:r>
      <w:r>
        <w:rPr>
          <w:rFonts w:ascii="Arial" w:cs="Arial" w:eastAsia="Arial" w:hAnsi="Arial"/>
          <w:sz w:val="20"/>
          <w:szCs w:val="20"/>
          <w:color w:val="auto"/>
        </w:rPr>
        <w:t xml:space="preserve"> Hedging or monetization transactions can be accomplished through a number of possible mechanisms, including through the use of financial instruments such as prepaid variable forwards, equity swaps, collars and exchange funds. Such hedging transactions may permit a Tempest employee, director or designated consultant to continue to own Tempest’s securities obtained through employee benefit plans or otherwise, but without the full risks and rewards of ownership. When that occurs, the Tempest employee, director or designated consultant may no longer have the same objectives as Tempest’s other shareholders. Therefore, Tempest employees, directors and designated consultants are prohibited from engaging in any such transactions.</w:t>
      </w:r>
    </w:p>
    <w:p>
      <w:pPr>
        <w:spacing w:after="0" w:line="172" w:lineRule="exact"/>
        <w:rPr>
          <w:sz w:val="20"/>
          <w:szCs w:val="20"/>
          <w:color w:val="auto"/>
        </w:rPr>
      </w:pPr>
    </w:p>
    <w:p>
      <w:pPr>
        <w:jc w:val="both"/>
        <w:ind w:firstLine="374"/>
        <w:spacing w:after="0" w:line="233" w:lineRule="auto"/>
        <w:rPr>
          <w:sz w:val="20"/>
          <w:szCs w:val="20"/>
          <w:color w:val="auto"/>
        </w:rPr>
      </w:pPr>
      <w:r>
        <w:rPr>
          <w:rFonts w:ascii="Arial" w:cs="Arial" w:eastAsia="Arial" w:hAnsi="Arial"/>
          <w:sz w:val="20"/>
          <w:szCs w:val="20"/>
          <w:color w:val="auto"/>
        </w:rPr>
        <w:t>3.</w:t>
      </w:r>
      <w:r>
        <w:rPr>
          <w:rFonts w:ascii="Arial" w:cs="Arial" w:eastAsia="Arial" w:hAnsi="Arial"/>
          <w:sz w:val="20"/>
          <w:szCs w:val="20"/>
          <w:b w:val="1"/>
          <w:bCs w:val="1"/>
          <w:i w:val="1"/>
          <w:iCs w:val="1"/>
          <w:color w:val="auto"/>
        </w:rPr>
        <w:t>Margin Accounts and Pledged Securities</w:t>
      </w:r>
      <w:r>
        <w:rPr>
          <w:rFonts w:ascii="Arial" w:cs="Arial" w:eastAsia="Arial" w:hAnsi="Arial"/>
          <w:sz w:val="20"/>
          <w:szCs w:val="20"/>
          <w:color w:val="auto"/>
        </w:rPr>
        <w:t>.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Tempest’s securities, Tempest employee, director and designated consultants are prohibited from holding Company Securities in a margin account or otherwise pledging Tempest’s securities as collateral for a loan.</w:t>
      </w:r>
    </w:p>
    <w:p>
      <w:pPr>
        <w:spacing w:after="0" w:line="172" w:lineRule="exact"/>
        <w:rPr>
          <w:sz w:val="20"/>
          <w:szCs w:val="20"/>
          <w:color w:val="auto"/>
        </w:rPr>
      </w:pPr>
    </w:p>
    <w:p>
      <w:pPr>
        <w:jc w:val="both"/>
        <w:ind w:firstLine="374"/>
        <w:spacing w:after="0" w:line="230" w:lineRule="auto"/>
        <w:rPr>
          <w:sz w:val="20"/>
          <w:szCs w:val="20"/>
          <w:color w:val="auto"/>
        </w:rPr>
      </w:pPr>
      <w:r>
        <w:rPr>
          <w:rFonts w:ascii="Arial" w:cs="Arial" w:eastAsia="Arial" w:hAnsi="Arial"/>
          <w:sz w:val="20"/>
          <w:szCs w:val="20"/>
          <w:color w:val="auto"/>
        </w:rPr>
        <w:t>4.</w:t>
      </w:r>
      <w:r>
        <w:rPr>
          <w:rFonts w:ascii="Arial" w:cs="Arial" w:eastAsia="Arial" w:hAnsi="Arial"/>
          <w:sz w:val="20"/>
          <w:szCs w:val="20"/>
          <w:b w:val="1"/>
          <w:bCs w:val="1"/>
          <w:i w:val="1"/>
          <w:iCs w:val="1"/>
          <w:color w:val="auto"/>
        </w:rPr>
        <w:t>Standing and Limit Orders</w:t>
      </w:r>
      <w:r>
        <w:rPr>
          <w:rFonts w:ascii="Arial" w:cs="Arial" w:eastAsia="Arial" w:hAnsi="Arial"/>
          <w:sz w:val="20"/>
          <w:szCs w:val="20"/>
          <w:color w:val="auto"/>
        </w:rPr>
        <w:t>. Standing and limit orders (except standing and limit orders under approved Trading 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 Tempest employee, director or designated consultant is in possession of material nonpublic information. Tempest therefore discourages placing standing or limit orders on Tempest’s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“Quarterly Trading Blackouts” and “Event-Specific Trading Blackouts” provisions above.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rohibition of</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rading</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uring</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ension</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lackouts</w:t>
      </w:r>
    </w:p>
    <w:p>
      <w:pPr>
        <w:spacing w:after="0" w:line="204"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9"/>
          <w:szCs w:val="19"/>
          <w:color w:val="auto"/>
        </w:rPr>
        <w:t>No director or executive officer of Tempest may, directly or indirectly, purchase, sell or otherwise transfer any equity security of Tempest (other than an exempt security) during any “blackout period’’ (as defined in Regulation BTR under the Exchange Act) if a director or executive officer acquires or previously acquired such equity security in connection with his or her service or employment as a director or executive officer. This prohibition does not apply to any transactions that are specifically exempted, including but not limited to, purchases or sales of Tempest’s securities made pursuant to, and in compliance with, a Trading Plan; compensatory grants or awards of equity securities pursuant to a plan that, by its terms, permits executive officers and directors to receive automatic grants or awards and specifies the terms of the grants and awards; or acquisitions or dispositions of equity securities involving a bona fide gift or by will or the laws of descent or pursuant to a domestic relations order. Tempest will notify each director and executive officer of any blackout periods in accordance with the provisions of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1000125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color w:val="auto"/>
        </w:rPr>
        <w:t>Exhibit 19.1</w:t>
      </w:r>
    </w:p>
    <w:p>
      <w:pPr>
        <w:spacing w:after="0" w:line="200" w:lineRule="exact"/>
        <w:rPr>
          <w:sz w:val="20"/>
          <w:szCs w:val="20"/>
          <w:color w:val="auto"/>
        </w:rPr>
      </w:pPr>
    </w:p>
    <w:p>
      <w:pPr>
        <w:spacing w:after="0" w:line="238"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BTR. Because Regulation BTR is very complex, no director or executive officer of Tempest should engage in any transactions in Tempest’s securities, even if believed to be exempt from Regulation BTR, without first consulting with the Compliance Officer.</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olicy</w:t>
      </w:r>
      <w:r>
        <w:rPr>
          <w:rFonts w:ascii="Arial" w:cs="Arial" w:eastAsia="Arial" w:hAnsi="Arial"/>
          <w:sz w:val="20"/>
          <w:szCs w:val="20"/>
          <w:b w:val="1"/>
          <w:bCs w:val="1"/>
          <w:color w:val="auto"/>
        </w:rPr>
        <w:t>’</w:t>
      </w:r>
      <w:r>
        <w:rPr>
          <w:rFonts w:ascii="Arial" w:cs="Arial" w:eastAsia="Arial" w:hAnsi="Arial"/>
          <w:sz w:val="13"/>
          <w:szCs w:val="13"/>
          <w:b w:val="1"/>
          <w:bCs w:val="1"/>
          <w:color w:val="auto"/>
        </w:rPr>
        <w:t>s</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uration</w:t>
      </w:r>
    </w:p>
    <w:p>
      <w:pPr>
        <w:spacing w:after="0" w:line="204" w:lineRule="exact"/>
        <w:rPr>
          <w:sz w:val="20"/>
          <w:szCs w:val="20"/>
          <w:color w:val="auto"/>
        </w:rPr>
      </w:pPr>
    </w:p>
    <w:p>
      <w:pPr>
        <w:jc w:val="both"/>
        <w:ind w:firstLine="374"/>
        <w:spacing w:after="0" w:line="233" w:lineRule="auto"/>
        <w:rPr>
          <w:sz w:val="20"/>
          <w:szCs w:val="20"/>
          <w:color w:val="auto"/>
        </w:rPr>
      </w:pPr>
      <w:r>
        <w:rPr>
          <w:rFonts w:ascii="Arial" w:cs="Arial" w:eastAsia="Arial" w:hAnsi="Arial"/>
          <w:sz w:val="20"/>
          <w:szCs w:val="20"/>
          <w:color w:val="auto"/>
        </w:rPr>
        <w:t>This policy continues to apply to your transactions in Tempest’s and any Business Partner’s securities, even after your relationship with Tempest has ended. If you are aware of material nonpublic information when your relationship with Tempest ends, you may not trade Tempest’s securities or the securities of other applicable publicly traded companies until the material nonpublic information has been publicly disseminated or is no longer material. Further, if you leave Tempest during a trading blackout period, then you may not trade Tempest’s securities or the securities of other applicable companies until the trading blackout period has ended.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ndividual</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esponsibility</w:t>
      </w:r>
    </w:p>
    <w:p>
      <w:pPr>
        <w:spacing w:after="0" w:line="204" w:lineRule="exact"/>
        <w:rPr>
          <w:sz w:val="20"/>
          <w:szCs w:val="20"/>
          <w:color w:val="auto"/>
        </w:rPr>
      </w:pPr>
    </w:p>
    <w:p>
      <w:pPr>
        <w:jc w:val="both"/>
        <w:ind w:firstLine="469"/>
        <w:spacing w:after="0" w:line="230" w:lineRule="auto"/>
        <w:rPr>
          <w:sz w:val="20"/>
          <w:szCs w:val="20"/>
          <w:color w:val="auto"/>
        </w:rPr>
      </w:pPr>
      <w:r>
        <w:rPr>
          <w:rFonts w:ascii="Arial" w:cs="Arial" w:eastAsia="Arial" w:hAnsi="Arial"/>
          <w:sz w:val="20"/>
          <w:szCs w:val="20"/>
          <w:color w:val="auto"/>
        </w:rPr>
        <w:t>Persons subject to this policy have ethical and legal obligations to maintain the confidentiality of information about Tempest and to not engage in transactions in Tempest’s securities or the securities of other applicable public companies while aware of material nonpublic information, as more specifically set forth in this policy. Each individual is responsible for making sure that he or she complies with this policy, and that any family member, household member or other person or entity whose transactions are subject to this policy, as discussed under the heading “Persons Subject to this Policy” above, also comply with this policy. In all cases, the responsibility for determining whether an individual is aware of material nonpublic information rests with that individual, and any action on the part of Tempest or any employee or director of Tempest pursuant to this policy (or otherwise) does not in any way constitute legal advice or insulate an individual from liability under applicable securities laws. You could be subject to severe legal penalties and disciplinary action by Tempest for any conduct prohibited by this policy or applicable securities laws. See “Penalties” below.</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enalties</w:t>
      </w:r>
    </w:p>
    <w:p>
      <w:pPr>
        <w:spacing w:after="0" w:line="204"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20"/>
          <w:szCs w:val="20"/>
          <w:color w:val="auto"/>
        </w:rPr>
        <w:t>Anyone who engages in insider trading or otherwise violates this policy may be subject to both civil liability and criminal penalties. Violators also risk disciplinary action by Tempest, including termination of employment. Anyone who has questions about this policy should contact their own attorney or the Compliance Officer at compliance@tempesttx.com.</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mendments</w:t>
      </w:r>
    </w:p>
    <w:p>
      <w:pPr>
        <w:spacing w:after="0" w:line="204"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20"/>
          <w:szCs w:val="20"/>
          <w:color w:val="auto"/>
        </w:rPr>
        <w:t>Tempest is committed to reviewing and updating its policies and procedures on a regular basis. Tempest therefore reserves the right to amend, alter or terminate this policy at any time and for any reason. A current copy of the Tempest’s policies regarding insider trading may be obtained by contacting the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ind w:right="3260" w:firstLine="3644"/>
        <w:spacing w:after="0" w:line="375" w:lineRule="auto"/>
        <w:rPr>
          <w:sz w:val="20"/>
          <w:szCs w:val="20"/>
          <w:color w:val="auto"/>
        </w:rPr>
      </w:pPr>
      <w:r>
        <w:rPr>
          <w:rFonts w:ascii="Times New Roman" w:cs="Times New Roman" w:eastAsia="Times New Roman" w:hAnsi="Times New Roman"/>
          <w:sz w:val="18"/>
          <w:szCs w:val="18"/>
          <w:color w:val="333333"/>
        </w:rPr>
        <w:t>Consent of Independent Registered Public Accounting Firm We consent to the incorporation by reference in the following Registration Statements:</w:t>
      </w:r>
    </w:p>
    <w:p>
      <w:pPr>
        <w:spacing w:after="0" w:line="1" w:lineRule="exact"/>
        <w:rPr>
          <w:sz w:val="20"/>
          <w:szCs w:val="20"/>
          <w:color w:val="auto"/>
        </w:rPr>
      </w:pPr>
    </w:p>
    <w:p>
      <w:pPr>
        <w:ind w:left="960" w:hanging="563"/>
        <w:spacing w:after="0"/>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333-280918) of Tempest Therapeutics, Inc.,</w:t>
      </w:r>
    </w:p>
    <w:p>
      <w:pPr>
        <w:spacing w:after="0" w:line="63" w:lineRule="exact"/>
        <w:rPr>
          <w:rFonts w:ascii="Times New Roman" w:cs="Times New Roman" w:eastAsia="Times New Roman" w:hAnsi="Times New Roman"/>
          <w:sz w:val="18"/>
          <w:szCs w:val="18"/>
          <w:color w:val="auto"/>
        </w:rPr>
      </w:pPr>
    </w:p>
    <w:p>
      <w:pPr>
        <w:ind w:left="960" w:right="20" w:hanging="563"/>
        <w:spacing w:after="0" w:line="281" w:lineRule="auto"/>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333-278071) pertaining to the Tempest Therapeutics, Inc. Amended and Restated 2023 Equity Incentive Plan, Tempest Therapeutics, Inc. Amended and Restated 2019 Employee Stock Purchase Plan,</w:t>
      </w:r>
    </w:p>
    <w:p>
      <w:pPr>
        <w:spacing w:after="0" w:line="1" w:lineRule="exact"/>
        <w:rPr>
          <w:rFonts w:ascii="Times New Roman" w:cs="Times New Roman" w:eastAsia="Times New Roman" w:hAnsi="Times New Roman"/>
          <w:sz w:val="18"/>
          <w:szCs w:val="18"/>
          <w:color w:val="auto"/>
        </w:rPr>
      </w:pPr>
    </w:p>
    <w:p>
      <w:pPr>
        <w:jc w:val="both"/>
        <w:ind w:left="960" w:hanging="563"/>
        <w:spacing w:after="0" w:line="266" w:lineRule="auto"/>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333-275637) pertaining to the Tempest Therapeutics, Inc. Amended and Restated 2019 Equity Incentive Plan, Tempest Therapeutics, Inc. Amended and Restated 2023 Equity Incentive Plan, Tempest Therapeutics, Inc. 2023 Inducement Plan, and Inducement Stock Options,</w:t>
      </w:r>
    </w:p>
    <w:p>
      <w:pPr>
        <w:spacing w:after="0" w:line="13" w:lineRule="exact"/>
        <w:rPr>
          <w:rFonts w:ascii="Times New Roman" w:cs="Times New Roman" w:eastAsia="Times New Roman" w:hAnsi="Times New Roman"/>
          <w:sz w:val="18"/>
          <w:szCs w:val="18"/>
          <w:color w:val="auto"/>
        </w:rPr>
      </w:pPr>
    </w:p>
    <w:p>
      <w:pPr>
        <w:jc w:val="both"/>
        <w:ind w:left="960" w:hanging="563"/>
        <w:spacing w:after="0" w:line="266" w:lineRule="auto"/>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333-265718) pertaining to the Tempest Therapeutics, Inc. Amended and Restated 2019 Equity Incentive Plan and Tempest Therapeutics, Inc. 2019 Employee Stock Purchase Plan, as amended by Post-Effective Amendment No. 1 filed on November 17, 2023,</w:t>
      </w:r>
    </w:p>
    <w:p>
      <w:pPr>
        <w:spacing w:after="0" w:line="13" w:lineRule="exact"/>
        <w:rPr>
          <w:rFonts w:ascii="Times New Roman" w:cs="Times New Roman" w:eastAsia="Times New Roman" w:hAnsi="Times New Roman"/>
          <w:sz w:val="18"/>
          <w:szCs w:val="18"/>
          <w:color w:val="auto"/>
        </w:rPr>
      </w:pPr>
    </w:p>
    <w:p>
      <w:pPr>
        <w:ind w:left="960" w:hanging="563"/>
        <w:spacing w:after="0" w:line="281" w:lineRule="auto"/>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333-264943) pertaining to the Millendo Therapeutics, Inc. 2019 Equity Incentive Plan and Millendo Therapeutics, Inc. 2019 Employee Stock Purchase Plan, as amended by Post-Effective Amendment No. 1 filed on November 17, 2023,</w:t>
      </w:r>
    </w:p>
    <w:p>
      <w:pPr>
        <w:spacing w:after="0" w:line="1" w:lineRule="exact"/>
        <w:rPr>
          <w:rFonts w:ascii="Times New Roman" w:cs="Times New Roman" w:eastAsia="Times New Roman" w:hAnsi="Times New Roman"/>
          <w:sz w:val="18"/>
          <w:szCs w:val="18"/>
          <w:color w:val="auto"/>
        </w:rPr>
      </w:pPr>
    </w:p>
    <w:p>
      <w:pPr>
        <w:ind w:left="960" w:hanging="563"/>
        <w:spacing w:after="0" w:line="281" w:lineRule="auto"/>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333-257727) pertaining to the Tempest Therapeutics, Inc. 2017 Equity Incentive Plan and Inception 2, Inc. 2011 Equity Incentive Plan,</w:t>
      </w:r>
    </w:p>
    <w:p>
      <w:pPr>
        <w:spacing w:after="0" w:line="1" w:lineRule="exact"/>
        <w:rPr>
          <w:rFonts w:ascii="Times New Roman" w:cs="Times New Roman" w:eastAsia="Times New Roman" w:hAnsi="Times New Roman"/>
          <w:sz w:val="18"/>
          <w:szCs w:val="18"/>
          <w:color w:val="auto"/>
        </w:rPr>
      </w:pPr>
    </w:p>
    <w:p>
      <w:pPr>
        <w:ind w:left="960" w:hanging="563"/>
        <w:spacing w:after="0" w:line="281" w:lineRule="auto"/>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333-255261) pertaining to the Millendo Therapeutics, Inc. 2019 Equity Incentive Plan and Millendo Therapeutics, Inc. 2019 Employee Stock Purchase Plan, as amended by Post-Effective Amendment No. 1 filed on November 17, 2023,</w:t>
      </w:r>
    </w:p>
    <w:p>
      <w:pPr>
        <w:spacing w:after="0" w:line="1" w:lineRule="exact"/>
        <w:rPr>
          <w:rFonts w:ascii="Times New Roman" w:cs="Times New Roman" w:eastAsia="Times New Roman" w:hAnsi="Times New Roman"/>
          <w:sz w:val="18"/>
          <w:szCs w:val="18"/>
          <w:color w:val="auto"/>
        </w:rPr>
      </w:pPr>
    </w:p>
    <w:p>
      <w:pPr>
        <w:jc w:val="both"/>
        <w:ind w:left="960" w:hanging="563"/>
        <w:spacing w:after="0" w:line="266" w:lineRule="auto"/>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333-235515) pertaining to the Millendo Therapeutics, Inc. 2019 Equity Incentive Plan, Millendo Therapeutics, Inc. 2019 Employee Stock Purchase Plan, and New Hire Inducement Stock Options Grants of Millendo Therapeutics, Inc., as amended by Post-Effective Amendment No. 1 filed on November 17, 2023, and</w:t>
      </w:r>
    </w:p>
    <w:p>
      <w:pPr>
        <w:spacing w:after="0" w:line="13" w:lineRule="exact"/>
        <w:rPr>
          <w:rFonts w:ascii="Times New Roman" w:cs="Times New Roman" w:eastAsia="Times New Roman" w:hAnsi="Times New Roman"/>
          <w:sz w:val="18"/>
          <w:szCs w:val="18"/>
          <w:color w:val="auto"/>
        </w:rPr>
      </w:pPr>
    </w:p>
    <w:p>
      <w:pPr>
        <w:jc w:val="both"/>
        <w:ind w:left="960" w:hanging="563"/>
        <w:spacing w:after="0" w:line="266" w:lineRule="auto"/>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333-249993) pertaining to the Millendo Therapeutics, Inc. 2019 Equity Incentive Plan, Millendo Therapeutics, Inc. 2019 Employee Stock Purchase Plan, and New Hire Inducement Stock Options Grant of Millendo Therapeutics, Inc., as amended by Post-Effective Amendment No. 1 filed on November 17, 2023;</w:t>
      </w:r>
    </w:p>
    <w:p>
      <w:pPr>
        <w:spacing w:after="0" w:line="33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333333"/>
        </w:rPr>
        <w:t>of our report dated March 27, 2025, with respect to the consolidated financial statements of Tempest Therapeutics, Inc. included in this Annual Report (Form 10-K) of Tempest Therapeutics, Inc. for the year ended December 31, 2024.</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Chicago, Illinois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Brady, certify that:</w:t>
      </w:r>
    </w:p>
    <w:p>
      <w:pPr>
        <w:spacing w:after="0" w:line="225" w:lineRule="exact"/>
        <w:rPr>
          <w:sz w:val="20"/>
          <w:szCs w:val="20"/>
          <w:color w:val="auto"/>
        </w:rPr>
      </w:pPr>
    </w:p>
    <w:p>
      <w:pPr>
        <w:ind w:left="380" w:hanging="372"/>
        <w:spacing w:after="0"/>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Tempest Therapeutics, Inc.;</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25" w:lineRule="exact"/>
        <w:rPr>
          <w:sz w:val="20"/>
          <w:szCs w:val="20"/>
          <w:color w:val="auto"/>
        </w:rPr>
      </w:pPr>
    </w:p>
    <w:p>
      <w:pPr>
        <w:ind w:left="6980"/>
        <w:spacing w:after="0"/>
        <w:tabs>
          <w:tab w:leader="none" w:pos="7420" w:val="left"/>
        </w:tabs>
        <w:rPr>
          <w:sz w:val="20"/>
          <w:szCs w:val="20"/>
          <w:color w:val="auto"/>
        </w:rPr>
      </w:pPr>
      <w:r>
        <w:rPr>
          <w:rFonts w:ascii="Times New Roman" w:cs="Times New Roman" w:eastAsia="Times New Roman" w:hAnsi="Times New Roman"/>
          <w:sz w:val="18"/>
          <w:szCs w:val="18"/>
          <w:color w:val="auto"/>
        </w:rPr>
        <w:t>By:</w:t>
        <w:tab/>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6">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Stephen Brady</w:t>
      </w:r>
    </w:p>
    <w:p>
      <w:pPr>
        <w:spacing w:after="0" w:line="2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Chief Executive Officer &amp; President</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Nicholas Maestas, certify that:</w:t>
      </w:r>
    </w:p>
    <w:p>
      <w:pPr>
        <w:spacing w:after="0" w:line="225" w:lineRule="exact"/>
        <w:rPr>
          <w:sz w:val="20"/>
          <w:szCs w:val="20"/>
          <w:color w:val="auto"/>
        </w:rPr>
      </w:pPr>
    </w:p>
    <w:p>
      <w:pPr>
        <w:ind w:left="380" w:hanging="372"/>
        <w:spacing w:after="0"/>
        <w:tabs>
          <w:tab w:leader="none" w:pos="3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Tempest Therapeutics, Inc.;</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25" w:lineRule="exact"/>
        <w:rPr>
          <w:sz w:val="20"/>
          <w:szCs w:val="20"/>
          <w:color w:val="auto"/>
        </w:rPr>
      </w:pPr>
    </w:p>
    <w:p>
      <w:pPr>
        <w:ind w:left="6980"/>
        <w:spacing w:after="0"/>
        <w:tabs>
          <w:tab w:leader="none" w:pos="7420" w:val="left"/>
        </w:tabs>
        <w:rPr>
          <w:sz w:val="20"/>
          <w:szCs w:val="20"/>
          <w:color w:val="auto"/>
        </w:rPr>
      </w:pPr>
      <w:r>
        <w:rPr>
          <w:rFonts w:ascii="Times New Roman" w:cs="Times New Roman" w:eastAsia="Times New Roman" w:hAnsi="Times New Roman"/>
          <w:sz w:val="18"/>
          <w:szCs w:val="18"/>
          <w:color w:val="auto"/>
        </w:rPr>
        <w:t>By:</w:t>
        <w:tab/>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8">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Nicholas Maestas</w:t>
      </w:r>
    </w:p>
    <w:p>
      <w:pPr>
        <w:spacing w:after="0" w:line="2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Chief Financial Officer &amp; Head of Corporate</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Strategy</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2" w:name="page173"/>
    <w:bookmarkEnd w:id="1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1927860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Stephen Brady, Chief Executive Officer of Tempest Therapeutics, Inc. (the “Company”), and Nicholas Maestas, Vice President, Strategy and Finance, of the Company, each hereby certifies that, to the best of his or her knowledge:</w:t>
      </w:r>
    </w:p>
    <w:p>
      <w:pPr>
        <w:spacing w:after="0" w:line="176" w:lineRule="exact"/>
        <w:rPr>
          <w:sz w:val="20"/>
          <w:szCs w:val="20"/>
          <w:color w:val="auto"/>
        </w:rPr>
      </w:pPr>
    </w:p>
    <w:p>
      <w:pPr>
        <w:ind w:left="380" w:right="20" w:hanging="372"/>
        <w:spacing w:after="0" w:line="282" w:lineRule="auto"/>
        <w:tabs>
          <w:tab w:leader="none" w:pos="3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December 31, 2024, to which this Certification is attached as Exhibit 32.1 (the “Annual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27, 2025</w:t>
            </w:r>
          </w:p>
        </w:tc>
        <w:tc>
          <w:tcPr>
            <w:tcW w:w="324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48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Stephen Brady</w:t>
            </w:r>
          </w:p>
        </w:tc>
        <w:tc>
          <w:tcPr>
            <w:tcW w:w="3240" w:type="dxa"/>
            <w:vAlign w:val="bottom"/>
          </w:tcPr>
          <w:p>
            <w:pPr>
              <w:spacing w:after="0"/>
              <w:rPr>
                <w:sz w:val="24"/>
                <w:szCs w:val="24"/>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Nicholas Maestas</w:t>
            </w:r>
          </w:p>
        </w:tc>
      </w:tr>
      <w:tr>
        <w:trPr>
          <w:trHeight w:val="27"/>
        </w:trPr>
        <w:tc>
          <w:tcPr>
            <w:tcW w:w="4140" w:type="dxa"/>
            <w:vAlign w:val="bottom"/>
            <w:tcBorders>
              <w:bottom w:val="single" w:sz="8" w:color="auto"/>
            </w:tcBorders>
          </w:tcPr>
          <w:p>
            <w:pPr>
              <w:spacing w:after="0"/>
              <w:rPr>
                <w:sz w:val="2"/>
                <w:szCs w:val="2"/>
                <w:color w:val="auto"/>
              </w:rPr>
            </w:pPr>
          </w:p>
        </w:tc>
        <w:tc>
          <w:tcPr>
            <w:tcW w:w="324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26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Brady</w:t>
            </w:r>
          </w:p>
        </w:tc>
        <w:tc>
          <w:tcPr>
            <w:tcW w:w="3240" w:type="dxa"/>
            <w:vAlign w:val="bottom"/>
          </w:tcPr>
          <w:p>
            <w:pPr>
              <w:spacing w:after="0"/>
              <w:rPr>
                <w:sz w:val="22"/>
                <w:szCs w:val="22"/>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Nicholas Maestas</w:t>
            </w:r>
          </w:p>
        </w:tc>
      </w:tr>
      <w:tr>
        <w:trPr>
          <w:trHeight w:val="279"/>
        </w:trPr>
        <w:tc>
          <w:tcPr>
            <w:tcW w:w="4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&amp; Head of Corporate</w:t>
            </w:r>
          </w:p>
        </w:tc>
      </w:tr>
      <w:tr>
        <w:trPr>
          <w:trHeight w:val="23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&amp; President</w:t>
            </w:r>
          </w:p>
        </w:tc>
        <w:tc>
          <w:tcPr>
            <w:tcW w:w="324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Strategy</w:t>
            </w:r>
          </w:p>
        </w:tc>
      </w:tr>
      <w:tr>
        <w:trPr>
          <w:trHeight w:val="25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240" w:type="dxa"/>
            <w:vAlign w:val="bottom"/>
          </w:tcPr>
          <w:p>
            <w:pPr>
              <w:spacing w:after="0"/>
              <w:rPr>
                <w:sz w:val="22"/>
                <w:szCs w:val="22"/>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Tempest Therapeutics,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4" w:name="page175"/>
    <w:bookmarkEnd w:id="1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1."/>
      <w:numFmt w:val="decimal"/>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1)"/>
      <w:numFmt w:val="lowerRoman"/>
      <w:start w:val="3"/>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
      <w:numFmt w:val="bullet"/>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1."/>
      <w:numFmt w:val="decimal"/>
      <w:start w:val="7"/>
    </w:lvl>
  </w:abstractNum>
  <w:abstractNum w:abstractNumId="42">
    <w:nsid w:val="6B94764"/>
    <w:multiLevelType w:val="hybridMultilevel"/>
    <w:lvl w:ilvl="0">
      <w:lvlJc w:val="left"/>
      <w:lvlText w:val="%1."/>
      <w:numFmt w:val="decimal"/>
      <w:start w:val="8"/>
    </w:lvl>
  </w:abstractNum>
  <w:abstractNum w:abstractNumId="43">
    <w:nsid w:val="42C296BD"/>
    <w:multiLevelType w:val="hybridMultilevel"/>
    <w:lvl w:ilvl="0">
      <w:lvlJc w:val="left"/>
      <w:lvlText w:val="(%1)"/>
      <w:numFmt w:val="lowerLetter"/>
      <w:start w:val="6"/>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
      <w:numFmt w:val="bullet"/>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
      <w:numFmt w:val="bullet"/>
      <w:start w:val="1"/>
    </w:lvl>
  </w:abstractNum>
  <w:abstractNum w:abstractNumId="52">
    <w:nsid w:val="BF72B14"/>
    <w:multiLevelType w:val="hybridMultilevel"/>
    <w:lvl w:ilvl="0">
      <w:lvlJc w:val="left"/>
      <w:lvlText w:val="%1"/>
      <w:numFmt w:val="lowerLetter"/>
      <w:start w:val="1"/>
    </w:lvl>
    <w:lvl w:ilvl="1">
      <w:lvlJc w:val="left"/>
      <w:lvlText w:val="(%2)"/>
      <w:numFmt w:val="lowerLetter"/>
      <w:start w:val="1"/>
    </w:lvl>
  </w:abstractNum>
  <w:abstractNum w:abstractNumId="53">
    <w:nsid w:val="11447B73"/>
    <w:multiLevelType w:val="hybridMultilevel"/>
    <w:lvl w:ilvl="0">
      <w:lvlJc w:val="left"/>
      <w:lvlText w:val="(%1)"/>
      <w:numFmt w:val="lowerLetter"/>
      <w:start w:val="9"/>
    </w:lvl>
    <w:lvl w:ilvl="1">
      <w:lvlJc w:val="left"/>
      <w:lvlText w:val="%2"/>
      <w:numFmt w:val="lowerLetter"/>
      <w:start w:val="1"/>
    </w:lvl>
  </w:abstractNum>
  <w:abstractNum w:abstractNumId="54">
    <w:nsid w:val="42963E5A"/>
    <w:multiLevelType w:val="hybridMultilevel"/>
    <w:lvl w:ilvl="0">
      <w:lvlJc w:val="left"/>
      <w:lvlText w:val="(%1)"/>
      <w:numFmt w:val="lowerLetter"/>
      <w:start w:val="2"/>
    </w:lvl>
  </w:abstractNum>
  <w:abstractNum w:abstractNumId="55">
    <w:nsid w:val="A0382C5"/>
    <w:multiLevelType w:val="hybridMultilevel"/>
    <w:lvl w:ilvl="0">
      <w:lvlJc w:val="left"/>
      <w:lvlText w:val="(%1)"/>
      <w:numFmt w:val="lowerLetter"/>
      <w:start w:val="1"/>
    </w:lvl>
  </w:abstractNum>
  <w:abstractNum w:abstractNumId="56">
    <w:nsid w:val="8F2B15E"/>
    <w:multiLevelType w:val="hybridMultilevel"/>
    <w:lvl w:ilvl="0">
      <w:lvlJc w:val="left"/>
      <w:lvlText w:val="(%1)"/>
      <w:numFmt w:val="lowerLetter"/>
      <w:start w:val="1"/>
    </w:lvl>
  </w:abstractNum>
  <w:abstractNum w:abstractNumId="57">
    <w:nsid w:val="1A32234B"/>
    <w:multiLevelType w:val="hybridMultilevel"/>
    <w:lvl w:ilvl="0">
      <w:lvlJc w:val="left"/>
      <w:lvlText w:val="(%1)"/>
      <w:numFmt w:val="decimal"/>
      <w:start w:val="1"/>
    </w:lvl>
  </w:abstractNum>
  <w:abstractNum w:abstractNumId="58">
    <w:nsid w:val="3B0FD379"/>
    <w:multiLevelType w:val="hybridMultilevel"/>
    <w:lvl w:ilvl="0">
      <w:lvlJc w:val="left"/>
      <w:lvlText w:val="(%1)"/>
      <w:numFmt w:val="lowerLetter"/>
      <w:start w:val="1"/>
    </w:lvl>
  </w:abstractNum>
  <w:abstractNum w:abstractNumId="59">
    <w:nsid w:val="68EB2F63"/>
    <w:multiLevelType w:val="hybridMultilevel"/>
    <w:lvl w:ilvl="0">
      <w:lvlJc w:val="left"/>
      <w:lvlText w:val="[***]"/>
      <w:numFmt w:val="bullet"/>
      <w:start w:val="1"/>
    </w:lvl>
  </w:abstractNum>
  <w:abstractNum w:abstractNumId="60">
    <w:nsid w:val="4962813B"/>
    <w:multiLevelType w:val="hybridMultilevel"/>
    <w:lvl w:ilvl="0">
      <w:lvlJc w:val="left"/>
      <w:lvlText w:val="%1."/>
      <w:numFmt w:val="decimal"/>
      <w:start w:val="1"/>
    </w:lvl>
  </w:abstractNum>
  <w:abstractNum w:abstractNumId="61">
    <w:nsid w:val="60B6DF70"/>
    <w:multiLevelType w:val="hybridMultilevel"/>
    <w:lvl w:ilvl="0">
      <w:lvlJc w:val="left"/>
      <w:lvlText w:val="%1."/>
      <w:numFmt w:val="decimal"/>
      <w:start w:val="2"/>
    </w:lvl>
  </w:abstractNum>
  <w:abstractNum w:abstractNumId="62">
    <w:nsid w:val="6A5EE64"/>
    <w:multiLevelType w:val="hybridMultilevel"/>
    <w:lvl w:ilvl="0">
      <w:lvlJc w:val="left"/>
      <w:lvlText w:val="3"/>
      <w:numFmt w:val="bullet"/>
      <w:start w:val="1"/>
    </w:lvl>
  </w:abstractNum>
  <w:abstractNum w:abstractNumId="63">
    <w:nsid w:val="14330624"/>
    <w:multiLevelType w:val="hybridMultilevel"/>
    <w:lvl w:ilvl="0">
      <w:lvlJc w:val="left"/>
      <w:lvlText w:val="%1."/>
      <w:numFmt w:val="decimal"/>
      <w:start w:val="4"/>
    </w:lvl>
  </w:abstractNum>
  <w:abstractNum w:abstractNumId="64">
    <w:nsid w:val="7FFFCA11"/>
    <w:multiLevelType w:val="hybridMultilevel"/>
    <w:lvl w:ilvl="0">
      <w:lvlJc w:val="left"/>
      <w:lvlText w:val="%1."/>
      <w:numFmt w:val="decimal"/>
      <w:start w:val="5"/>
    </w:lvl>
  </w:abstractNum>
  <w:abstractNum w:abstractNumId="65">
    <w:nsid w:val="1A27709E"/>
    <w:multiLevelType w:val="hybridMultilevel"/>
    <w:lvl w:ilvl="0">
      <w:lvlJc w:val="left"/>
      <w:lvlText w:val="%1."/>
      <w:numFmt w:val="decimal"/>
      <w:start w:val="6"/>
    </w:lvl>
  </w:abstractNum>
  <w:abstractNum w:abstractNumId="66">
    <w:nsid w:val="71EA1109"/>
    <w:multiLevelType w:val="hybridMultilevel"/>
    <w:lvl w:ilvl="0">
      <w:lvlJc w:val="left"/>
      <w:lvlText w:val="[***]"/>
      <w:numFmt w:val="bullet"/>
      <w:start w:val="1"/>
    </w:lvl>
  </w:abstractNum>
  <w:abstractNum w:abstractNumId="67">
    <w:nsid w:val="100F59DC"/>
    <w:multiLevelType w:val="hybridMultilevel"/>
    <w:lvl w:ilvl="0">
      <w:lvlJc w:val="left"/>
      <w:lvlText w:val="%1."/>
      <w:numFmt w:val="decimal"/>
      <w:start w:val="7"/>
    </w:lvl>
  </w:abstractNum>
  <w:abstractNum w:abstractNumId="68">
    <w:nsid w:val="7FB7E0AA"/>
    <w:multiLevelType w:val="hybridMultilevel"/>
    <w:lvl w:ilvl="0">
      <w:lvlJc w:val="left"/>
      <w:lvlText w:val="(%1)"/>
      <w:numFmt w:val="lowerLetter"/>
      <w:start w:val="1"/>
    </w:lvl>
  </w:abstractNum>
  <w:abstractNum w:abstractNumId="69">
    <w:nsid w:val="6EB5BD4"/>
    <w:multiLevelType w:val="hybridMultilevel"/>
    <w:lvl w:ilvl="0">
      <w:lvlJc w:val="left"/>
      <w:lvlText w:val="(%1)"/>
      <w:numFmt w:val="lowerLetter"/>
      <w:start w:val="2"/>
    </w:lvl>
  </w:abstractNum>
  <w:abstractNum w:abstractNumId="70">
    <w:nsid w:val="6F6DD9AC"/>
    <w:multiLevelType w:val="hybridMultilevel"/>
    <w:lvl w:ilvl="0">
      <w:lvlJc w:val="left"/>
      <w:lvlText w:val="(%1)"/>
      <w:numFmt w:val="lowerLetter"/>
      <w:start w:val="3"/>
    </w:lvl>
  </w:abstractNum>
  <w:abstractNum w:abstractNumId="71">
    <w:nsid w:val="94211F2"/>
    <w:multiLevelType w:val="hybridMultilevel"/>
    <w:lvl w:ilvl="0">
      <w:lvlJc w:val="left"/>
      <w:lvlText w:val="%1."/>
      <w:numFmt w:val="decimal"/>
      <w:start w:val="8"/>
    </w:lvl>
  </w:abstractNum>
  <w:abstractNum w:abstractNumId="72">
    <w:nsid w:val="885E1B"/>
    <w:multiLevelType w:val="hybridMultilevel"/>
    <w:lvl w:ilvl="0">
      <w:lvlJc w:val="left"/>
      <w:lvlText w:val="[***]"/>
      <w:numFmt w:val="bullet"/>
      <w:start w:val="1"/>
    </w:lvl>
  </w:abstractNum>
  <w:abstractNum w:abstractNumId="73">
    <w:nsid w:val="76272110"/>
    <w:multiLevelType w:val="hybridMultilevel"/>
    <w:lvl w:ilvl="0">
      <w:lvlJc w:val="left"/>
      <w:lvlText w:val="%1."/>
      <w:numFmt w:val="decimal"/>
      <w:start w:val="9"/>
    </w:lvl>
  </w:abstractNum>
  <w:abstractNum w:abstractNumId="74">
    <w:nsid w:val="4C04A8AF"/>
    <w:multiLevelType w:val="hybridMultilevel"/>
    <w:lvl w:ilvl="0">
      <w:lvlJc w:val="left"/>
      <w:lvlText w:val="[***]"/>
      <w:numFmt w:val="bullet"/>
      <w:start w:val="1"/>
    </w:lvl>
  </w:abstractNum>
  <w:abstractNum w:abstractNumId="75">
    <w:nsid w:val="1716703B"/>
    <w:multiLevelType w:val="hybridMultilevel"/>
    <w:lvl w:ilvl="0">
      <w:lvlJc w:val="left"/>
      <w:lvlText w:val="(%1)"/>
      <w:numFmt w:val="lowerLetter"/>
      <w:start w:val="1"/>
    </w:lvl>
  </w:abstractNum>
  <w:abstractNum w:abstractNumId="76">
    <w:nsid w:val="14E17E33"/>
    <w:multiLevelType w:val="hybridMultilevel"/>
    <w:lvl w:ilvl="0">
      <w:lvlJc w:val="left"/>
      <w:lvlText w:val="(%1)"/>
      <w:numFmt w:val="lowerLetter"/>
      <w:start w:val="1"/>
    </w:lvl>
  </w:abstractNum>
  <w:abstractNum w:abstractNumId="77">
    <w:nsid w:val="3222E7CD"/>
    <w:multiLevelType w:val="hybridMultilevel"/>
    <w:lvl w:ilvl="0">
      <w:lvlJc w:val="left"/>
      <w:lvlText w:val="(%1)"/>
      <w:numFmt w:val="lowerLetter"/>
      <w:start w:val="2"/>
    </w:lvl>
  </w:abstractNum>
  <w:abstractNum w:abstractNumId="78">
    <w:nsid w:val="74DE0EE3"/>
    <w:multiLevelType w:val="hybridMultilevel"/>
    <w:lvl w:ilvl="0">
      <w:lvlJc w:val="left"/>
      <w:lvlText w:val="(%1)"/>
      <w:numFmt w:val="lowerLetter"/>
      <w:start w:val="1"/>
    </w:lvl>
  </w:abstractNum>
  <w:abstractNum w:abstractNumId="79">
    <w:nsid w:val="68EBC550"/>
    <w:multiLevelType w:val="hybridMultilevel"/>
    <w:lvl w:ilvl="0">
      <w:lvlJc w:val="left"/>
      <w:lvlText w:val="%1."/>
      <w:numFmt w:val="decimal"/>
      <w:start w:val="17"/>
    </w:lvl>
  </w:abstractNum>
  <w:abstractNum w:abstractNumId="80">
    <w:nsid w:val="2DF6D648"/>
    <w:multiLevelType w:val="hybridMultilevel"/>
    <w:lvl w:ilvl="0">
      <w:lvlJc w:val="left"/>
      <w:lvlText w:val="%1."/>
      <w:numFmt w:val="decimal"/>
      <w:start w:val="19"/>
    </w:lvl>
  </w:abstractNum>
  <w:abstractNum w:abstractNumId="81">
    <w:nsid w:val="46B7D447"/>
    <w:multiLevelType w:val="hybridMultilevel"/>
    <w:lvl w:ilvl="0">
      <w:lvlJc w:val="left"/>
      <w:lvlText w:val="%1."/>
      <w:numFmt w:val="decimal"/>
      <w:start w:val="1"/>
    </w:lvl>
    <w:lvl w:ilvl="1">
      <w:lvlJc w:val="left"/>
      <w:lvlText w:val="%2."/>
      <w:numFmt w:val="lowerLetter"/>
      <w:start w:val="1"/>
    </w:lvl>
  </w:abstractNum>
  <w:abstractNum w:abstractNumId="82">
    <w:nsid w:val="4A2AC315"/>
    <w:multiLevelType w:val="hybridMultilevel"/>
    <w:lvl w:ilvl="0">
      <w:lvlJc w:val="left"/>
      <w:lvlText w:val="%1"/>
      <w:numFmt w:val="decimal"/>
      <w:start w:val="1"/>
    </w:lvl>
    <w:lvl w:ilvl="1">
      <w:lvlJc w:val="left"/>
      <w:lvlText w:val="%2."/>
      <w:numFmt w:val="lowerLetter"/>
      <w:start w:val="3"/>
    </w:lvl>
  </w:abstractNum>
  <w:abstractNum w:abstractNumId="83">
    <w:nsid w:val="39EE015C"/>
    <w:multiLevelType w:val="hybridMultilevel"/>
    <w:lvl w:ilvl="0">
      <w:lvlJc w:val="left"/>
      <w:lvlText w:val="%1."/>
      <w:numFmt w:val="decimal"/>
      <w:start w:val="3"/>
    </w:lvl>
    <w:lvl w:ilvl="1">
      <w:lvlJc w:val="left"/>
      <w:lvlText w:val="%2."/>
      <w:numFmt w:val="lowerLetter"/>
      <w:start w:val="1"/>
    </w:lvl>
  </w:abstractNum>
  <w:abstractNum w:abstractNumId="84">
    <w:nsid w:val="57FC4FBB"/>
    <w:multiLevelType w:val="hybridMultilevel"/>
    <w:lvl w:ilvl="0">
      <w:lvlJc w:val="left"/>
      <w:lvlText w:val="%1."/>
      <w:numFmt w:val="decimal"/>
      <w:start w:val="4"/>
    </w:lvl>
    <w:lvl w:ilvl="1">
      <w:lvlJc w:val="left"/>
      <w:lvlText w:val="%2"/>
      <w:numFmt w:val="lowerLetter"/>
      <w:start w:val="1"/>
    </w:lvl>
  </w:abstractNum>
  <w:abstractNum w:abstractNumId="85">
    <w:nsid w:val="CC1016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86">
    <w:nsid w:val="43F18422"/>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87">
    <w:nsid w:val="60EF0119"/>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88">
    <w:nsid w:val="26F324BA"/>
    <w:multiLevelType w:val="hybridMultilevel"/>
    <w:lvl w:ilvl="0">
      <w:lvlJc w:val="left"/>
      <w:lvlText w:val="%1"/>
      <w:numFmt w:val="decimal"/>
      <w:start w:val="1"/>
    </w:lvl>
    <w:lvl w:ilvl="1">
      <w:lvlJc w:val="left"/>
      <w:lvlText w:val="%2."/>
      <w:numFmt w:val="lowerLetter"/>
      <w:start w:val="3"/>
    </w:lvl>
  </w:abstractNum>
  <w:abstractNum w:abstractNumId="89">
    <w:nsid w:val="7F01579B"/>
    <w:multiLevelType w:val="hybridMultilevel"/>
    <w:lvl w:ilvl="0">
      <w:lvlJc w:val="left"/>
      <w:lvlText w:val="%1."/>
      <w:numFmt w:val="decimal"/>
      <w:start w:val="5"/>
    </w:lvl>
    <w:lvl w:ilvl="1">
      <w:lvlJc w:val="left"/>
      <w:lvlText w:val="%2."/>
      <w:numFmt w:val="lowerLetter"/>
      <w:start w:val="1"/>
    </w:lvl>
  </w:abstractNum>
  <w:abstractNum w:abstractNumId="90">
    <w:nsid w:val="49DA307D"/>
    <w:multiLevelType w:val="hybridMultilevel"/>
    <w:lvl w:ilvl="0">
      <w:lvlJc w:val="left"/>
      <w:lvlText w:val="%1."/>
      <w:numFmt w:val="lowerLetter"/>
      <w:start w:val="2"/>
    </w:lvl>
  </w:abstractNum>
  <w:abstractNum w:abstractNumId="91">
    <w:nsid w:val="7055A5F5"/>
    <w:multiLevelType w:val="hybridMultilevel"/>
    <w:lvl w:ilvl="0">
      <w:lvlJc w:val="left"/>
      <w:lvlText w:val="%1"/>
      <w:numFmt w:val="decimal"/>
      <w:start w:val="1"/>
    </w:lvl>
    <w:lvl w:ilvl="1">
      <w:lvlJc w:val="left"/>
      <w:lvlText w:val="%2."/>
      <w:numFmt w:val="lowerLetter"/>
      <w:start w:val="4"/>
    </w:lvl>
  </w:abstractNum>
  <w:abstractNum w:abstractNumId="92">
    <w:nsid w:val="5FB8370B"/>
    <w:multiLevelType w:val="hybridMultilevel"/>
    <w:lvl w:ilvl="0">
      <w:lvlJc w:val="left"/>
      <w:lvlText w:val="%1."/>
      <w:numFmt w:val="decimal"/>
      <w:start w:val="9"/>
    </w:lvl>
    <w:lvl w:ilvl="1">
      <w:lvlJc w:val="left"/>
      <w:lvlText w:val="%2"/>
      <w:numFmt w:val="lowerLetter"/>
      <w:start w:val="1"/>
    </w:lvl>
  </w:abstractNum>
  <w:abstractNum w:abstractNumId="93">
    <w:nsid w:val="50801EE1"/>
    <w:multiLevelType w:val="hybridMultilevel"/>
    <w:lvl w:ilvl="0">
      <w:lvlJc w:val="left"/>
      <w:lvlText w:val="%1."/>
      <w:numFmt w:val="lowerLetter"/>
      <w:start w:val="1"/>
    </w:lvl>
  </w:abstractNum>
  <w:abstractNum w:abstractNumId="94">
    <w:nsid w:val="488AC1A"/>
    <w:multiLevelType w:val="hybridMultilevel"/>
    <w:lvl w:ilvl="0">
      <w:lvlJc w:val="left"/>
      <w:lvlText w:val="%1."/>
      <w:numFmt w:val="decimal"/>
      <w:start w:val="1"/>
    </w:lvl>
  </w:abstractNum>
  <w:abstractNum w:abstractNumId="95">
    <w:nsid w:val="5FB8011C"/>
    <w:multiLevelType w:val="hybridMultilevel"/>
    <w:lvl w:ilvl="0">
      <w:lvlJc w:val="left"/>
      <w:lvlText w:val="•"/>
      <w:numFmt w:val="bullet"/>
      <w:start w:val="1"/>
    </w:lvl>
  </w:abstractNum>
  <w:abstractNum w:abstractNumId="96">
    <w:nsid w:val="6AA78F7F"/>
    <w:multiLevelType w:val="hybridMultilevel"/>
    <w:lvl w:ilvl="0">
      <w:lvlJc w:val="left"/>
      <w:lvlText w:val="(%1)"/>
      <w:numFmt w:val="decimal"/>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lvl w:ilvl="1">
      <w:lvlJc w:val="left"/>
      <w:lvlText w:val="(%2)"/>
      <w:numFmt w:val="lowerLetter"/>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87" Type="http://schemas.openxmlformats.org/officeDocument/2006/relationships/image" Target="media/image265.png"/><Relationship Id="rId302" Type="http://schemas.openxmlformats.org/officeDocument/2006/relationships/image" Target="media/image266.png"/><Relationship Id="rId303" Type="http://schemas.openxmlformats.org/officeDocument/2006/relationships/image" Target="media/image267.png"/><Relationship Id="rId304" Type="http://schemas.openxmlformats.org/officeDocument/2006/relationships/image" Target="media/image268.png"/><Relationship Id="rId305" Type="http://schemas.openxmlformats.org/officeDocument/2006/relationships/image" Target="media/image269.png"/><Relationship Id="rId306" Type="http://schemas.openxmlformats.org/officeDocument/2006/relationships/image" Target="media/image270.png"/><Relationship Id="rId307" Type="http://schemas.openxmlformats.org/officeDocument/2006/relationships/image" Target="media/image271.png"/><Relationship Id="rId308" Type="http://schemas.openxmlformats.org/officeDocument/2006/relationships/image" Target="media/image272.png"/><Relationship Id="rId309" Type="http://schemas.openxmlformats.org/officeDocument/2006/relationships/image" Target="media/image273.png"/><Relationship Id="rId310" Type="http://schemas.openxmlformats.org/officeDocument/2006/relationships/image" Target="media/image274.png"/><Relationship Id="rId311" Type="http://schemas.openxmlformats.org/officeDocument/2006/relationships/image" Target="media/image275.png"/><Relationship Id="rId312" Type="http://schemas.openxmlformats.org/officeDocument/2006/relationships/image" Target="media/image276.png"/><Relationship Id="rId313" Type="http://schemas.openxmlformats.org/officeDocument/2006/relationships/image" Target="media/image277.png"/><Relationship Id="rId314" Type="http://schemas.openxmlformats.org/officeDocument/2006/relationships/image" Target="media/image278.png"/><Relationship Id="rId315" Type="http://schemas.openxmlformats.org/officeDocument/2006/relationships/image" Target="media/image279.png"/><Relationship Id="rId316" Type="http://schemas.openxmlformats.org/officeDocument/2006/relationships/image" Target="media/image280.png"/><Relationship Id="rId317" Type="http://schemas.openxmlformats.org/officeDocument/2006/relationships/image" Target="media/image281.png"/><Relationship Id="rId318" Type="http://schemas.openxmlformats.org/officeDocument/2006/relationships/image" Target="media/image282.png"/><Relationship Id="rId319" Type="http://schemas.openxmlformats.org/officeDocument/2006/relationships/image" Target="media/image283.png"/><Relationship Id="rId320" Type="http://schemas.openxmlformats.org/officeDocument/2006/relationships/image" Target="media/image284.png"/><Relationship Id="rId321" Type="http://schemas.openxmlformats.org/officeDocument/2006/relationships/image" Target="media/image285.png"/><Relationship Id="rId322" Type="http://schemas.openxmlformats.org/officeDocument/2006/relationships/image" Target="media/image286.png"/><Relationship Id="rId323" Type="http://schemas.openxmlformats.org/officeDocument/2006/relationships/image" Target="media/image287.png"/><Relationship Id="rId324" Type="http://schemas.openxmlformats.org/officeDocument/2006/relationships/image" Target="media/image288.png"/><Relationship Id="rId325" Type="http://schemas.openxmlformats.org/officeDocument/2006/relationships/image" Target="media/image289.png"/><Relationship Id="rId326" Type="http://schemas.openxmlformats.org/officeDocument/2006/relationships/image" Target="media/image290.png"/><Relationship Id="rId327" Type="http://schemas.openxmlformats.org/officeDocument/2006/relationships/image" Target="media/image291.png"/><Relationship Id="rId328" Type="http://schemas.openxmlformats.org/officeDocument/2006/relationships/image" Target="media/image292.png"/><Relationship Id="rId329" Type="http://schemas.openxmlformats.org/officeDocument/2006/relationships/image" Target="media/image293.png"/><Relationship Id="rId330" Type="http://schemas.openxmlformats.org/officeDocument/2006/relationships/image" Target="media/image294.png"/><Relationship Id="rId331" Type="http://schemas.openxmlformats.org/officeDocument/2006/relationships/image" Target="media/image295.png"/><Relationship Id="rId332" Type="http://schemas.openxmlformats.org/officeDocument/2006/relationships/image" Target="media/image296.png"/><Relationship Id="rId333" Type="http://schemas.openxmlformats.org/officeDocument/2006/relationships/image" Target="media/image297.png"/><Relationship Id="rId334" Type="http://schemas.openxmlformats.org/officeDocument/2006/relationships/image" Target="media/image298.png"/><Relationship Id="rId335" Type="http://schemas.openxmlformats.org/officeDocument/2006/relationships/image" Target="media/image299.png"/><Relationship Id="rId336" Type="http://schemas.openxmlformats.org/officeDocument/2006/relationships/image" Target="media/image300.png"/><Relationship Id="rId337" Type="http://schemas.openxmlformats.org/officeDocument/2006/relationships/image" Target="media/image301.png"/><Relationship Id="rId338" Type="http://schemas.openxmlformats.org/officeDocument/2006/relationships/image" Target="media/image302.png"/><Relationship Id="rId339" Type="http://schemas.openxmlformats.org/officeDocument/2006/relationships/image" Target="media/image303.png"/><Relationship Id="rId340" Type="http://schemas.openxmlformats.org/officeDocument/2006/relationships/image" Target="media/image304.png"/><Relationship Id="rId341" Type="http://schemas.openxmlformats.org/officeDocument/2006/relationships/image" Target="media/image305.png"/><Relationship Id="rId342" Type="http://schemas.openxmlformats.org/officeDocument/2006/relationships/image" Target="media/image306.png"/><Relationship Id="rId343" Type="http://schemas.openxmlformats.org/officeDocument/2006/relationships/image" Target="media/image307.png"/><Relationship Id="rId344" Type="http://schemas.openxmlformats.org/officeDocument/2006/relationships/image" Target="media/image308.png"/><Relationship Id="rId345" Type="http://schemas.openxmlformats.org/officeDocument/2006/relationships/image" Target="media/image309.png"/><Relationship Id="rId346" Type="http://schemas.openxmlformats.org/officeDocument/2006/relationships/image" Target="media/image310.png"/><Relationship Id="rId347" Type="http://schemas.openxmlformats.org/officeDocument/2006/relationships/image" Target="media/image311.png"/><Relationship Id="rId348" Type="http://schemas.openxmlformats.org/officeDocument/2006/relationships/image" Target="media/image312.png"/><Relationship Id="rId349" Type="http://schemas.openxmlformats.org/officeDocument/2006/relationships/image" Target="media/image313.png"/><Relationship Id="rId350" Type="http://schemas.openxmlformats.org/officeDocument/2006/relationships/image" Target="media/image314.png"/><Relationship Id="rId351" Type="http://schemas.openxmlformats.org/officeDocument/2006/relationships/image" Target="media/image315.png"/><Relationship Id="rId352" Type="http://schemas.openxmlformats.org/officeDocument/2006/relationships/image" Target="media/image316.png"/><Relationship Id="rId353" Type="http://schemas.openxmlformats.org/officeDocument/2006/relationships/image" Target="media/image317.png"/><Relationship Id="rId354" Type="http://schemas.openxmlformats.org/officeDocument/2006/relationships/image" Target="media/image318.png"/><Relationship Id="rId355" Type="http://schemas.openxmlformats.org/officeDocument/2006/relationships/image" Target="media/image319.png"/><Relationship Id="rId356" Type="http://schemas.openxmlformats.org/officeDocument/2006/relationships/image" Target="media/image320.png"/><Relationship Id="rId357" Type="http://schemas.openxmlformats.org/officeDocument/2006/relationships/image" Target="media/image321.png"/><Relationship Id="rId358" Type="http://schemas.openxmlformats.org/officeDocument/2006/relationships/image" Target="media/image322.png"/><Relationship Id="rId359" Type="http://schemas.openxmlformats.org/officeDocument/2006/relationships/image" Target="media/image323.png"/><Relationship Id="rId360" Type="http://schemas.openxmlformats.org/officeDocument/2006/relationships/image" Target="media/image324.png"/><Relationship Id="rId361" Type="http://schemas.openxmlformats.org/officeDocument/2006/relationships/image" Target="media/image325.png"/><Relationship Id="rId362" Type="http://schemas.openxmlformats.org/officeDocument/2006/relationships/image" Target="media/image326.png"/><Relationship Id="rId363" Type="http://schemas.openxmlformats.org/officeDocument/2006/relationships/image" Target="media/image327.png"/><Relationship Id="rId364" Type="http://schemas.openxmlformats.org/officeDocument/2006/relationships/image" Target="media/image328.png"/><Relationship Id="rId365" Type="http://schemas.openxmlformats.org/officeDocument/2006/relationships/image" Target="media/image329.png"/><Relationship Id="rId366" Type="http://schemas.openxmlformats.org/officeDocument/2006/relationships/image" Target="media/image330.png"/><Relationship Id="rId367" Type="http://schemas.openxmlformats.org/officeDocument/2006/relationships/image" Target="media/image331.png"/><Relationship Id="rId368" Type="http://schemas.openxmlformats.org/officeDocument/2006/relationships/image" Target="media/image332.png"/><Relationship Id="rId369" Type="http://schemas.openxmlformats.org/officeDocument/2006/relationships/image" Target="media/image333.png"/><Relationship Id="rId370" Type="http://schemas.openxmlformats.org/officeDocument/2006/relationships/image" Target="media/image334.png"/><Relationship Id="rId371" Type="http://schemas.openxmlformats.org/officeDocument/2006/relationships/image" Target="media/image335.png"/><Relationship Id="rId272" Type="http://schemas.openxmlformats.org/officeDocument/2006/relationships/hyperlink" Target="https://www.sec.gov/Archives/edgar/data/1544227/000110465921042768/tm2111026d1_ex2-1.htm" TargetMode="External"/><Relationship Id="rId273" Type="http://schemas.openxmlformats.org/officeDocument/2006/relationships/hyperlink" Target="https://www.sec.gov/Archives/edgar/data/1544227/000155837019005038/mlnd-20190331ex31b53fa83.htm" TargetMode="External"/><Relationship Id="rId274" Type="http://schemas.openxmlformats.org/officeDocument/2006/relationships/hyperlink" Target="https://www.sec.gov/Archives/edgar/data/1544227/000119312521201157/d196630dex31.htm" TargetMode="External"/><Relationship Id="rId275" Type="http://schemas.openxmlformats.org/officeDocument/2006/relationships/hyperlink" Target="https://www.sec.gov/Archives/edgar/data/1544227/000119312521201157/d196630dex32.htm" TargetMode="External"/><Relationship Id="rId276" Type="http://schemas.openxmlformats.org/officeDocument/2006/relationships/hyperlink" Target="https://www.sec.gov/Archives/edgar/data/1544227/000119312523253882/d547808dex31.htm" TargetMode="External"/><Relationship Id="rId277" Type="http://schemas.openxmlformats.org/officeDocument/2006/relationships/hyperlink" Target="https://www.sec.gov/Archives/edgar/data/1544227/000119312521281694/d222030dex31.htm" TargetMode="External"/><Relationship Id="rId278" Type="http://schemas.openxmlformats.org/officeDocument/2006/relationships/hyperlink" Target="https://www.sec.gov/Archives/edgar/data/1544227/000119312523253882/d547808dex41.htm" TargetMode="External"/><Relationship Id="rId279" Type="http://schemas.openxmlformats.org/officeDocument/2006/relationships/hyperlink" Target="https://www.sec.gov/ix?doc=/Archives/edgar/data/0001544227/000119312524235598/d877681d8k.htm" TargetMode="External"/><Relationship Id="rId280" Type="http://schemas.openxmlformats.org/officeDocument/2006/relationships/hyperlink" Target="https://www.sec.gov/ix?doc=/Archives/edgar/data/0001544227/000119312524272464/d899818d8k.htm" TargetMode="External"/><Relationship Id="rId281" Type="http://schemas.openxmlformats.org/officeDocument/2006/relationships/hyperlink" Target="https://www.sec.gov/Archives/edgar/data/1544227/000119312521208968/d184348dex102.htm" TargetMode="External"/><Relationship Id="rId282" Type="http://schemas.openxmlformats.org/officeDocument/2006/relationships/hyperlink" Target="https://www.sec.gov/Archives/edgar/data/1544227/000119312521208968/d184348dex101.htm" TargetMode="External"/><Relationship Id="rId283" Type="http://schemas.openxmlformats.org/officeDocument/2006/relationships/hyperlink" Target="https://www.sec.gov/Archives/edgar/data/1544227/000162828022007717/tempest-2017eipxformofst.htm" TargetMode="External"/><Relationship Id="rId284" Type="http://schemas.openxmlformats.org/officeDocument/2006/relationships/hyperlink" Target="https://www.sec.gov/Archives/edgar/data/1544227/000119312522177053/d370249dex101.htm" TargetMode="External"/><Relationship Id="rId285" Type="http://schemas.openxmlformats.org/officeDocument/2006/relationships/hyperlink" Target="https://www.sec.gov/Archives/edgar/data/1544227/000155837019007932/mlnd-20190630ex107cfce16.htm" TargetMode="External"/><Relationship Id="rId286" Type="http://schemas.openxmlformats.org/officeDocument/2006/relationships/hyperlink" Target="https://www.sec.gov/Archives/edgar/data/1544227/000154422720000004/mlnd-20191231xex1016.htm" TargetMode="External"/><Relationship Id="rId288" Type="http://schemas.openxmlformats.org/officeDocument/2006/relationships/hyperlink" Target="https://www.sec.gov/Archives/edgar/data/1544227/000154422720000004/mlnd-201912x31xex1017.htm" TargetMode="External"/><Relationship Id="rId289" Type="http://schemas.openxmlformats.org/officeDocument/2006/relationships/hyperlink" Target="https://www.sec.gov/Archives/edgar/data/1544227/000119312522177053/d370249dex102.htm" TargetMode="External"/><Relationship Id="rId290" Type="http://schemas.openxmlformats.org/officeDocument/2006/relationships/hyperlink" Target="https://www.sec.gov/Archives/edgar/data/1544227/000119312521148605/d150774dex103.htm" TargetMode="External"/><Relationship Id="rId291" Type="http://schemas.openxmlformats.org/officeDocument/2006/relationships/hyperlink" Target="https://www.sec.gov/Archives/edgar/data/1544227/000119312521209988/d69289dex101.htm" TargetMode="External"/><Relationship Id="rId292" Type="http://schemas.openxmlformats.org/officeDocument/2006/relationships/hyperlink" Target="https://www.sec.gov/Archives/edgar/data/1544227/000119312521209988/d69289dex102.htm" TargetMode="External"/><Relationship Id="rId293" Type="http://schemas.openxmlformats.org/officeDocument/2006/relationships/hyperlink" Target="https://www.sec.gov/Archives/edgar/data/1544227/000119312521209988/d69289dex104.htm" TargetMode="External"/><Relationship Id="rId294" Type="http://schemas.openxmlformats.org/officeDocument/2006/relationships/hyperlink" Target="https://www.sec.gov/Archives/edgar/data/1544227/000095017023009237/tpst-ex10_24.htm" TargetMode="External"/><Relationship Id="rId295" Type="http://schemas.openxmlformats.org/officeDocument/2006/relationships/hyperlink" Target="https://www.sec.gov/Archives/edgar/data/1544227/000119312522314745/d411465dex101.htm" TargetMode="External"/><Relationship Id="rId296" Type="http://schemas.openxmlformats.org/officeDocument/2006/relationships/hyperlink" Target="https://www.sec.gov/ix?doc=/Archives/edgar/data/0001544227/000095017024033555/tpst-20231231.htm" TargetMode="External"/><Relationship Id="rId297" Type="http://schemas.openxmlformats.org/officeDocument/2006/relationships/hyperlink" Target="https://www.sec.gov/Archives/edgar/data/1544227/000095017023041429/tpst-ex10_1.htm" TargetMode="External"/><Relationship Id="rId298" Type="http://schemas.openxmlformats.org/officeDocument/2006/relationships/hyperlink" Target="https://www.sec.gov/Archives/edgar/data/1544227/000095017023041429/tpst-ex10_2.htm" TargetMode="External"/><Relationship Id="rId299" Type="http://schemas.openxmlformats.org/officeDocument/2006/relationships/hyperlink" Target="https://www.sec.gov/Archives/edgar/data/1544227/000095017023041429/tpst-ex10_3.htm" TargetMode="External"/><Relationship Id="rId300" Type="http://schemas.openxmlformats.org/officeDocument/2006/relationships/hyperlink" Target="https://www.sec.gov/Archives/edgar/data/1544227/000095017023041429/tpst-ex10_4.htm" TargetMode="External"/><Relationship Id="rId301" Type="http://schemas.openxmlformats.org/officeDocument/2006/relationships/hyperlink" Target="https://www.sec.gov/Archives/edgar/data/1544227/000119312522092417/d32805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2025-03-27T16:31:10Z</dcterms:created>
  <dcterms:modified xsi:type="dcterms:W3CDTF">2025-03-27T16:31:10Z</dcterms:modified>
</cp:coreProperties>
</file>