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4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17, 2025, Tempest Therapeutics, Inc. (the “Company”) adopted a plan to extend its capital resources in connection with initiating the previously announced process to explore a full range of strategic alternatives. As part of the plan, the Company will reduce its workforce by 21 of 26 full-time employees, effective April 30, 2025. The Company anticipates that key employees within this group will transition to consulting agreements and continue to be available to the Company. The Company estimates that it will incur approximately $1.5 million of cash expenditures, consisting primarily of one-time severance payments, benefits and other related costs (excluding non-cash charges associated with equity-based compensation), with the majority of such costs to be incurred in the second quarter of 2025. The estimated costs that the Company expects to incur, and the timing thereof, are subject to a number of assumptions and actual results may differ. The Company may also incur other charges or cash expenditures not currently contemplated due to events that may occur as a result of, or associated with, the workforce reduction, including potential impairment charges, if any. However, the Company is not able to estimate the amount or range of amounts of such potential impairments as of the date of this Current Report on Form 8-K. If required, the Company will amend this Current Report on Form 8-K at such time as its management is able in good faith to estimate the amount, or range of amounts, of these charges.</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2025-04-18T15:25:25Z</dcterms:created>
  <dcterms:modified xsi:type="dcterms:W3CDTF">2025-04-18T15:25:25Z</dcterms:modified>
</cp:coreProperties>
</file>