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Tempest Therapeutics,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60040X103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as amended (“</w:t>
      </w:r>
      <w:r>
        <w:rPr>
          <w:rFonts w:ascii="Arial" w:cs="Arial" w:eastAsia="Arial" w:hAnsi="Arial"/>
          <w:sz w:val="18"/>
          <w:szCs w:val="18"/>
          <w:b w:val="1"/>
          <w:bCs w:val="1"/>
          <w:i w:val="1"/>
          <w:iCs w:val="1"/>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Evan K. Hall, Esq.</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Haynes and Boone,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2323 Victory Avenue, Suite 700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Dallas, Texas 75219-7673</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(214) 651-5000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211455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CUSIP No. 60040X103</w:t>
      </w:r>
    </w:p>
    <w:p>
      <w:pPr>
        <w:spacing w:after="0" w:line="144" w:lineRule="exact"/>
        <w:rPr>
          <w:sz w:val="20"/>
          <w:szCs w:val="20"/>
          <w:color w:val="auto"/>
        </w:rPr>
      </w:pPr>
    </w:p>
    <w:p>
      <w:pPr>
        <w:ind w:left="624" w:hanging="467"/>
        <w:spacing w:after="0"/>
        <w:tabs>
          <w:tab w:leader="none" w:pos="6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4006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400675"/>
                    </a:xfrm>
                    <a:prstGeom prst="rect">
                      <a:avLst/>
                    </a:prstGeom>
                    <a:noFill/>
                  </pic:spPr>
                </pic:pic>
              </a:graphicData>
            </a:graphic>
          </wp:anchor>
        </w:drawing>
      </w:r>
    </w:p>
    <w:p>
      <w:pPr>
        <w:spacing w:after="0" w:line="229" w:lineRule="exact"/>
        <w:rPr>
          <w:sz w:val="20"/>
          <w:szCs w:val="20"/>
          <w:color w:val="auto"/>
        </w:rPr>
      </w:pPr>
    </w:p>
    <w:p>
      <w:pPr>
        <w:ind w:left="624"/>
        <w:spacing w:after="0"/>
        <w:rPr>
          <w:sz w:val="20"/>
          <w:szCs w:val="20"/>
          <w:color w:val="auto"/>
        </w:rPr>
      </w:pPr>
      <w:r>
        <w:rPr>
          <w:rFonts w:ascii="Arial" w:cs="Arial" w:eastAsia="Arial" w:hAnsi="Arial"/>
          <w:sz w:val="22"/>
          <w:szCs w:val="22"/>
          <w:color w:val="auto"/>
        </w:rPr>
        <w:t>Ikarian Capital, LLC</w:t>
      </w:r>
    </w:p>
    <w:p>
      <w:pPr>
        <w:spacing w:after="0" w:line="21" w:lineRule="exact"/>
        <w:rPr>
          <w:sz w:val="20"/>
          <w:szCs w:val="20"/>
          <w:color w:val="auto"/>
        </w:rPr>
      </w:pPr>
    </w:p>
    <w:p>
      <w:pPr>
        <w:ind w:left="624" w:hanging="467"/>
        <w:spacing w:after="0"/>
        <w:tabs>
          <w:tab w:leader="none" w:pos="6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1"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467"/>
        <w:spacing w:after="0"/>
        <w:tabs>
          <w:tab w:leader="none" w:pos="6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624" w:hanging="467"/>
        <w:spacing w:after="0"/>
        <w:tabs>
          <w:tab w:leader="none" w:pos="6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624"/>
        <w:spacing w:after="0"/>
        <w:rPr>
          <w:sz w:val="20"/>
          <w:szCs w:val="20"/>
          <w:color w:val="auto"/>
        </w:rPr>
      </w:pPr>
      <w:r>
        <w:rPr>
          <w:rFonts w:ascii="Arial" w:cs="Arial" w:eastAsia="Arial" w:hAnsi="Arial"/>
          <w:sz w:val="22"/>
          <w:szCs w:val="22"/>
          <w:color w:val="auto"/>
        </w:rPr>
        <w:t>Delaware</w:t>
      </w:r>
    </w:p>
    <w:p>
      <w:pPr>
        <w:spacing w:after="0" w:line="21" w:lineRule="exact"/>
        <w:rPr>
          <w:sz w:val="20"/>
          <w:szCs w:val="20"/>
          <w:color w:val="auto"/>
        </w:rPr>
      </w:pPr>
    </w:p>
    <w:tbl>
      <w:tblPr>
        <w:tblLayout w:type="fixed"/>
        <w:tblInd w:w="1524" w:type="dxa"/>
        <w:tblCellMar>
          <w:top w:w="0" w:type="dxa"/>
          <w:left w:w="0" w:type="dxa"/>
          <w:bottom w:w="0" w:type="dxa"/>
          <w:right w:w="0" w:type="dxa"/>
        </w:tblCellMar>
      </w:tblPr>
      <w:tr>
        <w:trPr>
          <w:trHeight w:val="234"/>
        </w:trPr>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1580" w:type="dxa"/>
            <w:vAlign w:val="bottom"/>
          </w:tcPr>
          <w:p>
            <w:pPr>
              <w:ind w:left="180"/>
              <w:spacing w:after="0"/>
              <w:rPr>
                <w:sz w:val="20"/>
                <w:szCs w:val="20"/>
                <w:color w:val="auto"/>
              </w:rPr>
            </w:pPr>
            <w:r>
              <w:rPr>
                <w:rFonts w:ascii="Arial" w:cs="Arial" w:eastAsia="Arial" w:hAnsi="Arial"/>
                <w:sz w:val="18"/>
                <w:szCs w:val="18"/>
                <w:b w:val="1"/>
                <w:bCs w:val="1"/>
                <w:color w:val="auto"/>
                <w:w w:val="87"/>
              </w:rPr>
              <w:t>Sole Voting Power</w:t>
            </w:r>
          </w:p>
        </w:tc>
      </w:tr>
    </w:tbl>
    <w:p>
      <w:pPr>
        <w:spacing w:after="0" w:line="220" w:lineRule="exact"/>
        <w:rPr>
          <w:sz w:val="20"/>
          <w:szCs w:val="20"/>
          <w:color w:val="auto"/>
        </w:rPr>
      </w:pPr>
    </w:p>
    <w:tbl>
      <w:tblPr>
        <w:tblLayout w:type="fixed"/>
        <w:tblInd w:w="324" w:type="dxa"/>
        <w:tblCellMar>
          <w:top w:w="0" w:type="dxa"/>
          <w:left w:w="0" w:type="dxa"/>
          <w:bottom w:w="0" w:type="dxa"/>
          <w:right w:w="0" w:type="dxa"/>
        </w:tblCellMar>
      </w:tblPr>
      <w:tr>
        <w:trPr>
          <w:trHeight w:val="276"/>
        </w:trPr>
        <w:tc>
          <w:tcPr>
            <w:tcW w:w="10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3"/>
              </w:rPr>
              <w:t>Number of</w:t>
            </w:r>
          </w:p>
        </w:tc>
        <w:tc>
          <w:tcPr>
            <w:tcW w:w="3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1080" w:type="dxa"/>
            <w:vAlign w:val="bottom"/>
            <w:vMerge w:val="continue"/>
          </w:tcPr>
          <w:p>
            <w:pPr>
              <w:spacing w:after="0"/>
              <w:rPr>
                <w:sz w:val="3"/>
                <w:szCs w:val="3"/>
                <w:color w:val="auto"/>
              </w:rPr>
            </w:pPr>
          </w:p>
        </w:tc>
        <w:tc>
          <w:tcPr>
            <w:tcW w:w="3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w:t>
            </w:r>
          </w:p>
        </w:tc>
        <w:tc>
          <w:tcPr>
            <w:tcW w:w="91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0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6"/>
              </w:rPr>
              <w:t>Shares</w:t>
            </w:r>
          </w:p>
        </w:tc>
        <w:tc>
          <w:tcPr>
            <w:tcW w:w="380" w:type="dxa"/>
            <w:vAlign w:val="bottom"/>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08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9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Beneficially</w:t>
            </w:r>
          </w:p>
        </w:tc>
        <w:tc>
          <w:tcPr>
            <w:tcW w:w="380" w:type="dxa"/>
            <w:vAlign w:val="bottom"/>
          </w:tcPr>
          <w:p>
            <w:pPr>
              <w:spacing w:after="0"/>
              <w:rPr>
                <w:sz w:val="18"/>
                <w:szCs w:val="18"/>
                <w:color w:val="auto"/>
              </w:rPr>
            </w:pPr>
          </w:p>
        </w:tc>
        <w:tc>
          <w:tcPr>
            <w:tcW w:w="9120" w:type="dxa"/>
            <w:vAlign w:val="bottom"/>
            <w:vMerge w:val="restart"/>
          </w:tcPr>
          <w:p>
            <w:pPr>
              <w:ind w:left="180"/>
              <w:spacing w:after="0"/>
              <w:rPr>
                <w:sz w:val="20"/>
                <w:szCs w:val="20"/>
                <w:color w:val="auto"/>
              </w:rPr>
            </w:pPr>
            <w:r>
              <w:rPr>
                <w:rFonts w:ascii="Arial" w:cs="Arial" w:eastAsia="Arial" w:hAnsi="Arial"/>
                <w:sz w:val="22"/>
                <w:szCs w:val="22"/>
                <w:color w:val="auto"/>
              </w:rPr>
              <w:t>58,803 (1)</w:t>
            </w:r>
          </w:p>
        </w:tc>
        <w:tc>
          <w:tcPr>
            <w:tcW w:w="0" w:type="dxa"/>
            <w:vAlign w:val="bottom"/>
          </w:tcPr>
          <w:p>
            <w:pPr>
              <w:spacing w:after="0"/>
              <w:rPr>
                <w:sz w:val="1"/>
                <w:szCs w:val="1"/>
                <w:color w:val="auto"/>
              </w:rPr>
            </w:pPr>
          </w:p>
        </w:tc>
      </w:tr>
      <w:tr>
        <w:trPr>
          <w:trHeight w:val="234"/>
        </w:trPr>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Owned by</w:t>
            </w:r>
          </w:p>
        </w:tc>
        <w:tc>
          <w:tcPr>
            <w:tcW w:w="38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8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w w:val="92"/>
              </w:rPr>
              <w:t>Each</w:t>
            </w:r>
          </w:p>
        </w:tc>
        <w:tc>
          <w:tcPr>
            <w:tcW w:w="38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rPr>
              <w:t>7</w:t>
            </w:r>
          </w:p>
        </w:tc>
        <w:tc>
          <w:tcPr>
            <w:tcW w:w="9120" w:type="dxa"/>
            <w:vAlign w:val="bottom"/>
          </w:tcPr>
          <w:p>
            <w:pPr>
              <w:ind w:left="18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Reporting</w:t>
            </w:r>
          </w:p>
        </w:tc>
        <w:tc>
          <w:tcPr>
            <w:tcW w:w="3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Person</w:t>
            </w:r>
          </w:p>
        </w:tc>
        <w:tc>
          <w:tcPr>
            <w:tcW w:w="380" w:type="dxa"/>
            <w:vAlign w:val="bottom"/>
          </w:tcPr>
          <w:p>
            <w:pPr>
              <w:spacing w:after="0"/>
              <w:rPr>
                <w:sz w:val="20"/>
                <w:szCs w:val="20"/>
                <w:color w:val="auto"/>
              </w:rPr>
            </w:pPr>
          </w:p>
        </w:tc>
        <w:tc>
          <w:tcPr>
            <w:tcW w:w="9120" w:type="dxa"/>
            <w:vAlign w:val="bottom"/>
          </w:tcPr>
          <w:p>
            <w:pPr>
              <w:ind w:left="18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0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7"/>
              </w:rPr>
              <w:t>With:</w:t>
            </w:r>
          </w:p>
        </w:tc>
        <w:tc>
          <w:tcPr>
            <w:tcW w:w="380" w:type="dxa"/>
            <w:vAlign w:val="bottom"/>
            <w:tcBorders>
              <w:bottom w:val="single" w:sz="8" w:color="auto"/>
            </w:tcBorders>
          </w:tcPr>
          <w:p>
            <w:pPr>
              <w:spacing w:after="0"/>
              <w:rPr>
                <w:sz w:val="6"/>
                <w:szCs w:val="6"/>
                <w:color w:val="auto"/>
              </w:rPr>
            </w:pPr>
          </w:p>
        </w:tc>
        <w:tc>
          <w:tcPr>
            <w:tcW w:w="9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080" w:type="dxa"/>
            <w:vAlign w:val="bottom"/>
            <w:vMerge w:val="continue"/>
          </w:tcPr>
          <w:p>
            <w:pPr>
              <w:spacing w:after="0"/>
              <w:rPr>
                <w:sz w:val="11"/>
                <w:szCs w:val="11"/>
                <w:color w:val="auto"/>
              </w:rPr>
            </w:pPr>
          </w:p>
        </w:tc>
        <w:tc>
          <w:tcPr>
            <w:tcW w:w="3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8</w:t>
            </w:r>
          </w:p>
        </w:tc>
        <w:tc>
          <w:tcPr>
            <w:tcW w:w="91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93"/>
        </w:trPr>
        <w:tc>
          <w:tcPr>
            <w:tcW w:w="10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9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4"/>
        <w:spacing w:after="0"/>
        <w:rPr>
          <w:sz w:val="20"/>
          <w:szCs w:val="20"/>
          <w:color w:val="auto"/>
        </w:rPr>
      </w:pPr>
      <w:r>
        <w:rPr>
          <w:rFonts w:ascii="Arial" w:cs="Arial" w:eastAsia="Arial" w:hAnsi="Arial"/>
          <w:sz w:val="22"/>
          <w:szCs w:val="22"/>
          <w:color w:val="auto"/>
        </w:rPr>
        <w:t>58,803 (1)</w:t>
      </w:r>
    </w:p>
    <w:p>
      <w:pPr>
        <w:spacing w:after="0" w:line="21" w:lineRule="exact"/>
        <w:rPr>
          <w:sz w:val="20"/>
          <w:szCs w:val="20"/>
          <w:color w:val="auto"/>
        </w:rPr>
      </w:pPr>
    </w:p>
    <w:p>
      <w:pPr>
        <w:ind w:left="624" w:hanging="467"/>
        <w:spacing w:after="0"/>
        <w:tabs>
          <w:tab w:leader="none" w:pos="6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624"/>
        <w:spacing w:after="0"/>
        <w:rPr>
          <w:sz w:val="20"/>
          <w:szCs w:val="20"/>
          <w:color w:val="auto"/>
        </w:rPr>
      </w:pPr>
      <w:r>
        <w:rPr>
          <w:rFonts w:ascii="Arial" w:cs="Arial" w:eastAsia="Arial" w:hAnsi="Arial"/>
          <w:sz w:val="22"/>
          <w:szCs w:val="22"/>
          <w:color w:val="auto"/>
        </w:rPr>
        <w:t>58,803 (1)</w:t>
      </w:r>
    </w:p>
    <w:p>
      <w:pPr>
        <w:spacing w:after="0" w:line="21" w:lineRule="exact"/>
        <w:rPr>
          <w:sz w:val="20"/>
          <w:szCs w:val="20"/>
          <w:color w:val="auto"/>
        </w:rPr>
      </w:pPr>
    </w:p>
    <w:p>
      <w:pPr>
        <w:ind w:left="164"/>
        <w:spacing w:after="0"/>
        <w:tabs>
          <w:tab w:leader="none" w:pos="604" w:val="left"/>
        </w:tabs>
        <w:rPr>
          <w:sz w:val="20"/>
          <w:szCs w:val="20"/>
          <w:color w:val="auto"/>
        </w:rPr>
      </w:pPr>
      <w:r>
        <w:rPr>
          <w:rFonts w:ascii="Arial" w:cs="Arial" w:eastAsia="Arial" w:hAnsi="Arial"/>
          <w:sz w:val="18"/>
          <w:szCs w:val="18"/>
          <w:b w:val="1"/>
          <w:bCs w:val="1"/>
          <w:color w:val="auto"/>
        </w:rPr>
        <w:t>10</w:t>
        <w:tab/>
        <w:t>Check box if the aggregate amount in row (9) excludes certain shares (See Instructions)</w:t>
      </w:r>
    </w:p>
    <w:p>
      <w:pPr>
        <w:spacing w:after="0" w:line="221" w:lineRule="exact"/>
        <w:rPr>
          <w:sz w:val="20"/>
          <w:szCs w:val="20"/>
          <w:color w:val="auto"/>
        </w:rPr>
      </w:pPr>
    </w:p>
    <w:p>
      <w:pPr>
        <w:ind w:left="62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4"/>
        <w:spacing w:after="0"/>
        <w:tabs>
          <w:tab w:leader="none" w:pos="60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624"/>
        <w:spacing w:after="0"/>
        <w:rPr>
          <w:sz w:val="20"/>
          <w:szCs w:val="20"/>
          <w:color w:val="auto"/>
        </w:rPr>
      </w:pPr>
      <w:r>
        <w:rPr>
          <w:rFonts w:ascii="Arial" w:cs="Arial" w:eastAsia="Arial" w:hAnsi="Arial"/>
          <w:sz w:val="22"/>
          <w:szCs w:val="22"/>
          <w:color w:val="auto"/>
        </w:rPr>
        <w:t>0.9% (1)(2)</w:t>
      </w:r>
    </w:p>
    <w:p>
      <w:pPr>
        <w:spacing w:after="0" w:line="21" w:lineRule="exact"/>
        <w:rPr>
          <w:sz w:val="20"/>
          <w:szCs w:val="20"/>
          <w:color w:val="auto"/>
        </w:rPr>
      </w:pPr>
    </w:p>
    <w:p>
      <w:pPr>
        <w:ind w:left="164"/>
        <w:spacing w:after="0"/>
        <w:tabs>
          <w:tab w:leader="none" w:pos="604" w:val="left"/>
        </w:tabs>
        <w:rPr>
          <w:sz w:val="20"/>
          <w:szCs w:val="20"/>
          <w:color w:val="auto"/>
        </w:rPr>
      </w:pPr>
      <w:r>
        <w:rPr>
          <w:rFonts w:ascii="Arial" w:cs="Arial" w:eastAsia="Arial" w:hAnsi="Arial"/>
          <w:sz w:val="18"/>
          <w:szCs w:val="18"/>
          <w:b w:val="1"/>
          <w:bCs w:val="1"/>
          <w:color w:val="auto"/>
        </w:rPr>
        <w:t>12</w:t>
        <w:tab/>
        <w:t>Type of Reporting Person (See Instructions)</w:t>
      </w:r>
    </w:p>
    <w:p>
      <w:pPr>
        <w:spacing w:after="0" w:line="248" w:lineRule="exact"/>
        <w:rPr>
          <w:sz w:val="20"/>
          <w:szCs w:val="20"/>
          <w:color w:val="auto"/>
        </w:rPr>
      </w:pPr>
    </w:p>
    <w:p>
      <w:pPr>
        <w:ind w:left="624"/>
        <w:spacing w:after="0"/>
        <w:rPr>
          <w:sz w:val="20"/>
          <w:szCs w:val="20"/>
          <w:color w:val="auto"/>
        </w:rPr>
      </w:pPr>
      <w:r>
        <w:rPr>
          <w:rFonts w:ascii="Arial" w:cs="Arial" w:eastAsia="Arial" w:hAnsi="Arial"/>
          <w:sz w:val="22"/>
          <w:szCs w:val="22"/>
          <w:color w:val="auto"/>
        </w:rPr>
        <w:t>IA</w:t>
      </w:r>
    </w:p>
    <w:p>
      <w:pPr>
        <w:spacing w:after="0" w:line="267" w:lineRule="exact"/>
        <w:rPr>
          <w:sz w:val="20"/>
          <w:szCs w:val="20"/>
          <w:color w:val="auto"/>
        </w:rPr>
      </w:pPr>
    </w:p>
    <w:p>
      <w:pPr>
        <w:ind w:left="424" w:right="20" w:hanging="424"/>
        <w:spacing w:after="0" w:line="258" w:lineRule="auto"/>
        <w:tabs>
          <w:tab w:leader="none" w:pos="424"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Represents shares held by Ikarian Healthcare Master Fund, L.P., a Cayman Islands exempted limited partnership, and certain separately managed accounts. See Item 2 for more information.</w:t>
      </w:r>
    </w:p>
    <w:p>
      <w:pPr>
        <w:spacing w:after="0" w:line="1" w:lineRule="exact"/>
        <w:rPr>
          <w:rFonts w:ascii="Arial" w:cs="Arial" w:eastAsia="Arial" w:hAnsi="Arial"/>
          <w:sz w:val="18"/>
          <w:szCs w:val="18"/>
          <w:b w:val="1"/>
          <w:bCs w:val="1"/>
          <w:color w:val="auto"/>
        </w:rPr>
      </w:pPr>
    </w:p>
    <w:p>
      <w:pPr>
        <w:ind w:left="424" w:right="120" w:hanging="424"/>
        <w:spacing w:after="0" w:line="255" w:lineRule="auto"/>
        <w:tabs>
          <w:tab w:leader="none" w:pos="424"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Based upon 6,910,324 shares of Common Stock, $0.001 par value, outstanding as of November 8, 2021, as disclosed in the Issuer’s quarterly report on Form 10-Q for the fiscal quarter ended September 30, 2021, filed by the Issuer with the U.S. Securities and Exchange Commission on November 10, 2021.</w:t>
      </w:r>
    </w:p>
    <w:p>
      <w:pPr>
        <w:sectPr>
          <w:pgSz w:w="11900" w:h="16838" w:orient="portrait"/>
          <w:cols w:equalWidth="0" w:num="1">
            <w:col w:w="10904"/>
          </w:cols>
          <w:pgMar w:left="436" w:top="270" w:right="559" w:bottom="1440" w:gutter="0" w:footer="0" w:header="0"/>
        </w:sectPr>
      </w:pPr>
    </w:p>
    <w:bookmarkStart w:id="2" w:name="page3"/>
    <w:bookmarkEnd w:id="2"/>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13G</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CUSIP No. 60040X103</w:t>
      </w:r>
    </w:p>
    <w:p>
      <w:pPr>
        <w:spacing w:after="0" w:line="144" w:lineRule="exact"/>
        <w:rPr>
          <w:sz w:val="20"/>
          <w:szCs w:val="20"/>
          <w:color w:val="auto"/>
        </w:rPr>
      </w:pPr>
    </w:p>
    <w:p>
      <w:pPr>
        <w:ind w:left="624" w:hanging="467"/>
        <w:spacing w:after="0"/>
        <w:tabs>
          <w:tab w:leader="none" w:pos="6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400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400675"/>
                    </a:xfrm>
                    <a:prstGeom prst="rect">
                      <a:avLst/>
                    </a:prstGeom>
                    <a:noFill/>
                  </pic:spPr>
                </pic:pic>
              </a:graphicData>
            </a:graphic>
          </wp:anchor>
        </w:drawing>
      </w:r>
    </w:p>
    <w:p>
      <w:pPr>
        <w:spacing w:after="0" w:line="229" w:lineRule="exact"/>
        <w:rPr>
          <w:sz w:val="20"/>
          <w:szCs w:val="20"/>
          <w:color w:val="auto"/>
        </w:rPr>
      </w:pPr>
    </w:p>
    <w:p>
      <w:pPr>
        <w:ind w:left="624"/>
        <w:spacing w:after="0"/>
        <w:rPr>
          <w:sz w:val="20"/>
          <w:szCs w:val="20"/>
          <w:color w:val="auto"/>
        </w:rPr>
      </w:pPr>
      <w:r>
        <w:rPr>
          <w:rFonts w:ascii="Arial" w:cs="Arial" w:eastAsia="Arial" w:hAnsi="Arial"/>
          <w:sz w:val="22"/>
          <w:szCs w:val="22"/>
          <w:color w:val="auto"/>
        </w:rPr>
        <w:t>Chart Westcott</w:t>
      </w:r>
    </w:p>
    <w:p>
      <w:pPr>
        <w:spacing w:after="0" w:line="21" w:lineRule="exact"/>
        <w:rPr>
          <w:sz w:val="20"/>
          <w:szCs w:val="20"/>
          <w:color w:val="auto"/>
        </w:rPr>
      </w:pPr>
    </w:p>
    <w:p>
      <w:pPr>
        <w:ind w:left="624" w:hanging="467"/>
        <w:spacing w:after="0"/>
        <w:tabs>
          <w:tab w:leader="none" w:pos="62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1"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467"/>
        <w:spacing w:after="0"/>
        <w:tabs>
          <w:tab w:leader="none" w:pos="62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624" w:hanging="467"/>
        <w:spacing w:after="0"/>
        <w:tabs>
          <w:tab w:leader="none" w:pos="6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624"/>
        <w:spacing w:after="0"/>
        <w:rPr>
          <w:sz w:val="20"/>
          <w:szCs w:val="20"/>
          <w:color w:val="auto"/>
        </w:rPr>
      </w:pPr>
      <w:r>
        <w:rPr>
          <w:rFonts w:ascii="Arial" w:cs="Arial" w:eastAsia="Arial" w:hAnsi="Arial"/>
          <w:sz w:val="22"/>
          <w:szCs w:val="22"/>
          <w:color w:val="auto"/>
        </w:rPr>
        <w:t>United States</w:t>
      </w:r>
    </w:p>
    <w:p>
      <w:pPr>
        <w:spacing w:after="0" w:line="21" w:lineRule="exact"/>
        <w:rPr>
          <w:sz w:val="20"/>
          <w:szCs w:val="20"/>
          <w:color w:val="auto"/>
        </w:rPr>
      </w:pPr>
    </w:p>
    <w:tbl>
      <w:tblPr>
        <w:tblLayout w:type="fixed"/>
        <w:tblInd w:w="1524" w:type="dxa"/>
        <w:tblCellMar>
          <w:top w:w="0" w:type="dxa"/>
          <w:left w:w="0" w:type="dxa"/>
          <w:bottom w:w="0" w:type="dxa"/>
          <w:right w:w="0" w:type="dxa"/>
        </w:tblCellMar>
      </w:tblPr>
      <w:tr>
        <w:trPr>
          <w:trHeight w:val="234"/>
        </w:trPr>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1580" w:type="dxa"/>
            <w:vAlign w:val="bottom"/>
          </w:tcPr>
          <w:p>
            <w:pPr>
              <w:ind w:left="180"/>
              <w:spacing w:after="0"/>
              <w:rPr>
                <w:sz w:val="20"/>
                <w:szCs w:val="20"/>
                <w:color w:val="auto"/>
              </w:rPr>
            </w:pPr>
            <w:r>
              <w:rPr>
                <w:rFonts w:ascii="Arial" w:cs="Arial" w:eastAsia="Arial" w:hAnsi="Arial"/>
                <w:sz w:val="18"/>
                <w:szCs w:val="18"/>
                <w:b w:val="1"/>
                <w:bCs w:val="1"/>
                <w:color w:val="auto"/>
                <w:w w:val="87"/>
              </w:rPr>
              <w:t>Sole Voting Power</w:t>
            </w:r>
          </w:p>
        </w:tc>
      </w:tr>
    </w:tbl>
    <w:p>
      <w:pPr>
        <w:spacing w:after="0" w:line="220" w:lineRule="exact"/>
        <w:rPr>
          <w:sz w:val="20"/>
          <w:szCs w:val="20"/>
          <w:color w:val="auto"/>
        </w:rPr>
      </w:pPr>
    </w:p>
    <w:tbl>
      <w:tblPr>
        <w:tblLayout w:type="fixed"/>
        <w:tblInd w:w="324" w:type="dxa"/>
        <w:tblCellMar>
          <w:top w:w="0" w:type="dxa"/>
          <w:left w:w="0" w:type="dxa"/>
          <w:bottom w:w="0" w:type="dxa"/>
          <w:right w:w="0" w:type="dxa"/>
        </w:tblCellMar>
      </w:tblPr>
      <w:tr>
        <w:trPr>
          <w:trHeight w:val="276"/>
        </w:trPr>
        <w:tc>
          <w:tcPr>
            <w:tcW w:w="10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3"/>
              </w:rPr>
              <w:t>Number of</w:t>
            </w:r>
          </w:p>
        </w:tc>
        <w:tc>
          <w:tcPr>
            <w:tcW w:w="3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1080" w:type="dxa"/>
            <w:vAlign w:val="bottom"/>
            <w:vMerge w:val="continue"/>
          </w:tcPr>
          <w:p>
            <w:pPr>
              <w:spacing w:after="0"/>
              <w:rPr>
                <w:sz w:val="3"/>
                <w:szCs w:val="3"/>
                <w:color w:val="auto"/>
              </w:rPr>
            </w:pPr>
          </w:p>
        </w:tc>
        <w:tc>
          <w:tcPr>
            <w:tcW w:w="3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w:t>
            </w:r>
          </w:p>
        </w:tc>
        <w:tc>
          <w:tcPr>
            <w:tcW w:w="91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0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6"/>
              </w:rPr>
              <w:t>Shares</w:t>
            </w:r>
          </w:p>
        </w:tc>
        <w:tc>
          <w:tcPr>
            <w:tcW w:w="380" w:type="dxa"/>
            <w:vAlign w:val="bottom"/>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08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9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Beneficially</w:t>
            </w:r>
          </w:p>
        </w:tc>
        <w:tc>
          <w:tcPr>
            <w:tcW w:w="380" w:type="dxa"/>
            <w:vAlign w:val="bottom"/>
          </w:tcPr>
          <w:p>
            <w:pPr>
              <w:spacing w:after="0"/>
              <w:rPr>
                <w:sz w:val="18"/>
                <w:szCs w:val="18"/>
                <w:color w:val="auto"/>
              </w:rPr>
            </w:pPr>
          </w:p>
        </w:tc>
        <w:tc>
          <w:tcPr>
            <w:tcW w:w="9120" w:type="dxa"/>
            <w:vAlign w:val="bottom"/>
            <w:vMerge w:val="restart"/>
          </w:tcPr>
          <w:p>
            <w:pPr>
              <w:ind w:left="180"/>
              <w:spacing w:after="0"/>
              <w:rPr>
                <w:sz w:val="20"/>
                <w:szCs w:val="20"/>
                <w:color w:val="auto"/>
              </w:rPr>
            </w:pPr>
            <w:r>
              <w:rPr>
                <w:rFonts w:ascii="Arial" w:cs="Arial" w:eastAsia="Arial" w:hAnsi="Arial"/>
                <w:sz w:val="22"/>
                <w:szCs w:val="22"/>
                <w:color w:val="auto"/>
              </w:rPr>
              <w:t>58,803 (1)</w:t>
            </w:r>
          </w:p>
        </w:tc>
        <w:tc>
          <w:tcPr>
            <w:tcW w:w="0" w:type="dxa"/>
            <w:vAlign w:val="bottom"/>
          </w:tcPr>
          <w:p>
            <w:pPr>
              <w:spacing w:after="0"/>
              <w:rPr>
                <w:sz w:val="1"/>
                <w:szCs w:val="1"/>
                <w:color w:val="auto"/>
              </w:rPr>
            </w:pPr>
          </w:p>
        </w:tc>
      </w:tr>
      <w:tr>
        <w:trPr>
          <w:trHeight w:val="234"/>
        </w:trPr>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Owned by</w:t>
            </w:r>
          </w:p>
        </w:tc>
        <w:tc>
          <w:tcPr>
            <w:tcW w:w="38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8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w w:val="92"/>
              </w:rPr>
              <w:t>Each</w:t>
            </w:r>
          </w:p>
        </w:tc>
        <w:tc>
          <w:tcPr>
            <w:tcW w:w="38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rPr>
              <w:t>7</w:t>
            </w:r>
          </w:p>
        </w:tc>
        <w:tc>
          <w:tcPr>
            <w:tcW w:w="9120" w:type="dxa"/>
            <w:vAlign w:val="bottom"/>
          </w:tcPr>
          <w:p>
            <w:pPr>
              <w:ind w:left="18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Reporting</w:t>
            </w:r>
          </w:p>
        </w:tc>
        <w:tc>
          <w:tcPr>
            <w:tcW w:w="3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Person</w:t>
            </w:r>
          </w:p>
        </w:tc>
        <w:tc>
          <w:tcPr>
            <w:tcW w:w="380" w:type="dxa"/>
            <w:vAlign w:val="bottom"/>
          </w:tcPr>
          <w:p>
            <w:pPr>
              <w:spacing w:after="0"/>
              <w:rPr>
                <w:sz w:val="20"/>
                <w:szCs w:val="20"/>
                <w:color w:val="auto"/>
              </w:rPr>
            </w:pPr>
          </w:p>
        </w:tc>
        <w:tc>
          <w:tcPr>
            <w:tcW w:w="9120" w:type="dxa"/>
            <w:vAlign w:val="bottom"/>
          </w:tcPr>
          <w:p>
            <w:pPr>
              <w:ind w:left="18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0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7"/>
              </w:rPr>
              <w:t>With:</w:t>
            </w:r>
          </w:p>
        </w:tc>
        <w:tc>
          <w:tcPr>
            <w:tcW w:w="380" w:type="dxa"/>
            <w:vAlign w:val="bottom"/>
            <w:tcBorders>
              <w:bottom w:val="single" w:sz="8" w:color="auto"/>
            </w:tcBorders>
          </w:tcPr>
          <w:p>
            <w:pPr>
              <w:spacing w:after="0"/>
              <w:rPr>
                <w:sz w:val="6"/>
                <w:szCs w:val="6"/>
                <w:color w:val="auto"/>
              </w:rPr>
            </w:pPr>
          </w:p>
        </w:tc>
        <w:tc>
          <w:tcPr>
            <w:tcW w:w="9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080" w:type="dxa"/>
            <w:vAlign w:val="bottom"/>
            <w:vMerge w:val="continue"/>
          </w:tcPr>
          <w:p>
            <w:pPr>
              <w:spacing w:after="0"/>
              <w:rPr>
                <w:sz w:val="11"/>
                <w:szCs w:val="11"/>
                <w:color w:val="auto"/>
              </w:rPr>
            </w:pPr>
          </w:p>
        </w:tc>
        <w:tc>
          <w:tcPr>
            <w:tcW w:w="3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8</w:t>
            </w:r>
          </w:p>
        </w:tc>
        <w:tc>
          <w:tcPr>
            <w:tcW w:w="91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93"/>
        </w:trPr>
        <w:tc>
          <w:tcPr>
            <w:tcW w:w="10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9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4"/>
        <w:spacing w:after="0"/>
        <w:rPr>
          <w:sz w:val="20"/>
          <w:szCs w:val="20"/>
          <w:color w:val="auto"/>
        </w:rPr>
      </w:pPr>
      <w:r>
        <w:rPr>
          <w:rFonts w:ascii="Arial" w:cs="Arial" w:eastAsia="Arial" w:hAnsi="Arial"/>
          <w:sz w:val="22"/>
          <w:szCs w:val="22"/>
          <w:color w:val="auto"/>
        </w:rPr>
        <w:t>58,803 (1)</w:t>
      </w:r>
    </w:p>
    <w:p>
      <w:pPr>
        <w:spacing w:after="0" w:line="21" w:lineRule="exact"/>
        <w:rPr>
          <w:sz w:val="20"/>
          <w:szCs w:val="20"/>
          <w:color w:val="auto"/>
        </w:rPr>
      </w:pPr>
    </w:p>
    <w:p>
      <w:pPr>
        <w:ind w:left="624" w:hanging="467"/>
        <w:spacing w:after="0"/>
        <w:tabs>
          <w:tab w:leader="none" w:pos="62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624"/>
        <w:spacing w:after="0"/>
        <w:rPr>
          <w:sz w:val="20"/>
          <w:szCs w:val="20"/>
          <w:color w:val="auto"/>
        </w:rPr>
      </w:pPr>
      <w:r>
        <w:rPr>
          <w:rFonts w:ascii="Arial" w:cs="Arial" w:eastAsia="Arial" w:hAnsi="Arial"/>
          <w:sz w:val="22"/>
          <w:szCs w:val="22"/>
          <w:color w:val="auto"/>
        </w:rPr>
        <w:t>58,803 (1)</w:t>
      </w:r>
    </w:p>
    <w:p>
      <w:pPr>
        <w:spacing w:after="0" w:line="21" w:lineRule="exact"/>
        <w:rPr>
          <w:sz w:val="20"/>
          <w:szCs w:val="20"/>
          <w:color w:val="auto"/>
        </w:rPr>
      </w:pPr>
    </w:p>
    <w:p>
      <w:pPr>
        <w:ind w:left="164"/>
        <w:spacing w:after="0"/>
        <w:tabs>
          <w:tab w:leader="none" w:pos="604" w:val="left"/>
        </w:tabs>
        <w:rPr>
          <w:sz w:val="20"/>
          <w:szCs w:val="20"/>
          <w:color w:val="auto"/>
        </w:rPr>
      </w:pPr>
      <w:r>
        <w:rPr>
          <w:rFonts w:ascii="Arial" w:cs="Arial" w:eastAsia="Arial" w:hAnsi="Arial"/>
          <w:sz w:val="18"/>
          <w:szCs w:val="18"/>
          <w:b w:val="1"/>
          <w:bCs w:val="1"/>
          <w:color w:val="auto"/>
        </w:rPr>
        <w:t>10</w:t>
        <w:tab/>
        <w:t>Check box if the aggregate amount in row (9) excludes certain shares (See Instructions)</w:t>
      </w:r>
    </w:p>
    <w:p>
      <w:pPr>
        <w:spacing w:after="0" w:line="221" w:lineRule="exact"/>
        <w:rPr>
          <w:sz w:val="20"/>
          <w:szCs w:val="20"/>
          <w:color w:val="auto"/>
        </w:rPr>
      </w:pPr>
    </w:p>
    <w:p>
      <w:pPr>
        <w:ind w:left="62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4"/>
        <w:spacing w:after="0"/>
        <w:tabs>
          <w:tab w:leader="none" w:pos="60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624"/>
        <w:spacing w:after="0"/>
        <w:rPr>
          <w:sz w:val="20"/>
          <w:szCs w:val="20"/>
          <w:color w:val="auto"/>
        </w:rPr>
      </w:pPr>
      <w:r>
        <w:rPr>
          <w:rFonts w:ascii="Arial" w:cs="Arial" w:eastAsia="Arial" w:hAnsi="Arial"/>
          <w:sz w:val="22"/>
          <w:szCs w:val="22"/>
          <w:color w:val="auto"/>
        </w:rPr>
        <w:t>0.9% (1)(2)</w:t>
      </w:r>
    </w:p>
    <w:p>
      <w:pPr>
        <w:spacing w:after="0" w:line="21" w:lineRule="exact"/>
        <w:rPr>
          <w:sz w:val="20"/>
          <w:szCs w:val="20"/>
          <w:color w:val="auto"/>
        </w:rPr>
      </w:pPr>
    </w:p>
    <w:p>
      <w:pPr>
        <w:ind w:left="164"/>
        <w:spacing w:after="0"/>
        <w:tabs>
          <w:tab w:leader="none" w:pos="604" w:val="left"/>
        </w:tabs>
        <w:rPr>
          <w:sz w:val="20"/>
          <w:szCs w:val="20"/>
          <w:color w:val="auto"/>
        </w:rPr>
      </w:pPr>
      <w:r>
        <w:rPr>
          <w:rFonts w:ascii="Arial" w:cs="Arial" w:eastAsia="Arial" w:hAnsi="Arial"/>
          <w:sz w:val="18"/>
          <w:szCs w:val="18"/>
          <w:b w:val="1"/>
          <w:bCs w:val="1"/>
          <w:color w:val="auto"/>
        </w:rPr>
        <w:t>12</w:t>
        <w:tab/>
        <w:t>Type of Reporting Person (See Instructions)</w:t>
      </w:r>
    </w:p>
    <w:p>
      <w:pPr>
        <w:spacing w:after="0" w:line="248" w:lineRule="exact"/>
        <w:rPr>
          <w:sz w:val="20"/>
          <w:szCs w:val="20"/>
          <w:color w:val="auto"/>
        </w:rPr>
      </w:pPr>
    </w:p>
    <w:p>
      <w:pPr>
        <w:ind w:left="624"/>
        <w:spacing w:after="0"/>
        <w:rPr>
          <w:sz w:val="20"/>
          <w:szCs w:val="20"/>
          <w:color w:val="auto"/>
        </w:rPr>
      </w:pPr>
      <w:r>
        <w:rPr>
          <w:rFonts w:ascii="Arial" w:cs="Arial" w:eastAsia="Arial" w:hAnsi="Arial"/>
          <w:sz w:val="22"/>
          <w:szCs w:val="22"/>
          <w:color w:val="auto"/>
        </w:rPr>
        <w:t>IN; HC</w:t>
      </w:r>
    </w:p>
    <w:p>
      <w:pPr>
        <w:spacing w:after="0" w:line="267" w:lineRule="exact"/>
        <w:rPr>
          <w:sz w:val="20"/>
          <w:szCs w:val="20"/>
          <w:color w:val="auto"/>
        </w:rPr>
      </w:pPr>
    </w:p>
    <w:p>
      <w:pPr>
        <w:ind w:left="424" w:right="20" w:hanging="424"/>
        <w:spacing w:after="0" w:line="258" w:lineRule="auto"/>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Represents shares held by Ikarian Healthcare Master Fund, L.P., a Cayman Islands exempted limited partnership, and certain separately managed accounts. See Item 2 for more information.</w:t>
      </w:r>
    </w:p>
    <w:p>
      <w:pPr>
        <w:spacing w:after="0" w:line="1" w:lineRule="exact"/>
        <w:rPr>
          <w:rFonts w:ascii="Arial" w:cs="Arial" w:eastAsia="Arial" w:hAnsi="Arial"/>
          <w:sz w:val="18"/>
          <w:szCs w:val="18"/>
          <w:b w:val="1"/>
          <w:bCs w:val="1"/>
          <w:color w:val="auto"/>
        </w:rPr>
      </w:pPr>
    </w:p>
    <w:p>
      <w:pPr>
        <w:ind w:left="424" w:right="120" w:hanging="424"/>
        <w:spacing w:after="0" w:line="255" w:lineRule="auto"/>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Based upon 6,910,324 shares of Common Stock, $0.001 par value, outstanding as of November 8, 2021, as disclosed in the Issuer’s quarterly report on Form 10-Q for the fiscal quarter ended September 30, 2021, filed by the Issuer with the U.S. Securities and Exchange Commission on November 10, 2021.</w:t>
      </w:r>
    </w:p>
    <w:p>
      <w:pPr>
        <w:sectPr>
          <w:pgSz w:w="11900" w:h="16838" w:orient="portrait"/>
          <w:cols w:equalWidth="0" w:num="1">
            <w:col w:w="10904"/>
          </w:cols>
          <w:pgMar w:left="436" w:top="270" w:right="559" w:bottom="1440" w:gutter="0" w:footer="0" w:header="0"/>
        </w:sectPr>
      </w:pPr>
    </w:p>
    <w:bookmarkStart w:id="3" w:name="page4"/>
    <w:bookmarkEnd w:id="3"/>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CUSIP No. 60040X103</w:t>
      </w:r>
    </w:p>
    <w:p>
      <w:pPr>
        <w:spacing w:after="0" w:line="144" w:lineRule="exact"/>
        <w:rPr>
          <w:sz w:val="20"/>
          <w:szCs w:val="20"/>
          <w:color w:val="auto"/>
        </w:rPr>
      </w:pPr>
    </w:p>
    <w:p>
      <w:pPr>
        <w:ind w:left="624" w:hanging="467"/>
        <w:spacing w:after="0"/>
        <w:tabs>
          <w:tab w:leader="none" w:pos="6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400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400675"/>
                    </a:xfrm>
                    <a:prstGeom prst="rect">
                      <a:avLst/>
                    </a:prstGeom>
                    <a:noFill/>
                  </pic:spPr>
                </pic:pic>
              </a:graphicData>
            </a:graphic>
          </wp:anchor>
        </w:drawing>
      </w:r>
    </w:p>
    <w:p>
      <w:pPr>
        <w:spacing w:after="0" w:line="229" w:lineRule="exact"/>
        <w:rPr>
          <w:sz w:val="20"/>
          <w:szCs w:val="20"/>
          <w:color w:val="auto"/>
        </w:rPr>
      </w:pPr>
    </w:p>
    <w:p>
      <w:pPr>
        <w:ind w:left="624"/>
        <w:spacing w:after="0"/>
        <w:rPr>
          <w:sz w:val="20"/>
          <w:szCs w:val="20"/>
          <w:color w:val="auto"/>
        </w:rPr>
      </w:pPr>
      <w:r>
        <w:rPr>
          <w:rFonts w:ascii="Arial" w:cs="Arial" w:eastAsia="Arial" w:hAnsi="Arial"/>
          <w:sz w:val="22"/>
          <w:szCs w:val="22"/>
          <w:color w:val="auto"/>
        </w:rPr>
        <w:t>Neil Shahrestani</w:t>
      </w:r>
    </w:p>
    <w:p>
      <w:pPr>
        <w:spacing w:after="0" w:line="21" w:lineRule="exact"/>
        <w:rPr>
          <w:sz w:val="20"/>
          <w:szCs w:val="20"/>
          <w:color w:val="auto"/>
        </w:rPr>
      </w:pPr>
    </w:p>
    <w:p>
      <w:pPr>
        <w:ind w:left="624" w:hanging="467"/>
        <w:spacing w:after="0"/>
        <w:tabs>
          <w:tab w:leader="none" w:pos="6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1"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467"/>
        <w:spacing w:after="0"/>
        <w:tabs>
          <w:tab w:leader="none" w:pos="6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624" w:hanging="467"/>
        <w:spacing w:after="0"/>
        <w:tabs>
          <w:tab w:leader="none" w:pos="6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624"/>
        <w:spacing w:after="0"/>
        <w:rPr>
          <w:sz w:val="20"/>
          <w:szCs w:val="20"/>
          <w:color w:val="auto"/>
        </w:rPr>
      </w:pPr>
      <w:r>
        <w:rPr>
          <w:rFonts w:ascii="Arial" w:cs="Arial" w:eastAsia="Arial" w:hAnsi="Arial"/>
          <w:sz w:val="22"/>
          <w:szCs w:val="22"/>
          <w:color w:val="auto"/>
        </w:rPr>
        <w:t>United States</w:t>
      </w:r>
    </w:p>
    <w:p>
      <w:pPr>
        <w:spacing w:after="0" w:line="21" w:lineRule="exact"/>
        <w:rPr>
          <w:sz w:val="20"/>
          <w:szCs w:val="20"/>
          <w:color w:val="auto"/>
        </w:rPr>
      </w:pPr>
    </w:p>
    <w:tbl>
      <w:tblPr>
        <w:tblLayout w:type="fixed"/>
        <w:tblInd w:w="1524" w:type="dxa"/>
        <w:tblCellMar>
          <w:top w:w="0" w:type="dxa"/>
          <w:left w:w="0" w:type="dxa"/>
          <w:bottom w:w="0" w:type="dxa"/>
          <w:right w:w="0" w:type="dxa"/>
        </w:tblCellMar>
      </w:tblPr>
      <w:tr>
        <w:trPr>
          <w:trHeight w:val="234"/>
        </w:trPr>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1580" w:type="dxa"/>
            <w:vAlign w:val="bottom"/>
          </w:tcPr>
          <w:p>
            <w:pPr>
              <w:ind w:left="180"/>
              <w:spacing w:after="0"/>
              <w:rPr>
                <w:sz w:val="20"/>
                <w:szCs w:val="20"/>
                <w:color w:val="auto"/>
              </w:rPr>
            </w:pPr>
            <w:r>
              <w:rPr>
                <w:rFonts w:ascii="Arial" w:cs="Arial" w:eastAsia="Arial" w:hAnsi="Arial"/>
                <w:sz w:val="18"/>
                <w:szCs w:val="18"/>
                <w:b w:val="1"/>
                <w:bCs w:val="1"/>
                <w:color w:val="auto"/>
                <w:w w:val="87"/>
              </w:rPr>
              <w:t>Sole Voting Power</w:t>
            </w:r>
          </w:p>
        </w:tc>
      </w:tr>
    </w:tbl>
    <w:p>
      <w:pPr>
        <w:spacing w:after="0" w:line="220" w:lineRule="exact"/>
        <w:rPr>
          <w:sz w:val="20"/>
          <w:szCs w:val="20"/>
          <w:color w:val="auto"/>
        </w:rPr>
      </w:pPr>
    </w:p>
    <w:tbl>
      <w:tblPr>
        <w:tblLayout w:type="fixed"/>
        <w:tblInd w:w="324" w:type="dxa"/>
        <w:tblCellMar>
          <w:top w:w="0" w:type="dxa"/>
          <w:left w:w="0" w:type="dxa"/>
          <w:bottom w:w="0" w:type="dxa"/>
          <w:right w:w="0" w:type="dxa"/>
        </w:tblCellMar>
      </w:tblPr>
      <w:tr>
        <w:trPr>
          <w:trHeight w:val="276"/>
        </w:trPr>
        <w:tc>
          <w:tcPr>
            <w:tcW w:w="10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3"/>
              </w:rPr>
              <w:t>Number of</w:t>
            </w:r>
          </w:p>
        </w:tc>
        <w:tc>
          <w:tcPr>
            <w:tcW w:w="3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1080" w:type="dxa"/>
            <w:vAlign w:val="bottom"/>
            <w:vMerge w:val="continue"/>
          </w:tcPr>
          <w:p>
            <w:pPr>
              <w:spacing w:after="0"/>
              <w:rPr>
                <w:sz w:val="3"/>
                <w:szCs w:val="3"/>
                <w:color w:val="auto"/>
              </w:rPr>
            </w:pPr>
          </w:p>
        </w:tc>
        <w:tc>
          <w:tcPr>
            <w:tcW w:w="3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w:t>
            </w:r>
          </w:p>
        </w:tc>
        <w:tc>
          <w:tcPr>
            <w:tcW w:w="91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0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6"/>
              </w:rPr>
              <w:t>Shares</w:t>
            </w:r>
          </w:p>
        </w:tc>
        <w:tc>
          <w:tcPr>
            <w:tcW w:w="380" w:type="dxa"/>
            <w:vAlign w:val="bottom"/>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08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9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Beneficially</w:t>
            </w:r>
          </w:p>
        </w:tc>
        <w:tc>
          <w:tcPr>
            <w:tcW w:w="380" w:type="dxa"/>
            <w:vAlign w:val="bottom"/>
          </w:tcPr>
          <w:p>
            <w:pPr>
              <w:spacing w:after="0"/>
              <w:rPr>
                <w:sz w:val="18"/>
                <w:szCs w:val="18"/>
                <w:color w:val="auto"/>
              </w:rPr>
            </w:pPr>
          </w:p>
        </w:tc>
        <w:tc>
          <w:tcPr>
            <w:tcW w:w="9120" w:type="dxa"/>
            <w:vAlign w:val="bottom"/>
            <w:vMerge w:val="restart"/>
          </w:tcPr>
          <w:p>
            <w:pPr>
              <w:ind w:left="180"/>
              <w:spacing w:after="0"/>
              <w:rPr>
                <w:sz w:val="20"/>
                <w:szCs w:val="20"/>
                <w:color w:val="auto"/>
              </w:rPr>
            </w:pPr>
            <w:r>
              <w:rPr>
                <w:rFonts w:ascii="Arial" w:cs="Arial" w:eastAsia="Arial" w:hAnsi="Arial"/>
                <w:sz w:val="22"/>
                <w:szCs w:val="22"/>
                <w:color w:val="auto"/>
              </w:rPr>
              <w:t>58,803 (1)</w:t>
            </w:r>
          </w:p>
        </w:tc>
        <w:tc>
          <w:tcPr>
            <w:tcW w:w="0" w:type="dxa"/>
            <w:vAlign w:val="bottom"/>
          </w:tcPr>
          <w:p>
            <w:pPr>
              <w:spacing w:after="0"/>
              <w:rPr>
                <w:sz w:val="1"/>
                <w:szCs w:val="1"/>
                <w:color w:val="auto"/>
              </w:rPr>
            </w:pPr>
          </w:p>
        </w:tc>
      </w:tr>
      <w:tr>
        <w:trPr>
          <w:trHeight w:val="234"/>
        </w:trPr>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Owned by</w:t>
            </w:r>
          </w:p>
        </w:tc>
        <w:tc>
          <w:tcPr>
            <w:tcW w:w="38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8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w w:val="92"/>
              </w:rPr>
              <w:t>Each</w:t>
            </w:r>
          </w:p>
        </w:tc>
        <w:tc>
          <w:tcPr>
            <w:tcW w:w="38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rPr>
              <w:t>7</w:t>
            </w:r>
          </w:p>
        </w:tc>
        <w:tc>
          <w:tcPr>
            <w:tcW w:w="9120" w:type="dxa"/>
            <w:vAlign w:val="bottom"/>
          </w:tcPr>
          <w:p>
            <w:pPr>
              <w:ind w:left="18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Reporting</w:t>
            </w:r>
          </w:p>
        </w:tc>
        <w:tc>
          <w:tcPr>
            <w:tcW w:w="3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Person</w:t>
            </w:r>
          </w:p>
        </w:tc>
        <w:tc>
          <w:tcPr>
            <w:tcW w:w="380" w:type="dxa"/>
            <w:vAlign w:val="bottom"/>
          </w:tcPr>
          <w:p>
            <w:pPr>
              <w:spacing w:after="0"/>
              <w:rPr>
                <w:sz w:val="20"/>
                <w:szCs w:val="20"/>
                <w:color w:val="auto"/>
              </w:rPr>
            </w:pPr>
          </w:p>
        </w:tc>
        <w:tc>
          <w:tcPr>
            <w:tcW w:w="9120" w:type="dxa"/>
            <w:vAlign w:val="bottom"/>
          </w:tcPr>
          <w:p>
            <w:pPr>
              <w:ind w:left="18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0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7"/>
              </w:rPr>
              <w:t>With:</w:t>
            </w:r>
          </w:p>
        </w:tc>
        <w:tc>
          <w:tcPr>
            <w:tcW w:w="380" w:type="dxa"/>
            <w:vAlign w:val="bottom"/>
            <w:tcBorders>
              <w:bottom w:val="single" w:sz="8" w:color="auto"/>
            </w:tcBorders>
          </w:tcPr>
          <w:p>
            <w:pPr>
              <w:spacing w:after="0"/>
              <w:rPr>
                <w:sz w:val="6"/>
                <w:szCs w:val="6"/>
                <w:color w:val="auto"/>
              </w:rPr>
            </w:pPr>
          </w:p>
        </w:tc>
        <w:tc>
          <w:tcPr>
            <w:tcW w:w="9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080" w:type="dxa"/>
            <w:vAlign w:val="bottom"/>
            <w:vMerge w:val="continue"/>
          </w:tcPr>
          <w:p>
            <w:pPr>
              <w:spacing w:after="0"/>
              <w:rPr>
                <w:sz w:val="11"/>
                <w:szCs w:val="11"/>
                <w:color w:val="auto"/>
              </w:rPr>
            </w:pPr>
          </w:p>
        </w:tc>
        <w:tc>
          <w:tcPr>
            <w:tcW w:w="3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8</w:t>
            </w:r>
          </w:p>
        </w:tc>
        <w:tc>
          <w:tcPr>
            <w:tcW w:w="91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93"/>
        </w:trPr>
        <w:tc>
          <w:tcPr>
            <w:tcW w:w="10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9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64"/>
        <w:spacing w:after="0"/>
        <w:rPr>
          <w:sz w:val="20"/>
          <w:szCs w:val="20"/>
          <w:color w:val="auto"/>
        </w:rPr>
      </w:pPr>
      <w:r>
        <w:rPr>
          <w:rFonts w:ascii="Arial" w:cs="Arial" w:eastAsia="Arial" w:hAnsi="Arial"/>
          <w:sz w:val="22"/>
          <w:szCs w:val="22"/>
          <w:color w:val="auto"/>
        </w:rPr>
        <w:t>58,803 (1)</w:t>
      </w:r>
    </w:p>
    <w:p>
      <w:pPr>
        <w:spacing w:after="0" w:line="21" w:lineRule="exact"/>
        <w:rPr>
          <w:sz w:val="20"/>
          <w:szCs w:val="20"/>
          <w:color w:val="auto"/>
        </w:rPr>
      </w:pPr>
    </w:p>
    <w:p>
      <w:pPr>
        <w:ind w:left="624" w:hanging="467"/>
        <w:spacing w:after="0"/>
        <w:tabs>
          <w:tab w:leader="none" w:pos="6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624"/>
        <w:spacing w:after="0"/>
        <w:rPr>
          <w:sz w:val="20"/>
          <w:szCs w:val="20"/>
          <w:color w:val="auto"/>
        </w:rPr>
      </w:pPr>
      <w:r>
        <w:rPr>
          <w:rFonts w:ascii="Arial" w:cs="Arial" w:eastAsia="Arial" w:hAnsi="Arial"/>
          <w:sz w:val="22"/>
          <w:szCs w:val="22"/>
          <w:color w:val="auto"/>
        </w:rPr>
        <w:t>58,803 (1)</w:t>
      </w:r>
    </w:p>
    <w:p>
      <w:pPr>
        <w:spacing w:after="0" w:line="21" w:lineRule="exact"/>
        <w:rPr>
          <w:sz w:val="20"/>
          <w:szCs w:val="20"/>
          <w:color w:val="auto"/>
        </w:rPr>
      </w:pPr>
    </w:p>
    <w:p>
      <w:pPr>
        <w:ind w:left="164"/>
        <w:spacing w:after="0"/>
        <w:tabs>
          <w:tab w:leader="none" w:pos="604" w:val="left"/>
        </w:tabs>
        <w:rPr>
          <w:sz w:val="20"/>
          <w:szCs w:val="20"/>
          <w:color w:val="auto"/>
        </w:rPr>
      </w:pPr>
      <w:r>
        <w:rPr>
          <w:rFonts w:ascii="Arial" w:cs="Arial" w:eastAsia="Arial" w:hAnsi="Arial"/>
          <w:sz w:val="18"/>
          <w:szCs w:val="18"/>
          <w:b w:val="1"/>
          <w:bCs w:val="1"/>
          <w:color w:val="auto"/>
        </w:rPr>
        <w:t>10</w:t>
        <w:tab/>
        <w:t>Check box if the aggregate amount in row (9) excludes certain shares (See Instructions)</w:t>
      </w:r>
    </w:p>
    <w:p>
      <w:pPr>
        <w:spacing w:after="0" w:line="221" w:lineRule="exact"/>
        <w:rPr>
          <w:sz w:val="20"/>
          <w:szCs w:val="20"/>
          <w:color w:val="auto"/>
        </w:rPr>
      </w:pPr>
    </w:p>
    <w:p>
      <w:pPr>
        <w:ind w:left="62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4"/>
        <w:spacing w:after="0"/>
        <w:tabs>
          <w:tab w:leader="none" w:pos="60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624"/>
        <w:spacing w:after="0"/>
        <w:rPr>
          <w:sz w:val="20"/>
          <w:szCs w:val="20"/>
          <w:color w:val="auto"/>
        </w:rPr>
      </w:pPr>
      <w:r>
        <w:rPr>
          <w:rFonts w:ascii="Arial" w:cs="Arial" w:eastAsia="Arial" w:hAnsi="Arial"/>
          <w:sz w:val="22"/>
          <w:szCs w:val="22"/>
          <w:color w:val="auto"/>
        </w:rPr>
        <w:t>0.9% (1)(2)</w:t>
      </w:r>
    </w:p>
    <w:p>
      <w:pPr>
        <w:spacing w:after="0" w:line="21" w:lineRule="exact"/>
        <w:rPr>
          <w:sz w:val="20"/>
          <w:szCs w:val="20"/>
          <w:color w:val="auto"/>
        </w:rPr>
      </w:pPr>
    </w:p>
    <w:p>
      <w:pPr>
        <w:ind w:left="164"/>
        <w:spacing w:after="0"/>
        <w:tabs>
          <w:tab w:leader="none" w:pos="604" w:val="left"/>
        </w:tabs>
        <w:rPr>
          <w:sz w:val="20"/>
          <w:szCs w:val="20"/>
          <w:color w:val="auto"/>
        </w:rPr>
      </w:pPr>
      <w:r>
        <w:rPr>
          <w:rFonts w:ascii="Arial" w:cs="Arial" w:eastAsia="Arial" w:hAnsi="Arial"/>
          <w:sz w:val="18"/>
          <w:szCs w:val="18"/>
          <w:b w:val="1"/>
          <w:bCs w:val="1"/>
          <w:color w:val="auto"/>
        </w:rPr>
        <w:t>12</w:t>
        <w:tab/>
        <w:t>Type of Reporting Person (See Instructions)</w:t>
      </w:r>
    </w:p>
    <w:p>
      <w:pPr>
        <w:spacing w:after="0" w:line="248" w:lineRule="exact"/>
        <w:rPr>
          <w:sz w:val="20"/>
          <w:szCs w:val="20"/>
          <w:color w:val="auto"/>
        </w:rPr>
      </w:pPr>
    </w:p>
    <w:p>
      <w:pPr>
        <w:ind w:left="624"/>
        <w:spacing w:after="0"/>
        <w:rPr>
          <w:sz w:val="20"/>
          <w:szCs w:val="20"/>
          <w:color w:val="auto"/>
        </w:rPr>
      </w:pPr>
      <w:r>
        <w:rPr>
          <w:rFonts w:ascii="Arial" w:cs="Arial" w:eastAsia="Arial" w:hAnsi="Arial"/>
          <w:sz w:val="22"/>
          <w:szCs w:val="22"/>
          <w:color w:val="auto"/>
        </w:rPr>
        <w:t>IN; HC</w:t>
      </w:r>
    </w:p>
    <w:p>
      <w:pPr>
        <w:spacing w:after="0" w:line="267" w:lineRule="exact"/>
        <w:rPr>
          <w:sz w:val="20"/>
          <w:szCs w:val="20"/>
          <w:color w:val="auto"/>
        </w:rPr>
      </w:pPr>
    </w:p>
    <w:p>
      <w:pPr>
        <w:ind w:left="424" w:right="20" w:hanging="424"/>
        <w:spacing w:after="0" w:line="258" w:lineRule="auto"/>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Represents shares held by Ikarian Healthcare Master Fund, L.P., a Cayman Islands exempted limited partnership, and certain separately managed accounts. See Item 2 for more information.</w:t>
      </w:r>
    </w:p>
    <w:p>
      <w:pPr>
        <w:spacing w:after="0" w:line="1" w:lineRule="exact"/>
        <w:rPr>
          <w:rFonts w:ascii="Arial" w:cs="Arial" w:eastAsia="Arial" w:hAnsi="Arial"/>
          <w:sz w:val="18"/>
          <w:szCs w:val="18"/>
          <w:b w:val="1"/>
          <w:bCs w:val="1"/>
          <w:color w:val="auto"/>
        </w:rPr>
      </w:pPr>
    </w:p>
    <w:p>
      <w:pPr>
        <w:ind w:left="424" w:right="120" w:hanging="424"/>
        <w:spacing w:after="0" w:line="255" w:lineRule="auto"/>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Based upon 6,910,324 shares of Common Stock, $0.001 par value, outstanding as of November 8, 2021, as disclosed in the Issuer’s quarterly report on Form 10-Q for the fiscal quarter ended September 30, 2021, filed by the Issuer with the U.S. Securities and Exchange Commission on November 10, 2021.</w:t>
      </w:r>
    </w:p>
    <w:p>
      <w:pPr>
        <w:sectPr>
          <w:pgSz w:w="11900" w:h="16838" w:orient="portrait"/>
          <w:cols w:equalWidth="0" w:num="1">
            <w:col w:w="10904"/>
          </w:cols>
          <w:pgMar w:left="436" w:top="270" w:right="5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131" w:lineRule="exact"/>
        <w:rPr>
          <w:sz w:val="20"/>
          <w:szCs w:val="20"/>
          <w:color w:val="auto"/>
        </w:rPr>
      </w:pPr>
    </w:p>
    <w:p>
      <w:pPr>
        <w:ind w:left="964" w:hanging="532"/>
        <w:spacing w:after="0"/>
        <w:tabs>
          <w:tab w:leader="none" w:pos="96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121"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Tempest Therapeutics, Inc.</w:t>
      </w:r>
    </w:p>
    <w:p>
      <w:pPr>
        <w:spacing w:after="0" w:line="369" w:lineRule="exact"/>
        <w:rPr>
          <w:rFonts w:ascii="Arial" w:cs="Arial" w:eastAsia="Arial" w:hAnsi="Arial"/>
          <w:sz w:val="18"/>
          <w:szCs w:val="18"/>
          <w:b w:val="1"/>
          <w:bCs w:val="1"/>
          <w:color w:val="auto"/>
        </w:rPr>
      </w:pPr>
    </w:p>
    <w:p>
      <w:pPr>
        <w:ind w:left="964" w:hanging="532"/>
        <w:spacing w:after="0"/>
        <w:tabs>
          <w:tab w:leader="none" w:pos="96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7000 Shoreline Court, Suite 275, South San Francisco, California 94080</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121" w:lineRule="exact"/>
        <w:rPr>
          <w:rFonts w:ascii="Arial" w:cs="Arial" w:eastAsia="Arial" w:hAnsi="Arial"/>
          <w:sz w:val="18"/>
          <w:szCs w:val="18"/>
          <w:b w:val="1"/>
          <w:bCs w:val="1"/>
          <w:color w:val="auto"/>
        </w:rPr>
      </w:pPr>
    </w:p>
    <w:p>
      <w:pPr>
        <w:ind w:left="444"/>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This statement is filed jointly by and on behalf of each of Ikarian Capital, LLC, a Delaware limited liability company (“</w:t>
      </w:r>
      <w:r>
        <w:rPr>
          <w:rFonts w:ascii="Arial" w:cs="Arial" w:eastAsia="Arial" w:hAnsi="Arial"/>
          <w:sz w:val="16"/>
          <w:szCs w:val="16"/>
          <w:b w:val="1"/>
          <w:bCs w:val="1"/>
          <w:i w:val="1"/>
          <w:iCs w:val="1"/>
          <w:color w:val="auto"/>
        </w:rPr>
        <w:t>Ikarian Capital</w:t>
      </w:r>
      <w:r>
        <w:rPr>
          <w:rFonts w:ascii="Arial" w:cs="Arial" w:eastAsia="Arial" w:hAnsi="Arial"/>
          <w:sz w:val="16"/>
          <w:szCs w:val="16"/>
          <w:color w:val="auto"/>
        </w:rPr>
        <w:t>”), Chart Westcott and Neil Shahrestani (collectively referred herein as the “</w:t>
      </w:r>
      <w:r>
        <w:rPr>
          <w:rFonts w:ascii="Arial" w:cs="Arial" w:eastAsia="Arial" w:hAnsi="Arial"/>
          <w:sz w:val="16"/>
          <w:szCs w:val="16"/>
          <w:b w:val="1"/>
          <w:bCs w:val="1"/>
          <w:i w:val="1"/>
          <w:iCs w:val="1"/>
          <w:color w:val="auto"/>
        </w:rPr>
        <w:t>Reporting Persons</w:t>
      </w:r>
      <w:r>
        <w:rPr>
          <w:rFonts w:ascii="Arial" w:cs="Arial" w:eastAsia="Arial" w:hAnsi="Arial"/>
          <w:sz w:val="16"/>
          <w:szCs w:val="16"/>
          <w:color w:val="auto"/>
        </w:rPr>
        <w:t>”). Ikarian Healthcare Master Fund, L.P., a Cayman Islands exempted limited partnership (the “</w:t>
      </w:r>
      <w:r>
        <w:rPr>
          <w:rFonts w:ascii="Arial" w:cs="Arial" w:eastAsia="Arial" w:hAnsi="Arial"/>
          <w:sz w:val="16"/>
          <w:szCs w:val="16"/>
          <w:b w:val="1"/>
          <w:bCs w:val="1"/>
          <w:i w:val="1"/>
          <w:iCs w:val="1"/>
          <w:color w:val="auto"/>
        </w:rPr>
        <w:t>Fund</w:t>
      </w:r>
      <w:r>
        <w:rPr>
          <w:rFonts w:ascii="Arial" w:cs="Arial" w:eastAsia="Arial" w:hAnsi="Arial"/>
          <w:sz w:val="16"/>
          <w:szCs w:val="16"/>
          <w:color w:val="auto"/>
        </w:rPr>
        <w:t>”), and certain separately managed accounts managed by Ikarian Capital (collectively, the “</w:t>
      </w:r>
      <w:r>
        <w:rPr>
          <w:rFonts w:ascii="Arial" w:cs="Arial" w:eastAsia="Arial" w:hAnsi="Arial"/>
          <w:sz w:val="16"/>
          <w:szCs w:val="16"/>
          <w:b w:val="1"/>
          <w:bCs w:val="1"/>
          <w:i w:val="1"/>
          <w:iCs w:val="1"/>
          <w:color w:val="auto"/>
        </w:rPr>
        <w:t>Managed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Accounts</w:t>
      </w:r>
      <w:r>
        <w:rPr>
          <w:rFonts w:ascii="Arial" w:cs="Arial" w:eastAsia="Arial" w:hAnsi="Arial"/>
          <w:sz w:val="16"/>
          <w:szCs w:val="16"/>
          <w:color w:val="auto"/>
        </w:rPr>
        <w:t>”) are the record owners of the securities covered by this statement. Ikarian Capital is an investment adviser registered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Advisers Act of 1940, as amended, and serves as investment manager to the Fund and as sub-adviser to the Managed Accounts, and may be deemed to have beneficial ownership of the securities covered by this statement through the investment discretion it has over the Fund and the Managed Accounts. Ikarian Capital is ultimately controlled, indirectly, by Mr. Westcott, and Mr. Shahrestani. Accordingly, each of</w:t>
      </w:r>
    </w:p>
    <w:p>
      <w:pPr>
        <w:spacing w:after="0" w:line="2" w:lineRule="exact"/>
        <w:rPr>
          <w:rFonts w:ascii="Arial" w:cs="Arial" w:eastAsia="Arial" w:hAnsi="Arial"/>
          <w:sz w:val="18"/>
          <w:szCs w:val="18"/>
          <w:b w:val="1"/>
          <w:bCs w:val="1"/>
          <w:color w:val="auto"/>
        </w:rPr>
      </w:pPr>
    </w:p>
    <w:p>
      <w:pPr>
        <w:ind w:left="444"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Mr. Westcott and Mr. Shahrestani may be deemed to indirectly beneficially own securities beneficially owned by Ikarian Capital. The Fund disclaims beneficial ownership of the shares held by the Managed Accounts. The Managed Accounts disclaim beneficial ownership of the shares held by the Fund.</w:t>
      </w:r>
    </w:p>
    <w:p>
      <w:pPr>
        <w:spacing w:after="0" w:line="81" w:lineRule="exact"/>
        <w:rPr>
          <w:rFonts w:ascii="Arial" w:cs="Arial" w:eastAsia="Arial" w:hAnsi="Arial"/>
          <w:sz w:val="18"/>
          <w:szCs w:val="18"/>
          <w:b w:val="1"/>
          <w:bCs w:val="1"/>
          <w:color w:val="auto"/>
        </w:rPr>
      </w:pPr>
    </w:p>
    <w:p>
      <w:pPr>
        <w:ind w:left="444"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Each Reporting Person declares that neither the filing of this statement nor anything herein shall be construed as an admission that such person is, for the purposes of Section 13(d) or 13(g) of the Act or any other purpose, the beneficial owner of any securities covered by this statement.</w:t>
      </w:r>
    </w:p>
    <w:p>
      <w:pPr>
        <w:spacing w:after="0" w:line="15" w:lineRule="exact"/>
        <w:rPr>
          <w:rFonts w:ascii="Arial" w:cs="Arial" w:eastAsia="Arial" w:hAnsi="Arial"/>
          <w:sz w:val="18"/>
          <w:szCs w:val="18"/>
          <w:b w:val="1"/>
          <w:bCs w:val="1"/>
          <w:color w:val="auto"/>
        </w:rPr>
      </w:pPr>
    </w:p>
    <w:p>
      <w:pPr>
        <w:ind w:left="444"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Each Reporting Person may be deemed to be a member of a group with respect to the issuer or securities of the issuer for the purpose of Section 13(d) or 13(g) of the Act. Each of the Reporting Persons declares that neither the filing of this statement nor anything herein shall be construed as an admission that such person is, for the purpose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p>
      <w:pPr>
        <w:spacing w:after="0" w:line="336" w:lineRule="exact"/>
        <w:rPr>
          <w:rFonts w:ascii="Arial" w:cs="Arial" w:eastAsia="Arial" w:hAnsi="Arial"/>
          <w:sz w:val="18"/>
          <w:szCs w:val="18"/>
          <w:b w:val="1"/>
          <w:bCs w:val="1"/>
          <w:color w:val="auto"/>
        </w:rPr>
      </w:pPr>
    </w:p>
    <w:p>
      <w:pPr>
        <w:ind w:left="424" w:hanging="424"/>
        <w:spacing w:after="0"/>
        <w:tabs>
          <w:tab w:leader="none" w:pos="42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21" w:lineRule="exact"/>
        <w:rPr>
          <w:rFonts w:ascii="Arial" w:cs="Arial" w:eastAsia="Arial" w:hAnsi="Arial"/>
          <w:sz w:val="18"/>
          <w:szCs w:val="18"/>
          <w:b w:val="1"/>
          <w:bCs w:val="1"/>
          <w:color w:val="auto"/>
        </w:rPr>
      </w:pPr>
    </w:p>
    <w:p>
      <w:pPr>
        <w:ind w:left="4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address of the principal business office of each of the Reporting Persons is c/o Ikarian Capital, LLC, 100 Crescent Court, Suite 1620, Dallas, Texas 75201.</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See Item 4 on the cover page(s) hereto.</w:t>
      </w:r>
    </w:p>
    <w:p>
      <w:pPr>
        <w:sectPr>
          <w:pgSz w:w="11900" w:h="16838" w:orient="portrait"/>
          <w:cols w:equalWidth="0" w:num="1">
            <w:col w:w="10984"/>
          </w:cols>
          <w:pgMar w:left="436" w:top="270" w:right="479" w:bottom="1440" w:gutter="0" w:footer="0" w:header="0"/>
        </w:sectPr>
      </w:pPr>
    </w:p>
    <w:bookmarkStart w:id="5" w:name="page6"/>
    <w:bookmarkEnd w:id="5"/>
    <w:p>
      <w:pPr>
        <w:ind w:left="424" w:hanging="424"/>
        <w:spacing w:after="0"/>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and Class of Securities: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Common Stock, $0.001 par value per share.</w:t>
      </w:r>
    </w:p>
    <w:p>
      <w:pPr>
        <w:spacing w:after="0" w:line="369" w:lineRule="exact"/>
        <w:rPr>
          <w:rFonts w:ascii="Arial" w:cs="Arial" w:eastAsia="Arial" w:hAnsi="Arial"/>
          <w:sz w:val="18"/>
          <w:szCs w:val="18"/>
          <w:b w:val="1"/>
          <w:bCs w:val="1"/>
          <w:color w:val="auto"/>
        </w:rPr>
      </w:pPr>
    </w:p>
    <w:p>
      <w:pPr>
        <w:jc w:val="both"/>
        <w:ind w:left="444" w:right="9460" w:hanging="444"/>
        <w:spacing w:after="0" w:line="445" w:lineRule="auto"/>
        <w:tabs>
          <w:tab w:leader="none" w:pos="436"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60040X103</w:t>
      </w:r>
    </w:p>
    <w:p>
      <w:pPr>
        <w:spacing w:after="0" w:line="18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02" w:lineRule="exact"/>
        <w:rPr>
          <w:sz w:val="20"/>
          <w:szCs w:val="20"/>
          <w:color w:val="auto"/>
        </w:rPr>
      </w:pPr>
    </w:p>
    <w:p>
      <w:pPr>
        <w:ind w:left="1184" w:hanging="739"/>
        <w:spacing w:after="0" w:line="207" w:lineRule="exact"/>
        <w:tabs>
          <w:tab w:leader="none" w:pos="1184"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w:t>
      </w:r>
    </w:p>
    <w:p>
      <w:pPr>
        <w:spacing w:after="0" w:line="117" w:lineRule="exact"/>
        <w:rPr>
          <w:rFonts w:ascii="Arial" w:cs="Arial" w:eastAsia="Arial" w:hAnsi="Arial"/>
          <w:sz w:val="18"/>
          <w:szCs w:val="18"/>
          <w:color w:val="auto"/>
        </w:rPr>
      </w:pPr>
    </w:p>
    <w:p>
      <w:pPr>
        <w:ind w:left="1184" w:hanging="739"/>
        <w:spacing w:after="0" w:line="207" w:lineRule="exact"/>
        <w:tabs>
          <w:tab w:leader="none" w:pos="1184"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w:t>
      </w:r>
    </w:p>
    <w:p>
      <w:pPr>
        <w:spacing w:after="0" w:line="117" w:lineRule="exact"/>
        <w:rPr>
          <w:rFonts w:ascii="Arial" w:cs="Arial" w:eastAsia="Arial" w:hAnsi="Arial"/>
          <w:sz w:val="18"/>
          <w:szCs w:val="18"/>
          <w:color w:val="auto"/>
        </w:rPr>
      </w:pPr>
    </w:p>
    <w:p>
      <w:pPr>
        <w:ind w:left="1184" w:hanging="739"/>
        <w:spacing w:after="0" w:line="207" w:lineRule="exact"/>
        <w:tabs>
          <w:tab w:leader="none" w:pos="1184"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pacing w:after="0" w:line="117" w:lineRule="exact"/>
        <w:rPr>
          <w:rFonts w:ascii="Arial" w:cs="Arial" w:eastAsia="Arial" w:hAnsi="Arial"/>
          <w:sz w:val="18"/>
          <w:szCs w:val="18"/>
          <w:color w:val="auto"/>
        </w:rPr>
      </w:pPr>
    </w:p>
    <w:p>
      <w:pPr>
        <w:ind w:left="1184" w:hanging="739"/>
        <w:spacing w:after="0" w:line="207" w:lineRule="exact"/>
        <w:tabs>
          <w:tab w:leader="none" w:pos="1184"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117" w:lineRule="exact"/>
        <w:rPr>
          <w:rFonts w:ascii="Arial" w:cs="Arial" w:eastAsia="Arial" w:hAnsi="Arial"/>
          <w:sz w:val="18"/>
          <w:szCs w:val="18"/>
          <w:color w:val="auto"/>
        </w:rPr>
      </w:pPr>
    </w:p>
    <w:p>
      <w:pPr>
        <w:ind w:left="1184" w:hanging="739"/>
        <w:spacing w:after="0" w:line="207" w:lineRule="exact"/>
        <w:tabs>
          <w:tab w:leader="none" w:pos="1184"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117" w:lineRule="exact"/>
        <w:rPr>
          <w:rFonts w:ascii="Arial" w:cs="Arial" w:eastAsia="Arial" w:hAnsi="Arial"/>
          <w:sz w:val="18"/>
          <w:szCs w:val="18"/>
          <w:color w:val="auto"/>
        </w:rPr>
      </w:pPr>
    </w:p>
    <w:p>
      <w:pPr>
        <w:ind w:left="1184" w:hanging="739"/>
        <w:spacing w:after="0" w:line="207" w:lineRule="exact"/>
        <w:tabs>
          <w:tab w:leader="none" w:pos="1184"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117" w:lineRule="exact"/>
        <w:rPr>
          <w:rFonts w:ascii="Arial" w:cs="Arial" w:eastAsia="Arial" w:hAnsi="Arial"/>
          <w:sz w:val="18"/>
          <w:szCs w:val="18"/>
          <w:color w:val="auto"/>
        </w:rPr>
      </w:pPr>
    </w:p>
    <w:p>
      <w:pPr>
        <w:ind w:left="1184" w:hanging="739"/>
        <w:spacing w:after="0" w:line="207" w:lineRule="exact"/>
        <w:tabs>
          <w:tab w:leader="none" w:pos="1184"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117" w:lineRule="exact"/>
        <w:rPr>
          <w:rFonts w:ascii="Arial" w:cs="Arial" w:eastAsia="Arial" w:hAnsi="Arial"/>
          <w:sz w:val="18"/>
          <w:szCs w:val="18"/>
          <w:color w:val="auto"/>
        </w:rPr>
      </w:pPr>
    </w:p>
    <w:p>
      <w:pPr>
        <w:ind w:left="1184" w:hanging="739"/>
        <w:spacing w:after="0" w:line="207" w:lineRule="exact"/>
        <w:tabs>
          <w:tab w:leader="none" w:pos="1184"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924" w:right="380" w:hanging="1479"/>
        <w:spacing w:after="0" w:line="223" w:lineRule="exact"/>
        <w:tabs>
          <w:tab w:leader="none" w:pos="1182"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w:t>
      </w:r>
    </w:p>
    <w:p>
      <w:pPr>
        <w:spacing w:after="0" w:line="95" w:lineRule="exact"/>
        <w:rPr>
          <w:sz w:val="20"/>
          <w:szCs w:val="20"/>
          <w:color w:val="auto"/>
        </w:rPr>
      </w:pPr>
    </w:p>
    <w:p>
      <w:pPr>
        <w:ind w:left="444"/>
        <w:spacing w:after="0" w:line="207" w:lineRule="exact"/>
        <w:tabs>
          <w:tab w:leader="none" w:pos="1164" w:val="left"/>
          <w:tab w:leader="none" w:pos="1904" w:val="left"/>
        </w:tabs>
        <w:rPr>
          <w:sz w:val="20"/>
          <w:szCs w:val="20"/>
          <w:color w:val="auto"/>
        </w:rPr>
      </w:pPr>
      <w:r>
        <w:rPr>
          <w:rFonts w:ascii="Arial" w:cs="Arial" w:eastAsia="Arial" w:hAnsi="Arial"/>
          <w:sz w:val="18"/>
          <w:szCs w:val="18"/>
          <w:color w:val="auto"/>
        </w:rPr>
        <w:t>(j)</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 non-U.S. institution in accordance with Rule 240.13d-1(b)(1)(ii)(J);</w:t>
      </w:r>
    </w:p>
    <w:p>
      <w:pPr>
        <w:spacing w:after="0" w:line="117" w:lineRule="exact"/>
        <w:rPr>
          <w:sz w:val="20"/>
          <w:szCs w:val="20"/>
          <w:color w:val="auto"/>
        </w:rPr>
      </w:pPr>
    </w:p>
    <w:p>
      <w:pPr>
        <w:ind w:left="1184" w:hanging="739"/>
        <w:spacing w:after="0" w:line="207" w:lineRule="exact"/>
        <w:tabs>
          <w:tab w:leader="none" w:pos="1184" w:val="left"/>
        </w:tabs>
        <w:numPr>
          <w:ilvl w:val="0"/>
          <w:numId w:val="2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240.13d-1(b)(1)(ii)(K). If filing as a non-U.S. institution in accordance with Rule 240.13d-</w:t>
      </w:r>
    </w:p>
    <w:p>
      <w:pPr>
        <w:spacing w:after="0" w:line="57" w:lineRule="exact"/>
        <w:rPr>
          <w:rFonts w:ascii="Arial" w:cs="Arial" w:eastAsia="Arial" w:hAnsi="Arial"/>
          <w:sz w:val="18"/>
          <w:szCs w:val="18"/>
          <w:color w:val="auto"/>
        </w:rPr>
      </w:pPr>
    </w:p>
    <w:p>
      <w:pPr>
        <w:ind w:left="1924"/>
        <w:spacing w:after="0"/>
        <w:rPr>
          <w:rFonts w:ascii="Arial" w:cs="Arial" w:eastAsia="Arial" w:hAnsi="Arial"/>
          <w:sz w:val="18"/>
          <w:szCs w:val="18"/>
          <w:color w:val="auto"/>
        </w:rPr>
      </w:pPr>
      <w:r>
        <w:rPr>
          <w:rFonts w:ascii="Arial" w:cs="Arial" w:eastAsia="Arial" w:hAnsi="Arial"/>
          <w:sz w:val="18"/>
          <w:szCs w:val="18"/>
          <w:color w:val="auto"/>
        </w:rPr>
        <w:t>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-20320</wp:posOffset>
            </wp:positionV>
            <wp:extent cx="228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334"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set forth in Item 2(a) is incorporated by reference herein.</w:t>
      </w:r>
    </w:p>
    <w:p>
      <w:pPr>
        <w:spacing w:after="0" w:line="127" w:lineRule="exact"/>
        <w:rPr>
          <w:sz w:val="20"/>
          <w:szCs w:val="20"/>
          <w:color w:val="auto"/>
        </w:rPr>
      </w:pPr>
    </w:p>
    <w:p>
      <w:pPr>
        <w:ind w:left="424" w:hanging="424"/>
        <w:spacing w:after="0"/>
        <w:tabs>
          <w:tab w:leader="none" w:pos="42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as of December 31, 2021: </w:t>
      </w:r>
      <w:r>
        <w:rPr>
          <w:rFonts w:ascii="Arial" w:cs="Arial" w:eastAsia="Arial" w:hAnsi="Arial"/>
          <w:sz w:val="18"/>
          <w:szCs w:val="18"/>
          <w:color w:val="auto"/>
        </w:rPr>
        <w:t>See Item 9 on the cover pages(s) hereto.</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as of December 31, 2021: </w:t>
      </w:r>
      <w:r>
        <w:rPr>
          <w:rFonts w:ascii="Arial" w:cs="Arial" w:eastAsia="Arial" w:hAnsi="Arial"/>
          <w:sz w:val="18"/>
          <w:szCs w:val="18"/>
          <w:color w:val="auto"/>
        </w:rPr>
        <w:t>See Item 11 on the cover page(s) hereto.</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As of December 31, 2021, number of shares as to which such person has:</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See Item 5 on the cover pages hereto.</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See Item 6 on the cover pages hereto.</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See Item 7 on the cover pages hereto.</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See Item 8 on the cover pages hereto.</w:t>
      </w:r>
    </w:p>
    <w:p>
      <w:pPr>
        <w:sectPr>
          <w:pgSz w:w="11900" w:h="16838" w:orient="portrait"/>
          <w:cols w:equalWidth="0" w:num="1">
            <w:col w:w="10804"/>
          </w:cols>
          <w:pgMar w:left="436" w:top="270" w:right="659" w:bottom="1440" w:gutter="0" w:footer="0" w:header="0"/>
        </w:sectPr>
      </w:pPr>
    </w:p>
    <w:bookmarkStart w:id="6" w:name="page7"/>
    <w:bookmarkEnd w:id="6"/>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2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owners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2(a) is incorporated by reference herein.</w:t>
      </w:r>
    </w:p>
    <w:p>
      <w:pPr>
        <w:spacing w:after="0" w:line="370" w:lineRule="exact"/>
        <w:rPr>
          <w:sz w:val="20"/>
          <w:szCs w:val="20"/>
          <w:color w:val="auto"/>
        </w:rPr>
      </w:pPr>
    </w:p>
    <w:p>
      <w:pPr>
        <w:ind w:left="1080" w:right="4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880"/>
          </w:cols>
          <w:pgMar w:left="440" w:top="270" w:right="5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IKARIAN CAPITAL,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Chart Westcott Living Trust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Chart Westcott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Chart Westcott, Trustee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CHART WESTCOTT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Chart Westcott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NEIL SHAHRESTANI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Neil Shahrestani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460"/>
          </w:cols>
          <w:pgMar w:left="440" w:top="270" w:right="999" w:bottom="1440" w:gutter="0" w:footer="0" w:header="0"/>
        </w:sectPr>
      </w:pPr>
    </w:p>
    <w:bookmarkStart w:id="8" w:name="page9"/>
    <w:bookmarkEnd w:id="8"/>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15240</wp:posOffset>
            </wp:positionV>
            <wp:extent cx="64376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Joint Filing Agreement (filed herewith).</w:t>
      </w:r>
    </w:p>
    <w:p>
      <w:pPr>
        <w:sectPr>
          <w:pgSz w:w="11900" w:h="16838" w:orient="portrait"/>
          <w:cols w:equalWidth="0" w:num="1">
            <w:col w:w="10019"/>
          </w:cols>
          <w:pgMar w:left="440" w:top="270"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14, 2022</w:t>
      </w:r>
    </w:p>
    <w:p>
      <w:pPr>
        <w:spacing w:after="0" w:line="229"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Pursuant to and in accordance with the Securities Exchange Act of 1934,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and the rules and regulations thereunder, each party hereto hereby agrees to the joint filing, on behalf of each of them, of any filing required by such party under Section 13 or Section 16 of the Act or any rule or regulation thereunder (including any amendment, restatement, supplement, and/or exhibit thereto) with the Securities and Exchange Commission (and, if such security is registered on a national securities exchange, also with the exchange), and further agrees to the filing, furnishing, and/or incorporation by reference of this Joint Filing Agreement as an exhibit thereto. This Joint Filing Agreement shall remain in full force and effect until revoked by any party hereto in a signed writing provided to each other party hereto, and then only with respect to such revoking party.</w:t>
      </w:r>
    </w:p>
    <w:p>
      <w:pPr>
        <w:spacing w:after="0" w:line="16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IN WITNESS WHEREOF, each party hereto, being duly authorized, has caused this Joint Filing Agreement to be executed and effective as of the date first written above.</w:t>
      </w:r>
    </w:p>
    <w:p>
      <w:pPr>
        <w:spacing w:after="0" w:line="200" w:lineRule="exact"/>
        <w:rPr>
          <w:sz w:val="20"/>
          <w:szCs w:val="20"/>
          <w:color w:val="auto"/>
        </w:rPr>
      </w:pPr>
    </w:p>
    <w:p>
      <w:pPr>
        <w:spacing w:after="0" w:line="20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IKARIAN CAPITAL,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Chart Westcott Living Trust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Chart Westcott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Chart Westcott, Trustee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CHART WESTCOTT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Chart Westcott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NEIL SHAHRESTANI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Neil Shahrestani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lvl w:ilvl="1">
      <w:lvlJc w:val="left"/>
      <w:lvlText w:val="☐"/>
      <w:numFmt w:val="bullet"/>
      <w:start w:val="1"/>
    </w:lvl>
  </w:abstractNum>
  <w:abstractNum w:abstractNumId="2">
    <w:nsid w:val="7FDCC233"/>
    <w:multiLevelType w:val="hybridMultilevel"/>
    <w:lvl w:ilvl="0">
      <w:lvlJc w:val="left"/>
      <w:lvlText w:val="1"/>
      <w:numFmt w:val="bullet"/>
      <w:start w:val="1"/>
    </w:lvl>
  </w:abstractNum>
  <w:abstractNum w:abstractNumId="3">
    <w:nsid w:val="1BEFD79F"/>
    <w:multiLevelType w:val="hybridMultilevel"/>
    <w:lvl w:ilvl="0">
      <w:lvlJc w:val="left"/>
      <w:lvlText w:val="2"/>
      <w:numFmt w:val="bullet"/>
      <w:start w:val="1"/>
    </w:lvl>
  </w:abstractNum>
  <w:abstractNum w:abstractNumId="4">
    <w:nsid w:val="41A7C4C9"/>
    <w:multiLevelType w:val="hybridMultilevel"/>
    <w:lvl w:ilvl="0">
      <w:lvlJc w:val="left"/>
      <w:lvlText w:val="3"/>
      <w:numFmt w:val="bullet"/>
      <w:start w:val="1"/>
    </w:lvl>
  </w:abstractNum>
  <w:abstractNum w:abstractNumId="5">
    <w:nsid w:val="6B68079A"/>
    <w:multiLevelType w:val="hybridMultilevel"/>
    <w:lvl w:ilvl="0">
      <w:lvlJc w:val="left"/>
      <w:lvlText w:val="4"/>
      <w:numFmt w:val="bullet"/>
      <w:start w:val="1"/>
    </w:lvl>
  </w:abstractNum>
  <w:abstractNum w:abstractNumId="6">
    <w:nsid w:val="4E6AFB66"/>
    <w:multiLevelType w:val="hybridMultilevel"/>
    <w:lvl w:ilvl="0">
      <w:lvlJc w:val="left"/>
      <w:lvlText w:val="9"/>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bullet"/>
      <w:start w:val="1"/>
    </w:lvl>
  </w:abstractNum>
  <w:abstractNum w:abstractNumId="9">
    <w:nsid w:val="431BD7B7"/>
    <w:multiLevelType w:val="hybridMultilevel"/>
    <w:lvl w:ilvl="0">
      <w:lvlJc w:val="left"/>
      <w:lvlText w:val="2"/>
      <w:numFmt w:val="bullet"/>
      <w:start w:val="1"/>
    </w:lvl>
  </w:abstractNum>
  <w:abstractNum w:abstractNumId="10">
    <w:nsid w:val="3F2DBA31"/>
    <w:multiLevelType w:val="hybridMultilevel"/>
    <w:lvl w:ilvl="0">
      <w:lvlJc w:val="left"/>
      <w:lvlText w:val="3"/>
      <w:numFmt w:val="bullet"/>
      <w:start w:val="1"/>
    </w:lvl>
  </w:abstractNum>
  <w:abstractNum w:abstractNumId="11">
    <w:nsid w:val="7C83E458"/>
    <w:multiLevelType w:val="hybridMultilevel"/>
    <w:lvl w:ilvl="0">
      <w:lvlJc w:val="left"/>
      <w:lvlText w:val="4"/>
      <w:numFmt w:val="bullet"/>
      <w:start w:val="1"/>
    </w:lvl>
  </w:abstractNum>
  <w:abstractNum w:abstractNumId="12">
    <w:nsid w:val="257130A3"/>
    <w:multiLevelType w:val="hybridMultilevel"/>
    <w:lvl w:ilvl="0">
      <w:lvlJc w:val="left"/>
      <w:lvlText w:val="9"/>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bullet"/>
      <w:start w:val="1"/>
    </w:lvl>
  </w:abstractNum>
  <w:abstractNum w:abstractNumId="15">
    <w:nsid w:val="628C895D"/>
    <w:multiLevelType w:val="hybridMultilevel"/>
    <w:lvl w:ilvl="0">
      <w:lvlJc w:val="left"/>
      <w:lvlText w:val="2"/>
      <w:numFmt w:val="bullet"/>
      <w:start w:val="1"/>
    </w:lvl>
  </w:abstractNum>
  <w:abstractNum w:abstractNumId="16">
    <w:nsid w:val="333AB105"/>
    <w:multiLevelType w:val="hybridMultilevel"/>
    <w:lvl w:ilvl="0">
      <w:lvlJc w:val="left"/>
      <w:lvlText w:val="3"/>
      <w:numFmt w:val="bullet"/>
      <w:start w:val="1"/>
    </w:lvl>
  </w:abstractNum>
  <w:abstractNum w:abstractNumId="17">
    <w:nsid w:val="721DA317"/>
    <w:multiLevelType w:val="hybridMultilevel"/>
    <w:lvl w:ilvl="0">
      <w:lvlJc w:val="left"/>
      <w:lvlText w:val="4"/>
      <w:numFmt w:val="bullet"/>
      <w:start w:val="1"/>
    </w:lvl>
  </w:abstractNum>
  <w:abstractNum w:abstractNumId="18">
    <w:nsid w:val="2443A858"/>
    <w:multiLevelType w:val="hybridMultilevel"/>
    <w:lvl w:ilvl="0">
      <w:lvlJc w:val="left"/>
      <w:lvlText w:val="9"/>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4"/>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11"/>
    </w:lvl>
  </w:abstractNum>
  <w:abstractNum w:abstractNumId="25">
    <w:nsid w:val="B03E0C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2022-02-14T16:12:54Z</dcterms:created>
  <dcterms:modified xsi:type="dcterms:W3CDTF">2022-02-14T16:12:54Z</dcterms:modified>
</cp:coreProperties>
</file>