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84"/>
        <w:spacing w:after="0"/>
        <w:rPr>
          <w:sz w:val="20"/>
          <w:szCs w:val="20"/>
          <w:color w:val="auto"/>
        </w:rPr>
      </w:pPr>
      <w:r>
        <w:rPr>
          <w:rFonts w:ascii="Times New Roman" w:cs="Times New Roman" w:eastAsia="Times New Roman" w:hAnsi="Times New Roman"/>
          <w:sz w:val="18"/>
          <w:szCs w:val="18"/>
          <w:b w:val="1"/>
          <w:bCs w:val="1"/>
          <w:color w:val="auto"/>
        </w:rPr>
        <w:t>7000 Shoreline Court, Suite 275</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798-8589</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TPST</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Capital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0" w:right="102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Amended and Restated 2019 Equity Incentive Plan</w:t>
      </w:r>
    </w:p>
    <w:p>
      <w:pPr>
        <w:spacing w:after="0" w:line="11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On June 17, 2022, the stockholders of Tempest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approved the Amended and Restated 2019 Equity Incentive Plan (the “</w:t>
      </w:r>
      <w:r>
        <w:rPr>
          <w:rFonts w:ascii="Times New Roman" w:cs="Times New Roman" w:eastAsia="Times New Roman" w:hAnsi="Times New Roman"/>
          <w:sz w:val="18"/>
          <w:szCs w:val="18"/>
          <w:b w:val="1"/>
          <w:bCs w:val="1"/>
          <w:i w:val="1"/>
          <w:iCs w:val="1"/>
          <w:color w:val="auto"/>
        </w:rPr>
        <w:t>Amended 2019 EIP</w:t>
      </w:r>
      <w:r>
        <w:rPr>
          <w:rFonts w:ascii="Times New Roman" w:cs="Times New Roman" w:eastAsia="Times New Roman" w:hAnsi="Times New Roman"/>
          <w:sz w:val="18"/>
          <w:szCs w:val="18"/>
          <w:color w:val="auto"/>
        </w:rPr>
        <w:t>”), which amends and restates the Millendo Therapeutics, Inc. 2019 Equity Incentive Plan (the “</w:t>
      </w:r>
      <w:r>
        <w:rPr>
          <w:rFonts w:ascii="Times New Roman" w:cs="Times New Roman" w:eastAsia="Times New Roman" w:hAnsi="Times New Roman"/>
          <w:sz w:val="18"/>
          <w:szCs w:val="18"/>
          <w:b w:val="1"/>
          <w:bCs w:val="1"/>
          <w:i w:val="1"/>
          <w:iCs w:val="1"/>
          <w:color w:val="auto"/>
        </w:rPr>
        <w:t>2019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EIP</w:t>
      </w:r>
      <w:r>
        <w:rPr>
          <w:rFonts w:ascii="Times New Roman" w:cs="Times New Roman" w:eastAsia="Times New Roman" w:hAnsi="Times New Roman"/>
          <w:sz w:val="18"/>
          <w:szCs w:val="18"/>
          <w:color w:val="auto"/>
        </w:rPr>
        <w:t>”) and will be a successor to, and replacement of, the 2019 EIP. The Amended 2019 EIP had been adopted by the Company’s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subject to stockholder approval, and includes the following material changes:</w:t>
      </w:r>
    </w:p>
    <w:p>
      <w:pPr>
        <w:spacing w:after="0" w:line="86"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number of shares available for issuance under the Amended 2019 EIP by 1,132,252 shares;</w:t>
      </w:r>
    </w:p>
    <w:p>
      <w:pPr>
        <w:spacing w:after="0" w:line="130"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maximum number of awards that may be granted as incentive stock options under the Amended 2019 EIP to a total of 5,000,000 shares;</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annual limitation on annual non-employee director compensation from $500,000 ($1,000,000 in the first year of service) to $750,000 ($1,000,000 in the first year of service), commencing in calendar year 2023; and</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provision relating to treatment of awards in the event of a corporate transaction or change in control to reflect that if awards held by continuing employees are not assumed by a buyer, vesting shall accelerate (at target in the case of performance-based awards).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summary description of the terms of the Amended 2019 EIP is set forth in the Company’s definitive proxy statement on Schedule 14A, filed with the Securities and Exchange Commission on May 2, 2022 (the “</w:t>
      </w:r>
      <w:r>
        <w:rPr>
          <w:rFonts w:ascii="Times New Roman" w:cs="Times New Roman" w:eastAsia="Times New Roman" w:hAnsi="Times New Roman"/>
          <w:sz w:val="18"/>
          <w:szCs w:val="18"/>
          <w:b w:val="1"/>
          <w:bCs w:val="1"/>
          <w:i w:val="1"/>
          <w:iCs w:val="1"/>
          <w:color w:val="auto"/>
        </w:rPr>
        <w:t>2022 Proxy Statement</w:t>
      </w:r>
      <w:r>
        <w:rPr>
          <w:rFonts w:ascii="Times New Roman" w:cs="Times New Roman" w:eastAsia="Times New Roman" w:hAnsi="Times New Roman"/>
          <w:sz w:val="18"/>
          <w:szCs w:val="18"/>
          <w:color w:val="auto"/>
        </w:rPr>
        <w:t>”), under the heading “Proposal 2 – Approval of the Amended and Restated 2019 Equity Incentive Plan.” This summary does not purport to be complete and is subject to, and qualified in its entirety by, the full text of the Amended 2019 EIP, a copy of which is filed as Exhibit 10.1 to this Current Report on Form 8-K and is incorporated by reference into this Item 5.02.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Amended and Restated 2019 Employee Stock Purchase Plan</w:t>
      </w:r>
    </w:p>
    <w:p>
      <w:pPr>
        <w:spacing w:after="0" w:line="11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On June 17, 2022, the stockholders of the Company approved the Amended and Restated 2019 Employee Stock Purchase Plan (the “</w:t>
      </w:r>
      <w:r>
        <w:rPr>
          <w:rFonts w:ascii="Times New Roman" w:cs="Times New Roman" w:eastAsia="Times New Roman" w:hAnsi="Times New Roman"/>
          <w:sz w:val="18"/>
          <w:szCs w:val="18"/>
          <w:b w:val="1"/>
          <w:bCs w:val="1"/>
          <w:i w:val="1"/>
          <w:iCs w:val="1"/>
          <w:color w:val="auto"/>
        </w:rPr>
        <w:t>Amended 2019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which amends and restates the Millendo Therapeutics, Inc. 2019 Employee Stock Purchase Plan (the “</w:t>
      </w:r>
      <w:r>
        <w:rPr>
          <w:rFonts w:ascii="Times New Roman" w:cs="Times New Roman" w:eastAsia="Times New Roman" w:hAnsi="Times New Roman"/>
          <w:sz w:val="18"/>
          <w:szCs w:val="18"/>
          <w:b w:val="1"/>
          <w:bCs w:val="1"/>
          <w:i w:val="1"/>
          <w:iCs w:val="1"/>
          <w:color w:val="auto"/>
        </w:rPr>
        <w:t>2019 ESPP</w:t>
      </w:r>
      <w:r>
        <w:rPr>
          <w:rFonts w:ascii="Times New Roman" w:cs="Times New Roman" w:eastAsia="Times New Roman" w:hAnsi="Times New Roman"/>
          <w:sz w:val="18"/>
          <w:szCs w:val="18"/>
          <w:color w:val="auto"/>
        </w:rPr>
        <w:t>”). The Amended 2019 ESPP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had been adopted by the Board, subject to stockholder approval, and includes the following material changes:</w:t>
      </w:r>
    </w:p>
    <w:p>
      <w:pPr>
        <w:spacing w:after="0" w:line="80"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number of shares available for issuance under the Amended 2019 ESPP by 107,596 shares; and</w:t>
      </w:r>
    </w:p>
    <w:p>
      <w:pPr>
        <w:spacing w:after="0" w:line="130" w:lineRule="exact"/>
        <w:rPr>
          <w:rFonts w:ascii="Times New Roman" w:cs="Times New Roman" w:eastAsia="Times New Roman" w:hAnsi="Times New Roman"/>
          <w:sz w:val="18"/>
          <w:szCs w:val="18"/>
          <w:color w:val="auto"/>
        </w:rPr>
      </w:pPr>
    </w:p>
    <w:p>
      <w:pPr>
        <w:jc w:val="both"/>
        <w:ind w:left="960" w:right="8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the calculation of the number of shares of our common stock added automatically on January 1 of each year beginning on January 1, 2023, and continuing through (and including) January 1, 2029, to be equal to the lesser of (i) 1.5% of the total number of shares of Common Stock outstanding on December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the preceding calendar year and (ii) 500,000 shares of Common Stock.</w:t>
      </w:r>
    </w:p>
    <w:p>
      <w:pPr>
        <w:spacing w:after="0" w:line="17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A summary description of the terms of the Amended 2019 ESPP is set forth in the 2022 Proxy Statement under the heading “Proposal 3 – Approval of the Amended and Restated 2019 Employee Stock Purchase Plan.” This summary does not purport to be complete and is subject to, and qualified in its entirety by, the full text of the Amended 2019 EIP, a copy of which is filed as Exhibit 10.2 to this Current Report on Form 8-K and is incorporated by reference into this Item 5.02.</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On June 17, 2022, the Company held its 2022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As of April 20, 2022, the record date for the Annual Meeting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7,173,094 shares of the Company’s common stock were outstanding and entitled to vote at the Annual Meeting. A total of 6,204,072 shares of the Company’s common stock were present at the Annual Meeting in person or by proxy, which represents approximately 86.49% of the shares of the Company’s common stock outstanding as of the Record Date. A summary of the matters voted upon by stockholders at the Annual Meeting is set forth below.</w:t>
      </w:r>
    </w:p>
    <w:p>
      <w:pPr>
        <w:sectPr>
          <w:pgSz w:w="11900" w:h="16838" w:orient="portrait"/>
          <w:cols w:equalWidth="0" w:num="1">
            <w:col w:w="11020"/>
          </w:cols>
          <w:pgMar w:left="440" w:top="293"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1. Election of Directors.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person listed below as a Class I director, to serve until the Company’s 2025 Annual Meeting of Stockholders or until their successors are duly elected and qualified or until their earlier death, resignation or removal. The final voting results were as follows:</w:t>
      </w:r>
    </w:p>
    <w:p>
      <w:pPr>
        <w:spacing w:after="0" w:line="182"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13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26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6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Geoff Nichol</w:t>
            </w:r>
          </w:p>
        </w:tc>
        <w:tc>
          <w:tcPr>
            <w:tcW w:w="20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5,447,126</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50,362</w:t>
            </w: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1,776</w:t>
            </w:r>
          </w:p>
        </w:tc>
        <w:tc>
          <w:tcPr>
            <w:tcW w:w="1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704,808</w:t>
            </w:r>
          </w:p>
        </w:tc>
        <w:tc>
          <w:tcPr>
            <w:tcW w:w="44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Approval of the Amended and Restated 2019 Equity Incentive Plan.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Amended 2019 EIP, which amends, restates and will be a successor to, and replacement of, the 2019 EIP. The final voting results were as follows:</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7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7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3220" w:type="dxa"/>
            <w:vAlign w:val="bottom"/>
            <w:gridSpan w:val="3"/>
            <w:shd w:val="clear" w:color="auto" w:fill="CCEEFF"/>
          </w:tcPr>
          <w:p>
            <w:pPr>
              <w:jc w:val="right"/>
              <w:ind w:right="1660"/>
              <w:spacing w:after="0"/>
              <w:rPr>
                <w:sz w:val="20"/>
                <w:szCs w:val="20"/>
                <w:color w:val="auto"/>
              </w:rPr>
            </w:pPr>
            <w:r>
              <w:rPr>
                <w:rFonts w:ascii="Times New Roman" w:cs="Times New Roman" w:eastAsia="Times New Roman" w:hAnsi="Times New Roman"/>
                <w:sz w:val="18"/>
                <w:szCs w:val="18"/>
                <w:color w:val="auto"/>
              </w:rPr>
              <w:t>4,210,293</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1,250,678</w:t>
            </w:r>
          </w:p>
        </w:tc>
        <w:tc>
          <w:tcPr>
            <w:tcW w:w="2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38,293</w:t>
            </w:r>
          </w:p>
        </w:tc>
        <w:tc>
          <w:tcPr>
            <w:tcW w:w="1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704,808</w:t>
            </w:r>
          </w:p>
        </w:tc>
        <w:tc>
          <w:tcPr>
            <w:tcW w:w="64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Approval of the Amended and Restated 2019 Employee Stock Purchase Plan.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Amended ESPP, which amends and restates the Millendo Therapeutics, Inc. 2019 Employee Stock Purchase Plan (the “</w:t>
      </w:r>
      <w:r>
        <w:rPr>
          <w:rFonts w:ascii="Times New Roman" w:cs="Times New Roman" w:eastAsia="Times New Roman" w:hAnsi="Times New Roman"/>
          <w:sz w:val="18"/>
          <w:szCs w:val="18"/>
          <w:b w:val="1"/>
          <w:bCs w:val="1"/>
          <w:i w:val="1"/>
          <w:iCs w:val="1"/>
          <w:color w:val="auto"/>
        </w:rPr>
        <w:t>2019 ESPP</w:t>
      </w:r>
      <w:r>
        <w:rPr>
          <w:rFonts w:ascii="Times New Roman" w:cs="Times New Roman" w:eastAsia="Times New Roman" w:hAnsi="Times New Roman"/>
          <w:sz w:val="18"/>
          <w:szCs w:val="18"/>
          <w:color w:val="auto"/>
        </w:rPr>
        <w:t>”) and will be a successor to and replacement of the 2019 ESPP. The final voting results were as follows:</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7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7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3220" w:type="dxa"/>
            <w:vAlign w:val="bottom"/>
            <w:gridSpan w:val="3"/>
            <w:shd w:val="clear" w:color="auto" w:fill="CCEEFF"/>
          </w:tcPr>
          <w:p>
            <w:pPr>
              <w:jc w:val="right"/>
              <w:ind w:right="1660"/>
              <w:spacing w:after="0"/>
              <w:rPr>
                <w:sz w:val="20"/>
                <w:szCs w:val="20"/>
                <w:color w:val="auto"/>
              </w:rPr>
            </w:pPr>
            <w:r>
              <w:rPr>
                <w:rFonts w:ascii="Times New Roman" w:cs="Times New Roman" w:eastAsia="Times New Roman" w:hAnsi="Times New Roman"/>
                <w:sz w:val="18"/>
                <w:szCs w:val="18"/>
                <w:color w:val="auto"/>
              </w:rPr>
              <w:t>4,460,702</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1,000,328</w:t>
            </w:r>
          </w:p>
        </w:tc>
        <w:tc>
          <w:tcPr>
            <w:tcW w:w="2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38,234</w:t>
            </w:r>
          </w:p>
        </w:tc>
        <w:tc>
          <w:tcPr>
            <w:tcW w:w="1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704,808</w:t>
            </w:r>
          </w:p>
        </w:tc>
        <w:tc>
          <w:tcPr>
            <w:tcW w:w="64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 Ratification of the Selection of Independent Registered Public Accounting Firm.</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of Ernst &amp; Young LLP by the Audit Committee of the Board as the Company’s independent registered public accounting firm for the fiscal year ending December 31, 2022. The final voting results were as follows:</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7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7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3220" w:type="dxa"/>
            <w:vAlign w:val="bottom"/>
            <w:gridSpan w:val="3"/>
            <w:shd w:val="clear" w:color="auto" w:fill="CCEEFF"/>
          </w:tcPr>
          <w:p>
            <w:pPr>
              <w:jc w:val="right"/>
              <w:ind w:right="1660"/>
              <w:spacing w:after="0"/>
              <w:rPr>
                <w:sz w:val="20"/>
                <w:szCs w:val="20"/>
                <w:color w:val="auto"/>
              </w:rPr>
            </w:pPr>
            <w:r>
              <w:rPr>
                <w:rFonts w:ascii="Times New Roman" w:cs="Times New Roman" w:eastAsia="Times New Roman" w:hAnsi="Times New Roman"/>
                <w:sz w:val="18"/>
                <w:szCs w:val="18"/>
                <w:color w:val="auto"/>
              </w:rPr>
              <w:t>6,179,790</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23,298</w:t>
            </w:r>
          </w:p>
        </w:tc>
        <w:tc>
          <w:tcPr>
            <w:tcW w:w="2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984</w:t>
            </w:r>
          </w:p>
        </w:tc>
        <w:tc>
          <w:tcPr>
            <w:tcW w:w="16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9"/>
              </w:rPr>
              <w:t>—</w:t>
            </w:r>
          </w:p>
        </w:tc>
      </w:tr>
    </w:tbl>
    <w:p>
      <w:pPr>
        <w:sectPr>
          <w:pgSz w:w="11900" w:h="16838" w:orient="portrait"/>
          <w:cols w:equalWidth="0" w:num="1">
            <w:col w:w="10980"/>
          </w:cols>
          <w:pgMar w:left="440" w:top="293"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5. Approval, on an advisory basis, of the compensation of the Company’s named executive officers.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of the Company’s named executive officers. The final voting results were as follows:</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7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7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3220" w:type="dxa"/>
            <w:vAlign w:val="bottom"/>
            <w:gridSpan w:val="3"/>
            <w:shd w:val="clear" w:color="auto" w:fill="CCEEFF"/>
          </w:tcPr>
          <w:p>
            <w:pPr>
              <w:jc w:val="right"/>
              <w:ind w:right="1660"/>
              <w:spacing w:after="0"/>
              <w:rPr>
                <w:sz w:val="20"/>
                <w:szCs w:val="20"/>
                <w:color w:val="auto"/>
              </w:rPr>
            </w:pPr>
            <w:r>
              <w:rPr>
                <w:rFonts w:ascii="Times New Roman" w:cs="Times New Roman" w:eastAsia="Times New Roman" w:hAnsi="Times New Roman"/>
                <w:sz w:val="18"/>
                <w:szCs w:val="18"/>
                <w:color w:val="auto"/>
              </w:rPr>
              <w:t>5,284,361</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28,088</w:t>
            </w:r>
          </w:p>
        </w:tc>
        <w:tc>
          <w:tcPr>
            <w:tcW w:w="2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160,111</w:t>
            </w:r>
          </w:p>
        </w:tc>
        <w:tc>
          <w:tcPr>
            <w:tcW w:w="1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731,512</w:t>
            </w:r>
          </w:p>
        </w:tc>
        <w:tc>
          <w:tcPr>
            <w:tcW w:w="64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6. Approval, on an advisory basis, of the frequency of stockholder approval of the compensation of our named executive officers.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frequency of stockholder approval of the compensation of the Company’s named executive officers. The final voting results were as follows:</w:t>
      </w:r>
    </w:p>
    <w:p>
      <w:pPr>
        <w:spacing w:after="0" w:line="182"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740" w:type="dxa"/>
            <w:vAlign w:val="bottom"/>
          </w:tcPr>
          <w:p>
            <w:pPr>
              <w:spacing w:after="0"/>
              <w:rPr>
                <w:sz w:val="15"/>
                <w:szCs w:val="15"/>
                <w:color w:val="auto"/>
              </w:rPr>
            </w:pPr>
          </w:p>
        </w:tc>
        <w:tc>
          <w:tcPr>
            <w:tcW w:w="134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0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2 Years</w:t>
            </w: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3 Years</w:t>
            </w:r>
          </w:p>
        </w:tc>
        <w:tc>
          <w:tcPr>
            <w:tcW w:w="27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Abstention</w:t>
            </w: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5,301,854</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957</w:t>
            </w:r>
          </w:p>
        </w:tc>
        <w:tc>
          <w:tcPr>
            <w:tcW w:w="84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34,891</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134,858</w:t>
            </w: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731,522</w:t>
            </w:r>
          </w:p>
        </w:tc>
        <w:tc>
          <w:tcPr>
            <w:tcW w:w="4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frequency of one year received the highest number of votes cast by stockholders at the Annual Meeting. Based on the recommendation of the Board in the proxy statement for the Annual Meeting and these advisory vote results, the Company will hold future Say-on-Pay votes every year until the next required non-binding advisory vote on the frequency of Say-on-Pay votes, which is required to occur no later than the Company’s 2028 Annual Meeting of Stockholders.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360" w:type="dxa"/>
            <w:vAlign w:val="bottom"/>
            <w:vMerge w:val="restart"/>
          </w:tcPr>
          <w:p>
            <w:pPr>
              <w:spacing w:after="0"/>
              <w:rPr>
                <w:sz w:val="21"/>
                <w:szCs w:val="21"/>
                <w:color w:val="auto"/>
              </w:rPr>
            </w:pPr>
          </w:p>
        </w:tc>
        <w:tc>
          <w:tcPr>
            <w:tcW w:w="1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Tempest Therapeutics, Inc. Amended and Restated 2019</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rPr>
              <w:t>Equity Incentive Plan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40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Tempest Therapeutics, Inc. Amended and Restated 2019</w:t>
            </w:r>
          </w:p>
        </w:tc>
        <w:tc>
          <w:tcPr>
            <w:tcW w:w="226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8"/>
              </w:rPr>
              <w:t>Employee Stock Purchase Plan</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6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21, 2022</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Brady</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TEMPEST THERAPEUTICS, INC. AMENDED AND RESTATED 2019 EQUITY INCENTIVE PLAN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AND RESTATED BY THE BOARD OF DIRECTORS: APRIL 22, 2022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APPROVED BY THE STOCKHOLDERS: JUNE 17, 2022</w:t>
      </w:r>
    </w:p>
    <w:p>
      <w:pPr>
        <w:spacing w:after="0" w:line="230"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17" w:lineRule="exact"/>
        <w:rPr>
          <w:rFonts w:ascii="Times New Roman" w:cs="Times New Roman" w:eastAsia="Times New Roman" w:hAnsi="Times New Roman"/>
          <w:sz w:val="18"/>
          <w:szCs w:val="18"/>
          <w:b w:val="1"/>
          <w:bCs w:val="1"/>
          <w:color w:val="auto"/>
        </w:rPr>
      </w:pPr>
    </w:p>
    <w:p>
      <w:pPr>
        <w:ind w:left="4" w:firstLine="987"/>
        <w:spacing w:after="0" w:line="259" w:lineRule="auto"/>
        <w:tabs>
          <w:tab w:leader="none" w:pos="125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and Continuation of Prior Plan. </w:t>
      </w:r>
      <w:r>
        <w:rPr>
          <w:rFonts w:ascii="Times New Roman" w:cs="Times New Roman" w:eastAsia="Times New Roman" w:hAnsi="Times New Roman"/>
          <w:sz w:val="18"/>
          <w:szCs w:val="18"/>
          <w:color w:val="auto"/>
        </w:rPr>
        <w:t>The Plan is intended as the successor to and continuation of the Millendo 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2012 Stock Plan and the Ovascience, Inc. 2012 Stock Incentive Plan (each, as amended, the “</w:t>
      </w:r>
      <w:r>
        <w:rPr>
          <w:rFonts w:ascii="Times New Roman" w:cs="Times New Roman" w:eastAsia="Times New Roman" w:hAnsi="Times New Roman"/>
          <w:sz w:val="18"/>
          <w:szCs w:val="18"/>
          <w:b w:val="1"/>
          <w:bCs w:val="1"/>
          <w:i w:val="1"/>
          <w:iCs w:val="1"/>
          <w:color w:val="auto"/>
        </w:rPr>
        <w:t>Prior Plans</w:t>
      </w:r>
      <w:r>
        <w:rPr>
          <w:rFonts w:ascii="Times New Roman" w:cs="Times New Roman" w:eastAsia="Times New Roman" w:hAnsi="Times New Roman"/>
          <w:sz w:val="18"/>
          <w:szCs w:val="18"/>
          <w:color w:val="auto"/>
        </w:rPr>
        <w:t>”). From and after 12:01 a.m. Eastern Time on the Initial Effective Date, no additional stock awards will be granted under the Prior Plans. All Awards granted on or after 12:01 a.m. Eastern Time on the Effective Date will be granted under this Plan. All stock awards granted under the Prior Plans will remain subject to the terms of the Prior Plans. The Plan amends and restates the Millendo Therapeutics, Inc. 2019 Equity Incentive Plan in its entirety.</w:t>
      </w:r>
    </w:p>
    <w:p>
      <w:pPr>
        <w:spacing w:after="0" w:line="179"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Employees, Directors and Consultants are eligible to receive Awards.</w:t>
      </w:r>
    </w:p>
    <w:p>
      <w:pPr>
        <w:spacing w:after="0" w:line="225" w:lineRule="exact"/>
        <w:rPr>
          <w:rFonts w:ascii="Times New Roman" w:cs="Times New Roman" w:eastAsia="Times New Roman" w:hAnsi="Times New Roman"/>
          <w:sz w:val="18"/>
          <w:szCs w:val="18"/>
          <w:b w:val="1"/>
          <w:bCs w:val="1"/>
          <w:color w:val="auto"/>
        </w:rPr>
      </w:pPr>
    </w:p>
    <w:p>
      <w:pPr>
        <w:ind w:left="4" w:right="520" w:firstLine="987"/>
        <w:spacing w:after="0" w:line="263" w:lineRule="auto"/>
        <w:tabs>
          <w:tab w:leader="none" w:pos="124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(iii) Stock Appreciation Rights, (iv) Restricted Stock Awards, (v) Restricted Stock Unit Awards, (vi) Performance Stock Awards,</w:t>
      </w: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(vii) Performance Cash Awards, and (viii) Other Stock Awards.</w:t>
      </w:r>
    </w:p>
    <w:p>
      <w:pPr>
        <w:spacing w:after="0" w:line="202" w:lineRule="exact"/>
        <w:rPr>
          <w:rFonts w:ascii="Times New Roman" w:cs="Times New Roman" w:eastAsia="Times New Roman" w:hAnsi="Times New Roman"/>
          <w:sz w:val="18"/>
          <w:szCs w:val="18"/>
          <w:b w:val="1"/>
          <w:bCs w:val="1"/>
          <w:color w:val="auto"/>
        </w:rPr>
      </w:pPr>
    </w:p>
    <w:p>
      <w:pPr>
        <w:jc w:val="both"/>
        <w:ind w:left="4" w:right="440" w:firstLine="987"/>
        <w:spacing w:after="0" w:line="268" w:lineRule="auto"/>
        <w:tabs>
          <w:tab w:leader="none" w:pos="126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Plan, through the grant of Awards, is intended to help the Company secure and retain the services of eligible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31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17" w:lineRule="exact"/>
        <w:rPr>
          <w:rFonts w:ascii="Times New Roman" w:cs="Times New Roman" w:eastAsia="Times New Roman" w:hAnsi="Times New Roman"/>
          <w:sz w:val="18"/>
          <w:szCs w:val="18"/>
          <w:b w:val="1"/>
          <w:bCs w:val="1"/>
          <w:color w:val="auto"/>
        </w:rPr>
      </w:pPr>
    </w:p>
    <w:p>
      <w:pPr>
        <w:ind w:left="4" w:right="120" w:firstLine="987"/>
        <w:spacing w:after="0" w:line="286" w:lineRule="auto"/>
        <w:tabs>
          <w:tab w:leader="none" w:pos="125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The Board may delegate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as provided in Section 2(c).</w:t>
      </w:r>
    </w:p>
    <w:p>
      <w:pPr>
        <w:spacing w:after="0" w:line="154"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9" w:lineRule="exact"/>
        <w:rPr>
          <w:rFonts w:ascii="Times New Roman" w:cs="Times New Roman" w:eastAsia="Times New Roman" w:hAnsi="Times New Roman"/>
          <w:sz w:val="18"/>
          <w:szCs w:val="18"/>
          <w:b w:val="1"/>
          <w:bCs w:val="1"/>
          <w:color w:val="auto"/>
        </w:rPr>
      </w:pPr>
    </w:p>
    <w:p>
      <w:pPr>
        <w:ind w:left="4" w:right="40" w:firstLine="1428"/>
        <w:spacing w:after="0" w:line="261" w:lineRule="auto"/>
        <w:tabs>
          <w:tab w:leader="none" w:pos="1651"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79" w:lineRule="exact"/>
        <w:rPr>
          <w:rFonts w:ascii="Times New Roman" w:cs="Times New Roman" w:eastAsia="Times New Roman" w:hAnsi="Times New Roman"/>
          <w:sz w:val="18"/>
          <w:szCs w:val="18"/>
          <w:b w:val="1"/>
          <w:bCs w:val="1"/>
          <w:color w:val="auto"/>
        </w:rPr>
      </w:pPr>
    </w:p>
    <w:p>
      <w:pPr>
        <w:ind w:left="4" w:right="160" w:firstLine="1428"/>
        <w:spacing w:after="0" w:line="261" w:lineRule="auto"/>
        <w:tabs>
          <w:tab w:leader="none" w:pos="1701"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79" w:lineRule="exact"/>
        <w:rPr>
          <w:rFonts w:ascii="Times New Roman" w:cs="Times New Roman" w:eastAsia="Times New Roman" w:hAnsi="Times New Roman"/>
          <w:sz w:val="18"/>
          <w:szCs w:val="18"/>
          <w:b w:val="1"/>
          <w:bCs w:val="1"/>
          <w:color w:val="auto"/>
        </w:rPr>
      </w:pPr>
    </w:p>
    <w:p>
      <w:pPr>
        <w:ind w:left="1744" w:hanging="312"/>
        <w:spacing w:after="0"/>
        <w:tabs>
          <w:tab w:leader="none" w:pos="1744"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left="4" w:right="240" w:firstLine="1428"/>
        <w:spacing w:after="0" w:line="282" w:lineRule="auto"/>
        <w:tabs>
          <w:tab w:leader="none" w:pos="1741"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in whole or in part, the time at which an Award may be exercised or vest (or the time at which cash or shares of Common Stock may be issued in settlement thereof).</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4"/>
          </w:cols>
          <w:pgMar w:left="436" w:top="117" w:right="439" w:bottom="1440" w:gutter="0" w:footer="0" w:header="0"/>
        </w:sectPr>
      </w:pPr>
    </w:p>
    <w:bookmarkStart w:id="6" w:name="page7"/>
    <w:bookmarkEnd w:id="6"/>
    <w:p>
      <w:pPr>
        <w:ind w:left="-20" w:right="120" w:firstLine="1428"/>
        <w:spacing w:after="0" w:line="266" w:lineRule="auto"/>
        <w:tabs>
          <w:tab w:leader="none" w:pos="1667"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w:t>
      </w:r>
    </w:p>
    <w:p>
      <w:pPr>
        <w:spacing w:after="0" w:line="175" w:lineRule="exact"/>
        <w:rPr>
          <w:rFonts w:ascii="Times New Roman" w:cs="Times New Roman" w:eastAsia="Times New Roman" w:hAnsi="Times New Roman"/>
          <w:sz w:val="18"/>
          <w:szCs w:val="18"/>
          <w:b w:val="1"/>
          <w:bCs w:val="1"/>
          <w:color w:val="auto"/>
        </w:rPr>
      </w:pPr>
    </w:p>
    <w:p>
      <w:pPr>
        <w:ind w:left="-20" w:right="140" w:firstLine="1428"/>
        <w:spacing w:after="0" w:line="253" w:lineRule="auto"/>
        <w:tabs>
          <w:tab w:leader="none" w:pos="1717"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191" w:lineRule="exact"/>
        <w:rPr>
          <w:rFonts w:ascii="Times New Roman" w:cs="Times New Roman" w:eastAsia="Times New Roman" w:hAnsi="Times New Roman"/>
          <w:sz w:val="18"/>
          <w:szCs w:val="18"/>
          <w:b w:val="1"/>
          <w:bCs w:val="1"/>
          <w:color w:val="auto"/>
        </w:rPr>
      </w:pPr>
    </w:p>
    <w:p>
      <w:pPr>
        <w:ind w:left="-20" w:right="80" w:firstLine="1428"/>
        <w:spacing w:after="0" w:line="282" w:lineRule="auto"/>
        <w:tabs>
          <w:tab w:leader="none" w:pos="1767"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161" w:lineRule="exact"/>
        <w:rPr>
          <w:rFonts w:ascii="Times New Roman" w:cs="Times New Roman" w:eastAsia="Times New Roman" w:hAnsi="Times New Roman"/>
          <w:sz w:val="18"/>
          <w:szCs w:val="18"/>
          <w:b w:val="1"/>
          <w:bCs w:val="1"/>
          <w:color w:val="auto"/>
        </w:rPr>
      </w:pPr>
    </w:p>
    <w:p>
      <w:pPr>
        <w:ind w:left="-20" w:right="40" w:firstLine="1428"/>
        <w:spacing w:after="0" w:line="253" w:lineRule="auto"/>
        <w:tabs>
          <w:tab w:leader="none" w:pos="1817"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91" w:lineRule="exact"/>
        <w:rPr>
          <w:rFonts w:ascii="Times New Roman" w:cs="Times New Roman" w:eastAsia="Times New Roman" w:hAnsi="Times New Roman"/>
          <w:sz w:val="18"/>
          <w:szCs w:val="18"/>
          <w:b w:val="1"/>
          <w:bCs w:val="1"/>
          <w:color w:val="auto"/>
        </w:rPr>
      </w:pPr>
    </w:p>
    <w:p>
      <w:pPr>
        <w:ind w:left="-20" w:right="380" w:firstLine="1428"/>
        <w:spacing w:after="0" w:line="282" w:lineRule="auto"/>
        <w:tabs>
          <w:tab w:leader="none" w:pos="1717"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1" w:lineRule="exact"/>
        <w:rPr>
          <w:rFonts w:ascii="Times New Roman" w:cs="Times New Roman" w:eastAsia="Times New Roman" w:hAnsi="Times New Roman"/>
          <w:sz w:val="18"/>
          <w:szCs w:val="18"/>
          <w:b w:val="1"/>
          <w:bCs w:val="1"/>
          <w:color w:val="auto"/>
        </w:rPr>
      </w:pPr>
    </w:p>
    <w:p>
      <w:pPr>
        <w:jc w:val="both"/>
        <w:ind w:left="-20" w:right="520" w:firstLine="1428"/>
        <w:spacing w:after="0" w:line="289" w:lineRule="auto"/>
        <w:tabs>
          <w:tab w:leader="none" w:pos="1667" w:val="left"/>
        </w:tabs>
        <w:numPr>
          <w:ilvl w:val="1"/>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261" w:lineRule="exact"/>
        <w:rPr>
          <w:rFonts w:ascii="Times New Roman" w:cs="Times New Roman" w:eastAsia="Times New Roman" w:hAnsi="Times New Roman"/>
          <w:sz w:val="17"/>
          <w:szCs w:val="17"/>
          <w:b w:val="1"/>
          <w:bCs w:val="1"/>
          <w:color w:val="auto"/>
        </w:rPr>
      </w:pPr>
    </w:p>
    <w:p>
      <w:pPr>
        <w:ind w:left="1220" w:hanging="253"/>
        <w:spacing w:after="0"/>
        <w:tabs>
          <w:tab w:leader="none" w:pos="12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117" w:lineRule="exact"/>
        <w:rPr>
          <w:rFonts w:ascii="Times New Roman" w:cs="Times New Roman" w:eastAsia="Times New Roman" w:hAnsi="Times New Roman"/>
          <w:sz w:val="18"/>
          <w:szCs w:val="18"/>
          <w:b w:val="1"/>
          <w:bCs w:val="1"/>
          <w:color w:val="auto"/>
        </w:rPr>
      </w:pPr>
    </w:p>
    <w:p>
      <w:pPr>
        <w:ind w:left="-20" w:firstLine="1428"/>
        <w:spacing w:after="0" w:line="268" w:lineRule="auto"/>
        <w:tabs>
          <w:tab w:leader="none" w:pos="1627"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 is delegated to a Committee, the Committee will have, in connection with the administration of the Plan, the powers theretofore possessed by the Board that have been delegated to</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60"/>
          </w:cols>
          <w:pgMar w:left="460" w:top="270" w:right="479" w:bottom="1440" w:gutter="0" w:footer="0" w:header="0"/>
        </w:sectPr>
      </w:pPr>
    </w:p>
    <w:bookmarkStart w:id="7" w:name="page8"/>
    <w:bookmarkEnd w:id="7"/>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Committee, including the power to delegate to a subcommittee of the Committee any of the administrative powers the Committee is authorized to exercise (and references in this Plan to the Board will thereafter be construed as being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79" w:lineRule="exact"/>
        <w:rPr>
          <w:sz w:val="20"/>
          <w:szCs w:val="20"/>
          <w:color w:val="auto"/>
        </w:rPr>
      </w:pPr>
    </w:p>
    <w:p>
      <w:pPr>
        <w:ind w:left="1704" w:hanging="272"/>
        <w:spacing w:after="0"/>
        <w:tabs>
          <w:tab w:leader="none" w:pos="170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The Committee may consist solely of two or more Non-Employee Directors in accordance with Rule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16b-3.</w:t>
      </w:r>
    </w:p>
    <w:p>
      <w:pPr>
        <w:spacing w:after="0" w:line="203" w:lineRule="exact"/>
        <w:rPr>
          <w:sz w:val="20"/>
          <w:szCs w:val="20"/>
          <w:color w:val="auto"/>
        </w:rPr>
      </w:pPr>
    </w:p>
    <w:p>
      <w:pPr>
        <w:ind w:left="1264" w:hanging="273"/>
        <w:spacing w:after="0"/>
        <w:tabs>
          <w:tab w:leader="none" w:pos="126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may delegate to one (1) or more Officers the authority to do one or both of the following</w:t>
      </w:r>
    </w:p>
    <w:p>
      <w:pPr>
        <w:spacing w:after="0" w:line="31" w:lineRule="exact"/>
        <w:rPr>
          <w:rFonts w:ascii="Times New Roman" w:cs="Times New Roman" w:eastAsia="Times New Roman" w:hAnsi="Times New Roman"/>
          <w:sz w:val="18"/>
          <w:szCs w:val="18"/>
          <w:b w:val="1"/>
          <w:bCs w:val="1"/>
          <w:color w:val="auto"/>
        </w:rPr>
      </w:pPr>
    </w:p>
    <w:p>
      <w:pPr>
        <w:ind w:left="4" w:hanging="4"/>
        <w:spacing w:after="0" w:line="252"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designate Employees who are not Officers to be 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13(w)(iii) below.</w:t>
      </w:r>
    </w:p>
    <w:p>
      <w:pPr>
        <w:spacing w:after="0" w:line="184" w:lineRule="exact"/>
        <w:rPr>
          <w:rFonts w:ascii="Times New Roman" w:cs="Times New Roman" w:eastAsia="Times New Roman" w:hAnsi="Times New Roman"/>
          <w:sz w:val="18"/>
          <w:szCs w:val="18"/>
          <w:color w:val="auto"/>
        </w:rPr>
      </w:pPr>
    </w:p>
    <w:p>
      <w:pPr>
        <w:ind w:left="4" w:right="260" w:firstLine="1428"/>
        <w:spacing w:after="0" w:line="286" w:lineRule="auto"/>
        <w:tabs>
          <w:tab w:leader="none" w:pos="1681"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in good faith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ind w:left="4" w:right="140" w:firstLine="1428"/>
        <w:spacing w:after="0" w:line="262" w:lineRule="auto"/>
        <w:tabs>
          <w:tab w:leader="none" w:pos="1661"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Repricing of Awards</w:t>
      </w:r>
      <w:r>
        <w:rPr>
          <w:rFonts w:ascii="Times New Roman" w:cs="Times New Roman" w:eastAsia="Times New Roman" w:hAnsi="Times New Roman"/>
          <w:sz w:val="18"/>
          <w:szCs w:val="18"/>
          <w:color w:val="auto"/>
        </w:rPr>
        <w:t>. Neither the Board nor any Committee will have the authority to (i) reduce the exercise or strike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outstanding Option or SAR or (ii) cancel any outstanding Option or SAR that has an exercise or strike price (per share) greater than the then-current Fair Market Value of the Common Stock in exchange for cash or other Stock Awards under the Plan, unless the stockholders of the Company have approved such an action within 12 months prior to such an event.</w:t>
      </w:r>
    </w:p>
    <w:p>
      <w:pPr>
        <w:spacing w:after="0" w:line="325"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p>
    <w:p>
      <w:pPr>
        <w:spacing w:after="0" w:line="117" w:lineRule="exact"/>
        <w:rPr>
          <w:rFonts w:ascii="Times New Roman" w:cs="Times New Roman" w:eastAsia="Times New Roman" w:hAnsi="Times New Roman"/>
          <w:sz w:val="18"/>
          <w:szCs w:val="18"/>
          <w:b w:val="1"/>
          <w:bCs w:val="1"/>
          <w:color w:val="auto"/>
        </w:rPr>
      </w:pPr>
    </w:p>
    <w:p>
      <w:pPr>
        <w:ind w:left="4" w:right="80" w:firstLine="987"/>
        <w:spacing w:after="0" w:line="259" w:lineRule="auto"/>
        <w:tabs>
          <w:tab w:leader="none" w:pos="125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Section 9(a) relating to Capitalization Adjustments, and the following sentence regarding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the aggregate number of shares of Common Stock that may be issued pursuant to Stock Awards will not exceed 1,326,910 shares, which is the sum of (1) 194,658 shares (the “</w:t>
      </w:r>
      <w:r>
        <w:rPr>
          <w:rFonts w:ascii="Times New Roman" w:cs="Times New Roman" w:eastAsia="Times New Roman" w:hAnsi="Times New Roman"/>
          <w:sz w:val="18"/>
          <w:szCs w:val="18"/>
          <w:b w:val="1"/>
          <w:bCs w:val="1"/>
          <w:i w:val="1"/>
          <w:iCs w:val="1"/>
          <w:color w:val="auto"/>
        </w:rPr>
        <w:t>Initial Share Reserve</w:t>
      </w:r>
      <w:r>
        <w:rPr>
          <w:rFonts w:ascii="Times New Roman" w:cs="Times New Roman" w:eastAsia="Times New Roman" w:hAnsi="Times New Roman"/>
          <w:sz w:val="18"/>
          <w:szCs w:val="18"/>
          <w:color w:val="auto"/>
        </w:rPr>
        <w:t xml:space="preserve">”), which was approved by the Company’s stockholders on the Initial Effective Date and </w:t>
      </w:r>
      <w:r>
        <w:rPr>
          <w:rFonts w:ascii="Times New Roman" w:cs="Times New Roman" w:eastAsia="Times New Roman" w:hAnsi="Times New Roman"/>
          <w:sz w:val="18"/>
          <w:szCs w:val="18"/>
          <w:i w:val="1"/>
          <w:iCs w:val="1"/>
          <w:color w:val="auto"/>
        </w:rPr>
        <w:t>plus</w:t>
      </w: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 an additional 1,132,252 shares that were approved by the Company’s stockholders at the 2022 Annual Meeting of Stockholders.</w:t>
      </w:r>
    </w:p>
    <w:p>
      <w:pPr>
        <w:spacing w:after="0" w:line="207"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In addition, the Share Reserve will automatically increase on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each year, for a period commencing on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the year following the Effective Date and ending on (and including) January 1, 2029, in an amount equal to 4% of the total number of shares of Capital Stock outstanding on December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the preceding calendar year. Notwithstanding the foregoing, the Board may act prior to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a given year to provide that there will be no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increase in the Share Reserve for such year or that the increase in the Share Reserve for such year will be a lesser number of shares of Common Stock than would otherwise occur pursuant to the preceding sentence.</w:t>
      </w:r>
    </w:p>
    <w:p>
      <w:pPr>
        <w:spacing w:after="0" w:line="183"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4"/>
          </w:cols>
          <w:pgMar w:left="436" w:top="270" w:right="459" w:bottom="1440" w:gutter="0" w:footer="0" w:header="0"/>
        </w:sectPr>
      </w:pPr>
    </w:p>
    <w:bookmarkStart w:id="8" w:name="page9"/>
    <w:bookmarkEnd w:id="8"/>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58" w:lineRule="exact"/>
        <w:rPr>
          <w:sz w:val="20"/>
          <w:szCs w:val="20"/>
          <w:color w:val="auto"/>
        </w:rPr>
      </w:pPr>
    </w:p>
    <w:p>
      <w:pPr>
        <w:ind w:left="4" w:firstLine="987"/>
        <w:spacing w:after="0" w:line="256" w:lineRule="auto"/>
        <w:tabs>
          <w:tab w:leader="none" w:pos="12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Shares to the Share Reserve. </w:t>
      </w:r>
      <w:r>
        <w:rPr>
          <w:rFonts w:ascii="Times New Roman" w:cs="Times New Roman" w:eastAsia="Times New Roman" w:hAnsi="Times New Roman"/>
          <w:sz w:val="18"/>
          <w:szCs w:val="18"/>
          <w:color w:val="auto"/>
        </w:rPr>
        <w:t>If a Stock Award or any portion thereof (i) expires or otherwise terminates without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covered by such Stock Award having been issued or (ii) is settled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82" w:lineRule="exact"/>
        <w:rPr>
          <w:rFonts w:ascii="Times New Roman" w:cs="Times New Roman" w:eastAsia="Times New Roman" w:hAnsi="Times New Roman"/>
          <w:sz w:val="18"/>
          <w:szCs w:val="18"/>
          <w:b w:val="1"/>
          <w:bCs w:val="1"/>
          <w:color w:val="auto"/>
        </w:rPr>
      </w:pPr>
    </w:p>
    <w:p>
      <w:pPr>
        <w:ind w:left="4" w:right="520" w:firstLine="987"/>
        <w:spacing w:after="0" w:line="268" w:lineRule="auto"/>
        <w:tabs>
          <w:tab w:leader="none" w:pos="124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Limit. </w:t>
      </w:r>
      <w:r>
        <w:rPr>
          <w:rFonts w:ascii="Times New Roman" w:cs="Times New Roman" w:eastAsia="Times New Roman" w:hAnsi="Times New Roman"/>
          <w:sz w:val="18"/>
          <w:szCs w:val="18"/>
          <w:color w:val="auto"/>
        </w:rPr>
        <w:t>Subject to the provisions of Section 9(a) relating to Capitalization Adjustments,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number of shares of Common Stock that may be issued pursuant to the exercise of Incentive Stock Options will be 5,000,000 shares of Common Stock.</w:t>
      </w:r>
    </w:p>
    <w:p>
      <w:pPr>
        <w:spacing w:after="0" w:line="170" w:lineRule="exact"/>
        <w:rPr>
          <w:rFonts w:ascii="Times New Roman" w:cs="Times New Roman" w:eastAsia="Times New Roman" w:hAnsi="Times New Roman"/>
          <w:sz w:val="18"/>
          <w:szCs w:val="18"/>
          <w:b w:val="1"/>
          <w:bCs w:val="1"/>
          <w:color w:val="auto"/>
        </w:rPr>
      </w:pPr>
    </w:p>
    <w:p>
      <w:pPr>
        <w:ind w:left="4" w:firstLine="987"/>
        <w:spacing w:after="0" w:line="278" w:lineRule="auto"/>
        <w:tabs>
          <w:tab w:leader="none" w:pos="1260" w:val="left"/>
        </w:tabs>
        <w:numPr>
          <w:ilvl w:val="1"/>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Limitation on Compensation to Non-Employee Directors. </w:t>
      </w:r>
      <w:r>
        <w:rPr>
          <w:rFonts w:ascii="Times New Roman" w:cs="Times New Roman" w:eastAsia="Times New Roman" w:hAnsi="Times New Roman"/>
          <w:sz w:val="17"/>
          <w:szCs w:val="17"/>
          <w:color w:val="auto"/>
        </w:rPr>
        <w:t>The aggregate value of all compensation granted or paid, as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Awards granted and cash fees paid by the Company during any one calendar year to any Non-Employee Director, taken together with any cash fees paid by the Company to such Non-Employee Director during such calendar year for service on the Board beginning with calendar year 2023, will not exceed $750,000 in total value (calculating the value of any such Stock Awards based on the grant date fair value of such Stock Awards for financial reporting purposes), or, with respect to the calendar year in which a Non-Employee Director is first appointed or elected to the Board, $1,000,000.</w:t>
      </w:r>
    </w:p>
    <w:p>
      <w:pPr>
        <w:spacing w:after="0" w:line="163" w:lineRule="exact"/>
        <w:rPr>
          <w:rFonts w:ascii="Times New Roman" w:cs="Times New Roman" w:eastAsia="Times New Roman" w:hAnsi="Times New Roman"/>
          <w:sz w:val="17"/>
          <w:szCs w:val="17"/>
          <w:b w:val="1"/>
          <w:bCs w:val="1"/>
          <w:color w:val="auto"/>
        </w:rPr>
      </w:pPr>
    </w:p>
    <w:p>
      <w:pPr>
        <w:ind w:left="4" w:right="60" w:firstLine="987"/>
        <w:spacing w:after="0" w:line="286" w:lineRule="auto"/>
        <w:tabs>
          <w:tab w:leader="none" w:pos="124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repurchased by the Company on the open market or otherwise.</w:t>
      </w:r>
    </w:p>
    <w:p>
      <w:pPr>
        <w:spacing w:after="0" w:line="30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17" w:lineRule="exact"/>
        <w:rPr>
          <w:rFonts w:ascii="Times New Roman" w:cs="Times New Roman" w:eastAsia="Times New Roman" w:hAnsi="Times New Roman"/>
          <w:sz w:val="18"/>
          <w:szCs w:val="18"/>
          <w:b w:val="1"/>
          <w:bCs w:val="1"/>
          <w:color w:val="auto"/>
        </w:rPr>
      </w:pPr>
    </w:p>
    <w:p>
      <w:pPr>
        <w:ind w:left="4" w:right="40" w:firstLine="987"/>
        <w:spacing w:after="0" w:line="255" w:lineRule="auto"/>
        <w:tabs>
          <w:tab w:leader="none" w:pos="125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for Specific Stock Awards</w:t>
      </w:r>
      <w:r>
        <w:rPr>
          <w:rFonts w:ascii="Times New Roman" w:cs="Times New Roman" w:eastAsia="Times New Roman" w:hAnsi="Times New Roman"/>
          <w:sz w:val="18"/>
          <w:szCs w:val="18"/>
          <w:color w:val="auto"/>
        </w:rPr>
        <w:t>. Incentive Stock Options may be granted only to employees of the Company or a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or “subsidiary corporation” thereof (as such terms are defined in Sections 424(e) and 424(f) of the Code). Stock Awards other than Incentive Stock Options may be granted to Employees, Directors and Consultants;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Stock Awards may not be granted to Employees, Directors and Consultants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84" w:lineRule="exact"/>
        <w:rPr>
          <w:rFonts w:ascii="Times New Roman" w:cs="Times New Roman" w:eastAsia="Times New Roman" w:hAnsi="Times New Roman"/>
          <w:sz w:val="18"/>
          <w:szCs w:val="18"/>
          <w:b w:val="1"/>
          <w:bCs w:val="1"/>
          <w:color w:val="auto"/>
        </w:rPr>
      </w:pPr>
    </w:p>
    <w:p>
      <w:pPr>
        <w:jc w:val="both"/>
        <w:ind w:left="4" w:right="60" w:firstLine="987"/>
        <w:spacing w:after="0" w:line="268" w:lineRule="auto"/>
        <w:tabs>
          <w:tab w:leader="none" w:pos="126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 Percent Stockholders. </w:t>
      </w:r>
      <w:r>
        <w:rPr>
          <w:rFonts w:ascii="Times New Roman" w:cs="Times New Roman" w:eastAsia="Times New Roman" w:hAnsi="Times New Roman"/>
          <w:sz w:val="18"/>
          <w:szCs w:val="18"/>
          <w:color w:val="auto"/>
        </w:rPr>
        <w:t>A Ten Percent Stockholder will not be granted an Incentive Stock Option unless the exercise price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is at least 110% of the Fair Market Value on the date of grant and the Option is not exercisable after the expiration of five years from the date of grant.</w:t>
      </w:r>
    </w:p>
    <w:p>
      <w:pPr>
        <w:spacing w:after="0" w:line="31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RELATING TO OPTIONS AND STOCK APPRECIATION RIGHTS.</w:t>
      </w:r>
    </w:p>
    <w:p>
      <w:pPr>
        <w:spacing w:after="0" w:line="121" w:lineRule="exact"/>
        <w:rPr>
          <w:sz w:val="20"/>
          <w:szCs w:val="20"/>
          <w:color w:val="auto"/>
        </w:rPr>
      </w:pPr>
    </w:p>
    <w:p>
      <w:pPr>
        <w:jc w:val="both"/>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4"/>
          </w:cols>
          <w:pgMar w:left="436" w:top="270" w:right="459" w:bottom="1440" w:gutter="0" w:footer="0" w:header="0"/>
        </w:sectPr>
      </w:pPr>
    </w:p>
    <w:bookmarkStart w:id="9" w:name="page10"/>
    <w:bookmarkEnd w:id="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Award Agreement will conform to (through incorporation of provisions hereof by reference in the applicable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otherwise) the substance of each of the following provisions:</w:t>
      </w:r>
    </w:p>
    <w:p>
      <w:pPr>
        <w:spacing w:after="0" w:line="179" w:lineRule="exact"/>
        <w:rPr>
          <w:sz w:val="20"/>
          <w:szCs w:val="20"/>
          <w:color w:val="auto"/>
        </w:rPr>
      </w:pPr>
    </w:p>
    <w:p>
      <w:pPr>
        <w:ind w:right="300" w:firstLine="987"/>
        <w:spacing w:after="0" w:line="286" w:lineRule="auto"/>
        <w:tabs>
          <w:tab w:leader="none" w:pos="124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the provisions of Section 4(b) regarding Ten Percent Stockholders, no Option or SAR will be exercisable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ten years from the date of its grant or such shorter period specified in the Award Agreement.</w:t>
      </w:r>
    </w:p>
    <w:p>
      <w:pPr>
        <w:spacing w:after="0" w:line="154" w:lineRule="exact"/>
        <w:rPr>
          <w:rFonts w:ascii="Times New Roman" w:cs="Times New Roman" w:eastAsia="Times New Roman" w:hAnsi="Times New Roman"/>
          <w:sz w:val="18"/>
          <w:szCs w:val="18"/>
          <w:b w:val="1"/>
          <w:bCs w:val="1"/>
          <w:color w:val="auto"/>
        </w:rPr>
      </w:pPr>
    </w:p>
    <w:p>
      <w:pPr>
        <w:ind w:right="80" w:firstLine="987"/>
        <w:spacing w:after="0" w:line="257" w:lineRule="auto"/>
        <w:tabs>
          <w:tab w:leader="none" w:pos="125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Subject to the provisions of Section 4(b) regarding Ten Percent Stockholders, the exercise or strike price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or 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82" w:lineRule="exact"/>
        <w:rPr>
          <w:rFonts w:ascii="Times New Roman" w:cs="Times New Roman" w:eastAsia="Times New Roman" w:hAnsi="Times New Roman"/>
          <w:sz w:val="18"/>
          <w:szCs w:val="18"/>
          <w:b w:val="1"/>
          <w:bCs w:val="1"/>
          <w:color w:val="auto"/>
        </w:rPr>
      </w:pPr>
    </w:p>
    <w:p>
      <w:pPr>
        <w:ind w:right="40" w:firstLine="987"/>
        <w:spacing w:after="0" w:line="259" w:lineRule="auto"/>
        <w:tabs>
          <w:tab w:leader="none" w:pos="123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Purchase Price for Options. </w:t>
      </w:r>
      <w:r>
        <w:rPr>
          <w:rFonts w:ascii="Times New Roman" w:cs="Times New Roman" w:eastAsia="Times New Roman" w:hAnsi="Times New Roman"/>
          <w:sz w:val="18"/>
          <w:szCs w:val="18"/>
          <w:color w:val="auto"/>
        </w:rPr>
        <w:t>The purchase price of Common Stock acquired pursuant to the exercise of an Option may be paid,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83"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ind w:right="100" w:firstLine="1428"/>
        <w:spacing w:after="0" w:line="266" w:lineRule="auto"/>
        <w:tabs>
          <w:tab w:leader="none" w:pos="1697"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75"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w:t>
      </w:r>
    </w:p>
    <w:p>
      <w:pPr>
        <w:spacing w:after="0" w:line="225" w:lineRule="exact"/>
        <w:rPr>
          <w:rFonts w:ascii="Times New Roman" w:cs="Times New Roman" w:eastAsia="Times New Roman" w:hAnsi="Times New Roman"/>
          <w:sz w:val="18"/>
          <w:szCs w:val="18"/>
          <w:b w:val="1"/>
          <w:bCs w:val="1"/>
          <w:color w:val="auto"/>
        </w:rPr>
      </w:pPr>
    </w:p>
    <w:p>
      <w:pPr>
        <w:ind w:right="180" w:firstLine="1428"/>
        <w:spacing w:after="0" w:line="255" w:lineRule="auto"/>
        <w:tabs>
          <w:tab w:leader="none" w:pos="1737"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88" w:lineRule="exact"/>
        <w:rPr>
          <w:rFonts w:ascii="Times New Roman" w:cs="Times New Roman" w:eastAsia="Times New Roman" w:hAnsi="Times New Roman"/>
          <w:sz w:val="18"/>
          <w:szCs w:val="18"/>
          <w:b w:val="1"/>
          <w:bCs w:val="1"/>
          <w:color w:val="auto"/>
        </w:rPr>
      </w:pPr>
    </w:p>
    <w:p>
      <w:pPr>
        <w:ind w:left="5360" w:right="200" w:hanging="3932"/>
        <w:spacing w:after="0" w:line="454" w:lineRule="auto"/>
        <w:tabs>
          <w:tab w:leader="none" w:pos="1679"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legal consideration that may be acceptable to the Board and specified in the applicable Award Agreement. A-5</w:t>
      </w:r>
    </w:p>
    <w:p>
      <w:pPr>
        <w:sectPr>
          <w:pgSz w:w="11900" w:h="16838" w:orient="portrait"/>
          <w:cols w:equalWidth="0" w:num="1">
            <w:col w:w="11000"/>
          </w:cols>
          <w:pgMar w:left="440" w:top="270" w:right="459" w:bottom="1440" w:gutter="0" w:footer="0" w:header="0"/>
        </w:sectPr>
      </w:pPr>
    </w:p>
    <w:bookmarkStart w:id="10" w:name="page11"/>
    <w:bookmarkEnd w:id="10"/>
    <w:p>
      <w:pPr>
        <w:ind w:right="20" w:firstLine="987"/>
        <w:spacing w:after="0" w:line="255" w:lineRule="auto"/>
        <w:tabs>
          <w:tab w:leader="none" w:pos="125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Exercise and Payment of a SAR. </w:t>
      </w:r>
      <w:r>
        <w:rPr>
          <w:rFonts w:ascii="Times New Roman" w:cs="Times New Roman" w:eastAsia="Times New Roman" w:hAnsi="Times New Roman"/>
          <w:sz w:val="18"/>
          <w:szCs w:val="18"/>
          <w:color w:val="auto"/>
        </w:rPr>
        <w:t>To exercise any outstanding SAR, the Participant must provide written notice of exercise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84" w:lineRule="exact"/>
        <w:rPr>
          <w:rFonts w:ascii="Times New Roman" w:cs="Times New Roman" w:eastAsia="Times New Roman" w:hAnsi="Times New Roman"/>
          <w:sz w:val="18"/>
          <w:szCs w:val="18"/>
          <w:b w:val="1"/>
          <w:bCs w:val="1"/>
          <w:color w:val="auto"/>
        </w:rPr>
      </w:pPr>
    </w:p>
    <w:p>
      <w:pPr>
        <w:ind w:right="60" w:firstLine="987"/>
        <w:spacing w:after="0" w:line="268" w:lineRule="auto"/>
        <w:tabs>
          <w:tab w:leader="none" w:pos="123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of Options and SARs. </w:t>
      </w:r>
      <w:r>
        <w:rPr>
          <w:rFonts w:ascii="Times New Roman" w:cs="Times New Roman" w:eastAsia="Times New Roman" w:hAnsi="Times New Roman"/>
          <w:sz w:val="18"/>
          <w:szCs w:val="18"/>
          <w:color w:val="auto"/>
        </w:rPr>
        <w:t>The Board may, in its sole discretion, impose such limitations on the transferability of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SARs as the Board will determine. In the absence of such a determination by the Board to the contrary, the following restrictions on the transferability of Options and SARs will apply:</w:t>
      </w:r>
    </w:p>
    <w:p>
      <w:pPr>
        <w:spacing w:after="0" w:line="170" w:lineRule="exact"/>
        <w:rPr>
          <w:rFonts w:ascii="Times New Roman" w:cs="Times New Roman" w:eastAsia="Times New Roman" w:hAnsi="Times New Roman"/>
          <w:sz w:val="18"/>
          <w:szCs w:val="18"/>
          <w:b w:val="1"/>
          <w:bCs w:val="1"/>
          <w:color w:val="auto"/>
        </w:rPr>
      </w:pPr>
    </w:p>
    <w:p>
      <w:pPr>
        <w:jc w:val="both"/>
        <w:ind w:right="20" w:firstLine="1428"/>
        <w:spacing w:after="0" w:line="262" w:lineRule="auto"/>
        <w:tabs>
          <w:tab w:leader="none" w:pos="1647"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76" w:lineRule="exact"/>
        <w:rPr>
          <w:rFonts w:ascii="Times New Roman" w:cs="Times New Roman" w:eastAsia="Times New Roman" w:hAnsi="Times New Roman"/>
          <w:sz w:val="18"/>
          <w:szCs w:val="18"/>
          <w:b w:val="1"/>
          <w:bCs w:val="1"/>
          <w:color w:val="auto"/>
        </w:rPr>
      </w:pPr>
    </w:p>
    <w:p>
      <w:pPr>
        <w:ind w:right="200" w:firstLine="1428"/>
        <w:spacing w:after="0" w:line="262" w:lineRule="auto"/>
        <w:tabs>
          <w:tab w:leader="none" w:pos="1697"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Subject to the approval of the Board or a duly authorized Officer, an Option or SAR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76" w:lineRule="exact"/>
        <w:rPr>
          <w:rFonts w:ascii="Times New Roman" w:cs="Times New Roman" w:eastAsia="Times New Roman" w:hAnsi="Times New Roman"/>
          <w:sz w:val="18"/>
          <w:szCs w:val="18"/>
          <w:b w:val="1"/>
          <w:bCs w:val="1"/>
          <w:color w:val="auto"/>
        </w:rPr>
      </w:pPr>
    </w:p>
    <w:p>
      <w:pPr>
        <w:ind w:firstLine="1428"/>
        <w:spacing w:after="0" w:line="256" w:lineRule="auto"/>
        <w:tabs>
          <w:tab w:leader="none" w:pos="1747"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Subject to the approval of the Board or a duly authorized Officer, a Participant may, by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2" w:lineRule="exact"/>
        <w:rPr>
          <w:rFonts w:ascii="Times New Roman" w:cs="Times New Roman" w:eastAsia="Times New Roman" w:hAnsi="Times New Roman"/>
          <w:sz w:val="18"/>
          <w:szCs w:val="18"/>
          <w:b w:val="1"/>
          <w:bCs w:val="1"/>
          <w:color w:val="auto"/>
        </w:rPr>
      </w:pPr>
    </w:p>
    <w:p>
      <w:pPr>
        <w:ind w:right="140" w:firstLine="987"/>
        <w:spacing w:after="0" w:line="259" w:lineRule="auto"/>
        <w:tabs>
          <w:tab w:leader="none" w:pos="121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Generally. </w:t>
      </w:r>
      <w:r>
        <w:rPr>
          <w:rFonts w:ascii="Times New Roman" w:cs="Times New Roman" w:eastAsia="Times New Roman" w:hAnsi="Times New Roman"/>
          <w:sz w:val="18"/>
          <w:szCs w:val="18"/>
          <w:color w:val="auto"/>
        </w:rPr>
        <w:t>The total number of shares of Common Stock subject to an Option or SAR may vest and become exercisable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9" w:lineRule="exact"/>
        <w:rPr>
          <w:rFonts w:ascii="Times New Roman" w:cs="Times New Roman" w:eastAsia="Times New Roman" w:hAnsi="Times New Roman"/>
          <w:sz w:val="18"/>
          <w:szCs w:val="18"/>
          <w:b w:val="1"/>
          <w:bCs w:val="1"/>
          <w:color w:val="auto"/>
        </w:rPr>
      </w:pPr>
    </w:p>
    <w:p>
      <w:pPr>
        <w:ind w:right="40" w:firstLine="987"/>
        <w:spacing w:after="0" w:line="259" w:lineRule="auto"/>
        <w:tabs>
          <w:tab w:leader="none" w:pos="124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applicable Award Agreement or other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that is 90 days following the termination of the Participant’s Continuous Service (or such longer or shorter period specified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0"/>
          </w:cols>
          <w:pgMar w:left="440" w:top="266" w:right="459" w:bottom="1440" w:gutter="0" w:footer="0" w:header="0"/>
        </w:sectPr>
      </w:pPr>
    </w:p>
    <w:bookmarkStart w:id="11" w:name="page12"/>
    <w:bookmarkEnd w:id="11"/>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72" w:lineRule="exact"/>
        <w:rPr>
          <w:sz w:val="20"/>
          <w:szCs w:val="20"/>
          <w:color w:val="auto"/>
        </w:rPr>
      </w:pPr>
    </w:p>
    <w:p>
      <w:pPr>
        <w:ind w:firstLine="987"/>
        <w:spacing w:after="0" w:line="254" w:lineRule="auto"/>
        <w:tabs>
          <w:tab w:leader="none" w:pos="125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Extension of Termination Date. </w:t>
      </w:r>
      <w:r>
        <w:rPr>
          <w:rFonts w:ascii="Times New Roman" w:cs="Times New Roman" w:eastAsia="Times New Roman" w:hAnsi="Times New Roman"/>
          <w:sz w:val="18"/>
          <w:szCs w:val="18"/>
          <w:color w:val="auto"/>
        </w:rPr>
        <w:t>If the exercise of an Option or SAR following the termination of the Participant’s Continuous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82" w:lineRule="exact"/>
        <w:rPr>
          <w:rFonts w:ascii="Times New Roman" w:cs="Times New Roman" w:eastAsia="Times New Roman" w:hAnsi="Times New Roman"/>
          <w:sz w:val="18"/>
          <w:szCs w:val="18"/>
          <w:b w:val="1"/>
          <w:bCs w:val="1"/>
          <w:color w:val="auto"/>
        </w:rPr>
      </w:pPr>
    </w:p>
    <w:p>
      <w:pPr>
        <w:ind w:right="20" w:firstLine="987"/>
        <w:spacing w:after="0" w:line="256" w:lineRule="auto"/>
        <w:tabs>
          <w:tab w:leader="none" w:pos="120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of Participant. </w:t>
      </w:r>
      <w:r>
        <w:rPr>
          <w:rFonts w:ascii="Times New Roman" w:cs="Times New Roman" w:eastAsia="Times New Roman" w:hAnsi="Times New Roman"/>
          <w:sz w:val="18"/>
          <w:szCs w:val="18"/>
          <w:color w:val="auto"/>
        </w:rPr>
        <w:t>Except as otherwise provided in the applicable Award Agreement or other agreement between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2"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1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Death of Participant. </w:t>
      </w:r>
      <w:r>
        <w:rPr>
          <w:rFonts w:ascii="Times New Roman" w:cs="Times New Roman" w:eastAsia="Times New Roman" w:hAnsi="Times New Roman"/>
          <w:sz w:val="18"/>
          <w:szCs w:val="18"/>
          <w:color w:val="auto"/>
        </w:rPr>
        <w:t>Except as otherwise provided in the applicable Award Agreement or other agreement between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188" w:lineRule="exact"/>
        <w:rPr>
          <w:rFonts w:ascii="Times New Roman" w:cs="Times New Roman" w:eastAsia="Times New Roman" w:hAnsi="Times New Roman"/>
          <w:sz w:val="18"/>
          <w:szCs w:val="18"/>
          <w:b w:val="1"/>
          <w:bCs w:val="1"/>
          <w:color w:val="auto"/>
        </w:rPr>
      </w:pPr>
    </w:p>
    <w:p>
      <w:pPr>
        <w:ind w:right="80" w:firstLine="987"/>
        <w:spacing w:after="0" w:line="262" w:lineRule="auto"/>
        <w:tabs>
          <w:tab w:leader="none" w:pos="125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Except as explicitly provided otherwise in a Participant’s Award Agreement or other individual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176" w:lineRule="exact"/>
        <w:rPr>
          <w:rFonts w:ascii="Times New Roman" w:cs="Times New Roman" w:eastAsia="Times New Roman" w:hAnsi="Times New Roman"/>
          <w:sz w:val="18"/>
          <w:szCs w:val="18"/>
          <w:b w:val="1"/>
          <w:bCs w:val="1"/>
          <w:color w:val="auto"/>
        </w:rPr>
      </w:pPr>
    </w:p>
    <w:p>
      <w:pPr>
        <w:ind w:right="380" w:firstLine="987"/>
        <w:spacing w:after="0" w:line="262" w:lineRule="auto"/>
        <w:tabs>
          <w:tab w:leader="none" w:pos="120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If an Option or SAR is granted to an Employee who is a non-exempt employee for purposes of the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Labor 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20"/>
          </w:cols>
          <w:pgMar w:left="440" w:top="270" w:right="439" w:bottom="1440" w:gutter="0" w:footer="0" w:header="0"/>
        </w:sectPr>
      </w:pPr>
    </w:p>
    <w:bookmarkStart w:id="12" w:name="page13"/>
    <w:bookmarkEnd w:id="12"/>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333"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OF STOCK AWARDS OTHER THAN OPTIONS AND SARS.</w:t>
      </w:r>
    </w:p>
    <w:p>
      <w:pPr>
        <w:spacing w:after="0" w:line="117" w:lineRule="exact"/>
        <w:rPr>
          <w:rFonts w:ascii="Times New Roman" w:cs="Times New Roman" w:eastAsia="Times New Roman" w:hAnsi="Times New Roman"/>
          <w:sz w:val="18"/>
          <w:szCs w:val="18"/>
          <w:b w:val="1"/>
          <w:bCs w:val="1"/>
          <w:color w:val="auto"/>
        </w:rPr>
      </w:pPr>
    </w:p>
    <w:p>
      <w:pPr>
        <w:ind w:left="4" w:firstLine="987"/>
        <w:spacing w:after="0" w:line="256" w:lineRule="auto"/>
        <w:tabs>
          <w:tab w:leader="none" w:pos="125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Each Restricted Stock Award Agreement will be in such form and will contain such terms and conditions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82" w:lineRule="exact"/>
        <w:rPr>
          <w:rFonts w:ascii="Times New Roman" w:cs="Times New Roman" w:eastAsia="Times New Roman" w:hAnsi="Times New Roman"/>
          <w:sz w:val="18"/>
          <w:szCs w:val="18"/>
          <w:b w:val="1"/>
          <w:bCs w:val="1"/>
          <w:color w:val="auto"/>
        </w:rPr>
      </w:pPr>
    </w:p>
    <w:p>
      <w:pPr>
        <w:ind w:left="4" w:right="120" w:firstLine="1428"/>
        <w:spacing w:after="0" w:line="268" w:lineRule="auto"/>
        <w:tabs>
          <w:tab w:leader="none" w:pos="1651"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 Restricted Stock Award may be awarded in consideration for (A) cash, check, bank draft or money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to the Company, (B) past or future services to the Company or an Affiliate, or (C) any other form of legal consideration that may be acceptable to the Board, in its sole discretion, and permissible under applicable law.</w:t>
      </w:r>
    </w:p>
    <w:p>
      <w:pPr>
        <w:spacing w:after="0" w:line="170" w:lineRule="exact"/>
        <w:rPr>
          <w:rFonts w:ascii="Times New Roman" w:cs="Times New Roman" w:eastAsia="Times New Roman" w:hAnsi="Times New Roman"/>
          <w:sz w:val="18"/>
          <w:szCs w:val="18"/>
          <w:b w:val="1"/>
          <w:bCs w:val="1"/>
          <w:color w:val="auto"/>
        </w:rPr>
      </w:pPr>
    </w:p>
    <w:p>
      <w:pPr>
        <w:ind w:left="4" w:right="360" w:firstLine="1428"/>
        <w:spacing w:after="0" w:line="286" w:lineRule="auto"/>
        <w:tabs>
          <w:tab w:leader="none" w:pos="1701"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Shares of Common Stock awarded under the Restricted Stock Award Agreement may be subject to forfeiture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accordance with a vesting schedule to be determined by the Board.</w:t>
      </w:r>
    </w:p>
    <w:p>
      <w:pPr>
        <w:spacing w:after="0" w:line="154" w:lineRule="exact"/>
        <w:rPr>
          <w:rFonts w:ascii="Times New Roman" w:cs="Times New Roman" w:eastAsia="Times New Roman" w:hAnsi="Times New Roman"/>
          <w:sz w:val="18"/>
          <w:szCs w:val="18"/>
          <w:b w:val="1"/>
          <w:bCs w:val="1"/>
          <w:color w:val="auto"/>
        </w:rPr>
      </w:pPr>
    </w:p>
    <w:p>
      <w:pPr>
        <w:ind w:left="4" w:right="20" w:firstLine="1428"/>
        <w:spacing w:after="0" w:line="268" w:lineRule="auto"/>
        <w:tabs>
          <w:tab w:leader="none" w:pos="1751"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If a Participant’s Continuous Service terminates, the Company may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70" w:lineRule="exact"/>
        <w:rPr>
          <w:rFonts w:ascii="Times New Roman" w:cs="Times New Roman" w:eastAsia="Times New Roman" w:hAnsi="Times New Roman"/>
          <w:sz w:val="18"/>
          <w:szCs w:val="18"/>
          <w:b w:val="1"/>
          <w:bCs w:val="1"/>
          <w:color w:val="auto"/>
        </w:rPr>
      </w:pPr>
    </w:p>
    <w:p>
      <w:pPr>
        <w:ind w:left="4" w:right="80" w:firstLine="1428"/>
        <w:spacing w:after="0" w:line="262" w:lineRule="auto"/>
        <w:tabs>
          <w:tab w:leader="none" w:pos="1741"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Rights to acquire shares of Common Stock under the Restricted Stock Award Agreement will be transferable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76" w:lineRule="exact"/>
        <w:rPr>
          <w:rFonts w:ascii="Times New Roman" w:cs="Times New Roman" w:eastAsia="Times New Roman" w:hAnsi="Times New Roman"/>
          <w:sz w:val="18"/>
          <w:szCs w:val="18"/>
          <w:b w:val="1"/>
          <w:bCs w:val="1"/>
          <w:color w:val="auto"/>
        </w:rPr>
      </w:pPr>
    </w:p>
    <w:p>
      <w:pPr>
        <w:ind w:left="4" w:right="80" w:firstLine="1428"/>
        <w:spacing w:after="0" w:line="286" w:lineRule="auto"/>
        <w:tabs>
          <w:tab w:leader="none" w:pos="1691"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A Restricted Stock Award Agreement may provide that any dividends paid on Restricted Stock will be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vesting and forfeiture restrictions as apply to the shares subject to the Restricted Stock Award to which they relate.</w:t>
      </w:r>
    </w:p>
    <w:p>
      <w:pPr>
        <w:spacing w:after="0" w:line="154" w:lineRule="exact"/>
        <w:rPr>
          <w:rFonts w:ascii="Times New Roman" w:cs="Times New Roman" w:eastAsia="Times New Roman" w:hAnsi="Times New Roman"/>
          <w:sz w:val="18"/>
          <w:szCs w:val="18"/>
          <w:b w:val="1"/>
          <w:bCs w:val="1"/>
          <w:color w:val="auto"/>
        </w:rPr>
      </w:pPr>
    </w:p>
    <w:p>
      <w:pPr>
        <w:jc w:val="both"/>
        <w:ind w:left="4" w:right="240" w:firstLine="987"/>
        <w:spacing w:after="0" w:line="268" w:lineRule="auto"/>
        <w:tabs>
          <w:tab w:leader="none" w:pos="126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Unit Awards. </w:t>
      </w:r>
      <w:r>
        <w:rPr>
          <w:rFonts w:ascii="Times New Roman" w:cs="Times New Roman" w:eastAsia="Times New Roman" w:hAnsi="Times New Roman"/>
          <w:sz w:val="18"/>
          <w:szCs w:val="18"/>
          <w:color w:val="auto"/>
        </w:rPr>
        <w:t>Each Restricted Stock Unit Award Agreement will be in such form and will contain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as the Board will deem appropriate. The terms and conditions of Restricted Stock Unit Award Agreements may change from time to time, and the terms and conditions of separate</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4"/>
          </w:cols>
          <w:pgMar w:left="436" w:top="270" w:right="459" w:bottom="1440" w:gutter="0" w:footer="0" w:header="0"/>
        </w:sectPr>
      </w:pPr>
    </w:p>
    <w:bookmarkStart w:id="13" w:name="page14"/>
    <w:bookmarkEnd w:id="13"/>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58" w:lineRule="exact"/>
        <w:rPr>
          <w:sz w:val="20"/>
          <w:szCs w:val="20"/>
          <w:color w:val="auto"/>
        </w:rPr>
      </w:pPr>
    </w:p>
    <w:p>
      <w:pPr>
        <w:ind w:right="60" w:firstLine="1428"/>
        <w:spacing w:after="0" w:line="262" w:lineRule="auto"/>
        <w:tabs>
          <w:tab w:leader="none" w:pos="1647"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At the time of grant of a Restricted Stock Unit Award, the Board will determine the consideration, if any,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6" w:lineRule="exact"/>
        <w:rPr>
          <w:rFonts w:ascii="Times New Roman" w:cs="Times New Roman" w:eastAsia="Times New Roman" w:hAnsi="Times New Roman"/>
          <w:sz w:val="18"/>
          <w:szCs w:val="18"/>
          <w:b w:val="1"/>
          <w:bCs w:val="1"/>
          <w:color w:val="auto"/>
        </w:rPr>
      </w:pPr>
    </w:p>
    <w:p>
      <w:pPr>
        <w:ind w:right="220" w:firstLine="1428"/>
        <w:spacing w:after="0" w:line="286" w:lineRule="auto"/>
        <w:tabs>
          <w:tab w:leader="none" w:pos="1697"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At the time of the grant of a Restricted Stock Unit Award, the Board may impose such restrictions on or conditions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vesting of the Restricted Stock Unit Award as it, in its sole discretion, deems appropriate.</w:t>
      </w:r>
    </w:p>
    <w:p>
      <w:pPr>
        <w:spacing w:after="0" w:line="154" w:lineRule="exact"/>
        <w:rPr>
          <w:rFonts w:ascii="Times New Roman" w:cs="Times New Roman" w:eastAsia="Times New Roman" w:hAnsi="Times New Roman"/>
          <w:sz w:val="18"/>
          <w:szCs w:val="18"/>
          <w:b w:val="1"/>
          <w:bCs w:val="1"/>
          <w:color w:val="auto"/>
        </w:rPr>
      </w:pPr>
    </w:p>
    <w:p>
      <w:pPr>
        <w:ind w:right="80" w:firstLine="1428"/>
        <w:spacing w:after="0" w:line="317" w:lineRule="auto"/>
        <w:tabs>
          <w:tab w:leader="none" w:pos="1747" w:val="left"/>
        </w:tabs>
        <w:numPr>
          <w:ilvl w:val="1"/>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w:t>
      </w:r>
      <w:r>
        <w:rPr>
          <w:rFonts w:ascii="Times New Roman" w:cs="Times New Roman" w:eastAsia="Times New Roman" w:hAnsi="Times New Roman"/>
          <w:sz w:val="17"/>
          <w:szCs w:val="17"/>
          <w:color w:val="auto"/>
        </w:rPr>
        <w:t>. A Restricted Stock Unit Award may be settled by the delivery of shares of Common Stock, their cash equivalent,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combination thereof or in any other form of consideration, as determined by the Board and contained in the Restricted Stock Unit Award Agreement.</w:t>
      </w:r>
    </w:p>
    <w:p>
      <w:pPr>
        <w:spacing w:after="0" w:line="131" w:lineRule="exact"/>
        <w:rPr>
          <w:rFonts w:ascii="Times New Roman" w:cs="Times New Roman" w:eastAsia="Times New Roman" w:hAnsi="Times New Roman"/>
          <w:sz w:val="17"/>
          <w:szCs w:val="17"/>
          <w:b w:val="1"/>
          <w:bCs w:val="1"/>
          <w:color w:val="auto"/>
        </w:rPr>
      </w:pPr>
    </w:p>
    <w:p>
      <w:pPr>
        <w:ind w:right="20" w:firstLine="1428"/>
        <w:spacing w:after="0" w:line="268" w:lineRule="auto"/>
        <w:tabs>
          <w:tab w:leader="none" w:pos="1737"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Restrictions. </w:t>
      </w:r>
      <w:r>
        <w:rPr>
          <w:rFonts w:ascii="Times New Roman" w:cs="Times New Roman" w:eastAsia="Times New Roman" w:hAnsi="Times New Roman"/>
          <w:sz w:val="18"/>
          <w:szCs w:val="18"/>
          <w:color w:val="auto"/>
        </w:rPr>
        <w:t>At the time of the grant of a Restricted Stock Unit Award, the Board, as it deems appropriate,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impose such restrictions or conditions that delay the delivery of the shares of Common Stock (or their cash equivalent) subject to a Restricted Stock Unit Award to a time after the vesting of such Restricted Stock Unit Award.</w:t>
      </w:r>
    </w:p>
    <w:p>
      <w:pPr>
        <w:spacing w:after="0" w:line="170" w:lineRule="exact"/>
        <w:rPr>
          <w:rFonts w:ascii="Times New Roman" w:cs="Times New Roman" w:eastAsia="Times New Roman" w:hAnsi="Times New Roman"/>
          <w:sz w:val="18"/>
          <w:szCs w:val="18"/>
          <w:b w:val="1"/>
          <w:bCs w:val="1"/>
          <w:color w:val="auto"/>
        </w:rPr>
      </w:pPr>
    </w:p>
    <w:p>
      <w:pPr>
        <w:ind w:right="220" w:firstLine="1428"/>
        <w:spacing w:after="0" w:line="259" w:lineRule="auto"/>
        <w:tabs>
          <w:tab w:leader="none" w:pos="1687"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 Equivalents. </w:t>
      </w:r>
      <w:r>
        <w:rPr>
          <w:rFonts w:ascii="Times New Roman" w:cs="Times New Roman" w:eastAsia="Times New Roman" w:hAnsi="Times New Roman"/>
          <w:sz w:val="18"/>
          <w:szCs w:val="18"/>
          <w:color w:val="auto"/>
        </w:rPr>
        <w:t>Dividend equivalents may be credited in respect of shares of Common Stock covered by a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79" w:lineRule="exact"/>
        <w:rPr>
          <w:rFonts w:ascii="Times New Roman" w:cs="Times New Roman" w:eastAsia="Times New Roman" w:hAnsi="Times New Roman"/>
          <w:sz w:val="18"/>
          <w:szCs w:val="18"/>
          <w:b w:val="1"/>
          <w:bCs w:val="1"/>
          <w:color w:val="auto"/>
        </w:rPr>
      </w:pPr>
    </w:p>
    <w:p>
      <w:pPr>
        <w:ind w:firstLine="1428"/>
        <w:spacing w:after="0" w:line="268" w:lineRule="auto"/>
        <w:tabs>
          <w:tab w:leader="none" w:pos="1737"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Except as otherwise provided in the applicable Restricted Stock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such portion of the Restricted Stock Unit Award that has not vested will be forfeited upon the Participant’s termination of Continuous Service.</w:t>
      </w:r>
    </w:p>
    <w:p>
      <w:pPr>
        <w:spacing w:after="0" w:line="278"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right="40" w:firstLine="1428"/>
        <w:spacing w:after="0" w:line="257" w:lineRule="auto"/>
        <w:tabs>
          <w:tab w:leader="none" w:pos="1647"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Stock Awards</w:t>
      </w:r>
      <w:r>
        <w:rPr>
          <w:rFonts w:ascii="Times New Roman" w:cs="Times New Roman" w:eastAsia="Times New Roman" w:hAnsi="Times New Roman"/>
          <w:sz w:val="18"/>
          <w:szCs w:val="18"/>
          <w:color w:val="auto"/>
        </w:rPr>
        <w:t>. A Performance Stock Award is a Stock Award that is payable (including that may be granted,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Committee, as the case may be) may determine that cash may be used in payment of Performance Stock Awards.</w:t>
      </w:r>
    </w:p>
    <w:p>
      <w:pPr>
        <w:spacing w:after="0" w:line="182" w:lineRule="exact"/>
        <w:rPr>
          <w:rFonts w:ascii="Times New Roman" w:cs="Times New Roman" w:eastAsia="Times New Roman" w:hAnsi="Times New Roman"/>
          <w:sz w:val="18"/>
          <w:szCs w:val="18"/>
          <w:b w:val="1"/>
          <w:bCs w:val="1"/>
          <w:color w:val="auto"/>
        </w:rPr>
      </w:pPr>
    </w:p>
    <w:p>
      <w:pPr>
        <w:ind w:right="20" w:firstLine="1428"/>
        <w:spacing w:after="0" w:line="262" w:lineRule="auto"/>
        <w:tabs>
          <w:tab w:leader="none" w:pos="1697"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Cash Awards</w:t>
      </w:r>
      <w:r>
        <w:rPr>
          <w:rFonts w:ascii="Times New Roman" w:cs="Times New Roman" w:eastAsia="Times New Roman" w:hAnsi="Times New Roman"/>
          <w:sz w:val="18"/>
          <w:szCs w:val="18"/>
          <w:color w:val="auto"/>
        </w:rPr>
        <w:t>. A Performance Cash Award is a cash award that is payable contingent upon the attainment during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20"/>
          </w:cols>
          <w:pgMar w:left="440" w:top="270" w:right="439" w:bottom="1440" w:gutter="0" w:footer="0" w:header="0"/>
        </w:sectPr>
      </w:pPr>
    </w:p>
    <w:bookmarkStart w:id="14" w:name="page15"/>
    <w:bookmarkEnd w:id="14"/>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attained will be conclusively determined by the Board or Committee, in its sole discretion. The Board (or Committee, as the case may be) may specify the form of payment of Performance Cash Awards, which may be cash or other property, or may provide for a Participant to have the option for his or her Performance Cash Award, or such portion thereof as the Board (or Committee, as the case may be) may specify, to be paid in whole or in part in cash or other property.</w:t>
      </w:r>
    </w:p>
    <w:p>
      <w:pPr>
        <w:spacing w:after="0" w:line="176" w:lineRule="exact"/>
        <w:rPr>
          <w:sz w:val="20"/>
          <w:szCs w:val="20"/>
          <w:color w:val="auto"/>
        </w:rPr>
      </w:pPr>
    </w:p>
    <w:p>
      <w:pPr>
        <w:ind w:left="4" w:right="100" w:firstLine="1428"/>
        <w:spacing w:after="0" w:line="262" w:lineRule="auto"/>
        <w:tabs>
          <w:tab w:leader="none" w:pos="1751"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Discretion</w:t>
      </w:r>
      <w:r>
        <w:rPr>
          <w:rFonts w:ascii="Times New Roman" w:cs="Times New Roman" w:eastAsia="Times New Roman" w:hAnsi="Times New Roman"/>
          <w:sz w:val="18"/>
          <w:szCs w:val="18"/>
          <w:color w:val="auto"/>
        </w:rPr>
        <w:t>. The Board (or Committee, as the case may be) retains the discretion to adjust or eliminate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176" w:lineRule="exact"/>
        <w:rPr>
          <w:rFonts w:ascii="Times New Roman" w:cs="Times New Roman" w:eastAsia="Times New Roman" w:hAnsi="Times New Roman"/>
          <w:sz w:val="18"/>
          <w:szCs w:val="18"/>
          <w:b w:val="1"/>
          <w:bCs w:val="1"/>
          <w:color w:val="auto"/>
        </w:rPr>
      </w:pPr>
    </w:p>
    <w:p>
      <w:pPr>
        <w:ind w:left="4" w:right="20" w:firstLine="987"/>
        <w:spacing w:after="0" w:line="257" w:lineRule="auto"/>
        <w:tabs>
          <w:tab w:leader="none" w:pos="126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Stock Awards</w:t>
      </w:r>
      <w:r>
        <w:rPr>
          <w:rFonts w:ascii="Times New Roman" w:cs="Times New Roman" w:eastAsia="Times New Roman" w:hAnsi="Times New Roman"/>
          <w:sz w:val="18"/>
          <w:szCs w:val="18"/>
          <w:color w:val="auto"/>
        </w:rPr>
        <w:t>. Other forms of Stock Awards valued in whole or in part by reference to, or otherwise based on,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33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COMPANY.</w:t>
      </w:r>
    </w:p>
    <w:p>
      <w:pPr>
        <w:spacing w:after="0" w:line="117" w:lineRule="exact"/>
        <w:rPr>
          <w:rFonts w:ascii="Times New Roman" w:cs="Times New Roman" w:eastAsia="Times New Roman" w:hAnsi="Times New Roman"/>
          <w:sz w:val="18"/>
          <w:szCs w:val="18"/>
          <w:b w:val="1"/>
          <w:bCs w:val="1"/>
          <w:color w:val="auto"/>
        </w:rPr>
      </w:pPr>
    </w:p>
    <w:p>
      <w:pPr>
        <w:ind w:left="4" w:right="220" w:firstLine="987"/>
        <w:spacing w:after="0" w:line="286" w:lineRule="auto"/>
        <w:tabs>
          <w:tab w:leader="none" w:pos="125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Availability of Shares. </w:t>
      </w:r>
      <w:r>
        <w:rPr>
          <w:rFonts w:ascii="Times New Roman" w:cs="Times New Roman" w:eastAsia="Times New Roman" w:hAnsi="Times New Roman"/>
          <w:sz w:val="18"/>
          <w:szCs w:val="18"/>
          <w:color w:val="auto"/>
        </w:rPr>
        <w:t>The Company will keep available at all times the number of shares of Common Stock reasonably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then-outstanding Awards.</w:t>
      </w:r>
    </w:p>
    <w:p>
      <w:pPr>
        <w:spacing w:after="0" w:line="154" w:lineRule="exact"/>
        <w:rPr>
          <w:rFonts w:ascii="Times New Roman" w:cs="Times New Roman" w:eastAsia="Times New Roman" w:hAnsi="Times New Roman"/>
          <w:sz w:val="18"/>
          <w:szCs w:val="18"/>
          <w:b w:val="1"/>
          <w:bCs w:val="1"/>
          <w:color w:val="auto"/>
        </w:rPr>
      </w:pPr>
    </w:p>
    <w:p>
      <w:pPr>
        <w:ind w:left="4" w:right="40" w:firstLine="987"/>
        <w:spacing w:after="0" w:line="254" w:lineRule="auto"/>
        <w:tabs>
          <w:tab w:leader="none" w:pos="126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The Company will seek to obtain from each regulatory commission or agency, as necessary,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authority as may be required to grant Stock Awards and to issue and sell shares of Common Stock upon exercise or vesting of the Stock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will not require the Company to register under the Securities Act or other securities or applicable laws,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an Award or the subsequent issuance of cash or Common Stock pursuant to the Award if such grant or issuance would be in violation of any applicable law.</w:t>
      </w:r>
    </w:p>
    <w:p>
      <w:pPr>
        <w:spacing w:after="0" w:line="188" w:lineRule="exact"/>
        <w:rPr>
          <w:rFonts w:ascii="Times New Roman" w:cs="Times New Roman" w:eastAsia="Times New Roman" w:hAnsi="Times New Roman"/>
          <w:sz w:val="18"/>
          <w:szCs w:val="18"/>
          <w:b w:val="1"/>
          <w:bCs w:val="1"/>
          <w:color w:val="auto"/>
        </w:rPr>
      </w:pPr>
    </w:p>
    <w:p>
      <w:pPr>
        <w:ind w:left="4" w:right="60" w:firstLine="987"/>
        <w:spacing w:after="0" w:line="262" w:lineRule="auto"/>
        <w:tabs>
          <w:tab w:leader="none" w:pos="12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w:t>
      </w:r>
      <w:r>
        <w:rPr>
          <w:rFonts w:ascii="Times New Roman" w:cs="Times New Roman" w:eastAsia="Times New Roman" w:hAnsi="Times New Roman"/>
          <w:sz w:val="18"/>
          <w:szCs w:val="18"/>
          <w:color w:val="auto"/>
        </w:rPr>
        <w:t>The Company will have no duty or obligation to any Participant to advise such holder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tax treatment or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17" w:lineRule="exact"/>
        <w:rPr>
          <w:rFonts w:ascii="Times New Roman" w:cs="Times New Roman" w:eastAsia="Times New Roman" w:hAnsi="Times New Roman"/>
          <w:sz w:val="18"/>
          <w:szCs w:val="18"/>
          <w:b w:val="1"/>
          <w:bCs w:val="1"/>
          <w:color w:val="auto"/>
        </w:rPr>
      </w:pPr>
    </w:p>
    <w:p>
      <w:pPr>
        <w:ind w:left="4" w:right="760" w:firstLine="987"/>
        <w:spacing w:after="0" w:line="286" w:lineRule="auto"/>
        <w:tabs>
          <w:tab w:leader="none" w:pos="125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general funds of the Company.</w:t>
      </w:r>
    </w:p>
    <w:p>
      <w:pPr>
        <w:spacing w:after="0" w:line="154" w:lineRule="exact"/>
        <w:rPr>
          <w:rFonts w:ascii="Times New Roman" w:cs="Times New Roman" w:eastAsia="Times New Roman" w:hAnsi="Times New Roman"/>
          <w:sz w:val="18"/>
          <w:szCs w:val="18"/>
          <w:b w:val="1"/>
          <w:bCs w:val="1"/>
          <w:color w:val="auto"/>
        </w:rPr>
      </w:pPr>
    </w:p>
    <w:p>
      <w:pPr>
        <w:jc w:val="both"/>
        <w:ind w:left="4" w:right="680" w:firstLine="987"/>
        <w:spacing w:after="0" w:line="268" w:lineRule="auto"/>
        <w:tabs>
          <w:tab w:leader="none" w:pos="126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will be deemed completed as of the date of such corporate action, unless otherwise determined by the Board, regardless of when the instrument, certificate, or letter evidencing the</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24"/>
          </w:cols>
          <w:pgMar w:left="436" w:top="270" w:right="439" w:bottom="1440" w:gutter="0" w:footer="0" w:header="0"/>
        </w:sectPr>
      </w:pPr>
    </w:p>
    <w:bookmarkStart w:id="15" w:name="page16"/>
    <w:bookmarkEnd w:id="15"/>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79" w:lineRule="exact"/>
        <w:rPr>
          <w:sz w:val="20"/>
          <w:szCs w:val="20"/>
          <w:color w:val="auto"/>
        </w:rPr>
      </w:pPr>
    </w:p>
    <w:p>
      <w:pPr>
        <w:ind w:right="60" w:firstLine="987"/>
        <w:spacing w:after="0" w:line="262" w:lineRule="auto"/>
        <w:tabs>
          <w:tab w:leader="none" w:pos="123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176" w:lineRule="exact"/>
        <w:rPr>
          <w:rFonts w:ascii="Times New Roman" w:cs="Times New Roman" w:eastAsia="Times New Roman" w:hAnsi="Times New Roman"/>
          <w:sz w:val="18"/>
          <w:szCs w:val="18"/>
          <w:b w:val="1"/>
          <w:bCs w:val="1"/>
          <w:color w:val="auto"/>
        </w:rPr>
      </w:pPr>
    </w:p>
    <w:p>
      <w:pPr>
        <w:ind w:firstLine="987"/>
        <w:spacing w:after="0" w:line="257" w:lineRule="auto"/>
        <w:tabs>
          <w:tab w:leader="none" w:pos="125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spacing w:after="0" w:line="182"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3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ind w:right="80" w:firstLine="987"/>
        <w:spacing w:after="0" w:line="278" w:lineRule="auto"/>
        <w:tabs>
          <w:tab w:leader="none" w:pos="1216"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Incentive Stock Option Limitations. </w:t>
      </w:r>
      <w:r>
        <w:rPr>
          <w:rFonts w:ascii="Times New Roman" w:cs="Times New Roman" w:eastAsia="Times New Roman" w:hAnsi="Times New Roman"/>
          <w:sz w:val="17"/>
          <w:szCs w:val="17"/>
          <w:color w:val="auto"/>
        </w:rPr>
        <w:t>To the extent that the aggregate Fair Market Value (determined at the time of grant) of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63" w:lineRule="exact"/>
        <w:rPr>
          <w:rFonts w:ascii="Times New Roman" w:cs="Times New Roman" w:eastAsia="Times New Roman" w:hAnsi="Times New Roman"/>
          <w:sz w:val="17"/>
          <w:szCs w:val="17"/>
          <w:b w:val="1"/>
          <w:bCs w:val="1"/>
          <w:color w:val="auto"/>
        </w:rPr>
      </w:pPr>
    </w:p>
    <w:p>
      <w:pPr>
        <w:ind w:right="100" w:firstLine="987"/>
        <w:spacing w:after="0" w:line="254" w:lineRule="auto"/>
        <w:tabs>
          <w:tab w:leader="none" w:pos="124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Assurances. </w:t>
      </w:r>
      <w:r>
        <w:rPr>
          <w:rFonts w:ascii="Times New Roman" w:cs="Times New Roman" w:eastAsia="Times New Roman" w:hAnsi="Times New Roman"/>
          <w:sz w:val="18"/>
          <w:szCs w:val="18"/>
          <w:color w:val="auto"/>
        </w:rPr>
        <w:t>The Company may require a Participant, as a condition of exercising or acquiring Common Stock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00"/>
          </w:cols>
          <w:pgMar w:left="440" w:top="270" w:right="459" w:bottom="1440" w:gutter="0" w:footer="0" w:header="0"/>
        </w:sectPr>
      </w:pPr>
    </w:p>
    <w:bookmarkStart w:id="16" w:name="page17"/>
    <w:bookmarkEnd w:id="16"/>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72" w:lineRule="exact"/>
        <w:rPr>
          <w:sz w:val="20"/>
          <w:szCs w:val="20"/>
          <w:color w:val="auto"/>
        </w:rPr>
      </w:pPr>
    </w:p>
    <w:p>
      <w:pPr>
        <w:ind w:firstLine="987"/>
        <w:spacing w:after="0" w:line="255" w:lineRule="auto"/>
        <w:tabs>
          <w:tab w:leader="none" w:pos="125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Obligations. </w:t>
      </w:r>
      <w:r>
        <w:rPr>
          <w:rFonts w:ascii="Times New Roman" w:cs="Times New Roman" w:eastAsia="Times New Roman" w:hAnsi="Times New Roman"/>
          <w:sz w:val="18"/>
          <w:szCs w:val="18"/>
          <w:color w:val="auto"/>
        </w:rPr>
        <w:t>The Company may, in its sole discretion, satisfy any Tax-Related Items withholding obligation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Award by any of the following means or by a combination of such means: (i) causing the Participant to tender a cash payment; (ii) withholding shares of Common Stock from the shares of Common Stock issued or otherwise issuable to the Participant in connection with the Award (provided that for tax purposes, the Participant will be deemed to have been issued the full number of shares subject to the Award, notwithstanding that a number of the shares is held back solely for the purpose of paying the Tax-Related Items); (iii) withholding cash from an Award settled in cash; (iv) withholding payment from any amounts otherwise payable to the Participant; or (v) by such other method as may be set forth in the Award Agreement. The Company and/or its Affiliate may withhold or account for Tax-Related Items by considering statutory or other withholding rates, including minimum or maximum rates applicable in a Participant’s jurisdiction.</w:t>
      </w:r>
    </w:p>
    <w:p>
      <w:pPr>
        <w:spacing w:after="0" w:line="184" w:lineRule="exact"/>
        <w:rPr>
          <w:rFonts w:ascii="Times New Roman" w:cs="Times New Roman" w:eastAsia="Times New Roman" w:hAnsi="Times New Roman"/>
          <w:sz w:val="18"/>
          <w:szCs w:val="18"/>
          <w:b w:val="1"/>
          <w:bCs w:val="1"/>
          <w:color w:val="auto"/>
        </w:rPr>
      </w:pPr>
    </w:p>
    <w:p>
      <w:pPr>
        <w:ind w:right="60" w:firstLine="987"/>
        <w:spacing w:after="0" w:line="268" w:lineRule="auto"/>
        <w:tabs>
          <w:tab w:leader="none" w:pos="120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Any reference herein to a “written” agreement or document will include any agreement or document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170" w:lineRule="exact"/>
        <w:rPr>
          <w:rFonts w:ascii="Times New Roman" w:cs="Times New Roman" w:eastAsia="Times New Roman" w:hAnsi="Times New Roman"/>
          <w:sz w:val="18"/>
          <w:szCs w:val="18"/>
          <w:b w:val="1"/>
          <w:bCs w:val="1"/>
          <w:color w:val="auto"/>
        </w:rPr>
      </w:pPr>
    </w:p>
    <w:p>
      <w:pPr>
        <w:ind w:right="80" w:firstLine="987"/>
        <w:spacing w:after="0" w:line="256" w:lineRule="auto"/>
        <w:tabs>
          <w:tab w:leader="none" w:pos="121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82" w:lineRule="exact"/>
        <w:rPr>
          <w:rFonts w:ascii="Times New Roman" w:cs="Times New Roman" w:eastAsia="Times New Roman" w:hAnsi="Times New Roman"/>
          <w:sz w:val="18"/>
          <w:szCs w:val="18"/>
          <w:b w:val="1"/>
          <w:bCs w:val="1"/>
          <w:color w:val="auto"/>
        </w:rPr>
      </w:pPr>
    </w:p>
    <w:p>
      <w:pPr>
        <w:ind w:firstLine="987"/>
        <w:spacing w:after="0" w:line="253" w:lineRule="auto"/>
        <w:tabs>
          <w:tab w:leader="none" w:pos="125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Section 409A of the Code. </w:t>
      </w:r>
      <w:r>
        <w:rPr>
          <w:rFonts w:ascii="Times New Roman" w:cs="Times New Roman" w:eastAsia="Times New Roman" w:hAnsi="Times New Roman"/>
          <w:sz w:val="18"/>
          <w:szCs w:val="18"/>
          <w:color w:val="auto"/>
        </w:rPr>
        <w:t>Unless otherwise expressly provided for in an Award Agreement, the Plan and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87" w:lineRule="exact"/>
        <w:rPr>
          <w:rFonts w:ascii="Times New Roman" w:cs="Times New Roman" w:eastAsia="Times New Roman" w:hAnsi="Times New Roman"/>
          <w:sz w:val="18"/>
          <w:szCs w:val="18"/>
          <w:b w:val="1"/>
          <w:bCs w:val="1"/>
          <w:color w:val="auto"/>
        </w:rPr>
      </w:pPr>
    </w:p>
    <w:p>
      <w:pPr>
        <w:ind w:firstLine="987"/>
        <w:spacing w:after="0" w:line="268" w:lineRule="auto"/>
        <w:tabs>
          <w:tab w:leader="none" w:pos="120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000"/>
          </w:cols>
          <w:pgMar w:left="440" w:top="270" w:right="459" w:bottom="1440" w:gutter="0" w:footer="0" w:header="0"/>
        </w:sectPr>
      </w:pPr>
    </w:p>
    <w:bookmarkStart w:id="17" w:name="page18"/>
    <w:bookmarkEnd w:id="17"/>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324"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CHANGES IN COMMON STOCK; OTHER CORPORATE EVENTS.</w:t>
      </w:r>
    </w:p>
    <w:p>
      <w:pPr>
        <w:spacing w:after="0" w:line="117" w:lineRule="exact"/>
        <w:rPr>
          <w:sz w:val="20"/>
          <w:szCs w:val="20"/>
          <w:color w:val="auto"/>
        </w:rPr>
      </w:pPr>
    </w:p>
    <w:p>
      <w:pPr>
        <w:ind w:left="1244" w:hanging="253"/>
        <w:spacing w:after="0"/>
        <w:tabs>
          <w:tab w:leader="none" w:pos="1244"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will appropriately and proportionately adjust:</w:t>
      </w:r>
    </w:p>
    <w:p>
      <w:pPr>
        <w:spacing w:after="0" w:line="31" w:lineRule="exact"/>
        <w:rPr>
          <w:rFonts w:ascii="Times New Roman" w:cs="Times New Roman" w:eastAsia="Times New Roman" w:hAnsi="Times New Roman"/>
          <w:sz w:val="18"/>
          <w:szCs w:val="18"/>
          <w:b w:val="1"/>
          <w:bCs w:val="1"/>
          <w:color w:val="auto"/>
        </w:rPr>
      </w:pPr>
    </w:p>
    <w:p>
      <w:pPr>
        <w:ind w:left="4" w:hanging="4"/>
        <w:spacing w:after="0" w:line="253"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class(es) and maximum number of securities subject to the Plan pursuant to Section 3(a), (ii) the class(es) of securities by which the share reserve is to increase automatically each year pursuant to Section 3(a), (iii) the class(es) and maximum number of securities that may be issued pursuant to the exercise of Incentive Stock Options pursuant to Section 3(c) and (iv) the class(es) and number of securities and price per share of stock subject to outstanding Stock Awards. The Board will make such adjustments, and its determination will be final, binding and conclusive.</w:t>
      </w:r>
    </w:p>
    <w:p>
      <w:pPr>
        <w:spacing w:after="0" w:line="184"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6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w:t>
      </w:r>
      <w:r>
        <w:rPr>
          <w:rFonts w:ascii="Times New Roman" w:cs="Times New Roman" w:eastAsia="Times New Roman" w:hAnsi="Times New Roman"/>
          <w:sz w:val="18"/>
          <w:szCs w:val="18"/>
          <w:color w:val="auto"/>
        </w:rPr>
        <w:t>. Except as otherwise provided in the Stock Award Agreement, in the event of a Dissolution of the Company,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outstanding Stock 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ind w:left="4" w:right="200" w:firstLine="987"/>
        <w:spacing w:after="0" w:line="259" w:lineRule="auto"/>
        <w:tabs>
          <w:tab w:leader="none" w:pos="124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Transaction. </w:t>
      </w:r>
      <w:r>
        <w:rPr>
          <w:rFonts w:ascii="Times New Roman" w:cs="Times New Roman" w:eastAsia="Times New Roman" w:hAnsi="Times New Roman"/>
          <w:sz w:val="18"/>
          <w:szCs w:val="18"/>
          <w:color w:val="auto"/>
        </w:rPr>
        <w:t>The following provisions shall apply to Stock Awards in the event of a Transaction unless otherwise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shall take one or more of the following actions with respect to Stock Awards, contingent upon the closing or completion of the Transaction:</w:t>
      </w:r>
    </w:p>
    <w:p>
      <w:pPr>
        <w:spacing w:after="0" w:line="183" w:lineRule="exact"/>
        <w:rPr>
          <w:rFonts w:ascii="Times New Roman" w:cs="Times New Roman" w:eastAsia="Times New Roman" w:hAnsi="Times New Roman"/>
          <w:sz w:val="18"/>
          <w:szCs w:val="18"/>
          <w:b w:val="1"/>
          <w:bCs w:val="1"/>
          <w:color w:val="auto"/>
        </w:rPr>
      </w:pPr>
    </w:p>
    <w:p>
      <w:pPr>
        <w:jc w:val="both"/>
        <w:ind w:left="4" w:right="240" w:firstLine="1428"/>
        <w:spacing w:after="0" w:line="266" w:lineRule="auto"/>
        <w:tabs>
          <w:tab w:leader="none" w:pos="1651"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75" w:lineRule="exact"/>
        <w:rPr>
          <w:rFonts w:ascii="Times New Roman" w:cs="Times New Roman" w:eastAsia="Times New Roman" w:hAnsi="Times New Roman"/>
          <w:sz w:val="18"/>
          <w:szCs w:val="18"/>
          <w:b w:val="1"/>
          <w:bCs w:val="1"/>
          <w:color w:val="auto"/>
        </w:rPr>
      </w:pPr>
    </w:p>
    <w:p>
      <w:pPr>
        <w:ind w:left="4" w:right="200" w:firstLine="1428"/>
        <w:spacing w:after="0" w:line="312" w:lineRule="auto"/>
        <w:tabs>
          <w:tab w:leader="none" w:pos="1701" w:val="left"/>
        </w:tabs>
        <w:numPr>
          <w:ilvl w:val="2"/>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39" w:lineRule="exact"/>
        <w:rPr>
          <w:rFonts w:ascii="Times New Roman" w:cs="Times New Roman" w:eastAsia="Times New Roman" w:hAnsi="Times New Roman"/>
          <w:sz w:val="17"/>
          <w:szCs w:val="17"/>
          <w:b w:val="1"/>
          <w:bCs w:val="1"/>
          <w:color w:val="auto"/>
        </w:rPr>
      </w:pPr>
    </w:p>
    <w:p>
      <w:pPr>
        <w:ind w:left="4" w:right="140" w:firstLine="1428"/>
        <w:spacing w:after="0" w:line="261" w:lineRule="auto"/>
        <w:tabs>
          <w:tab w:leader="none" w:pos="1751"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w:t>
      </w:r>
    </w:p>
    <w:p>
      <w:pPr>
        <w:spacing w:after="0" w:line="179" w:lineRule="exact"/>
        <w:rPr>
          <w:rFonts w:ascii="Times New Roman" w:cs="Times New Roman" w:eastAsia="Times New Roman" w:hAnsi="Times New Roman"/>
          <w:sz w:val="18"/>
          <w:szCs w:val="18"/>
          <w:b w:val="1"/>
          <w:bCs w:val="1"/>
          <w:color w:val="auto"/>
        </w:rPr>
      </w:pPr>
    </w:p>
    <w:p>
      <w:pPr>
        <w:ind w:left="1744" w:hanging="312"/>
        <w:spacing w:after="0"/>
        <w:tabs>
          <w:tab w:leader="none" w:pos="1744"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lapse, in whole or in part, of any reacquisition or repurchase rights held by the Company with respect to the</w:t>
      </w:r>
    </w:p>
    <w:p>
      <w:pPr>
        <w:spacing w:after="0" w:line="27"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Award;</w:t>
      </w:r>
    </w:p>
    <w:p>
      <w:pPr>
        <w:spacing w:after="0" w:line="206" w:lineRule="exact"/>
        <w:rPr>
          <w:rFonts w:ascii="Times New Roman" w:cs="Times New Roman" w:eastAsia="Times New Roman" w:hAnsi="Times New Roman"/>
          <w:sz w:val="18"/>
          <w:szCs w:val="18"/>
          <w:b w:val="1"/>
          <w:bCs w:val="1"/>
          <w:color w:val="auto"/>
        </w:rPr>
      </w:pPr>
    </w:p>
    <w:p>
      <w:pPr>
        <w:ind w:left="4" w:right="120" w:firstLine="1428"/>
        <w:spacing w:after="0" w:line="282" w:lineRule="auto"/>
        <w:tabs>
          <w:tab w:leader="none" w:pos="1691"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0944"/>
          </w:cols>
          <w:pgMar w:left="436" w:top="270" w:right="519" w:bottom="1440" w:gutter="0" w:footer="0" w:header="0"/>
        </w:sectPr>
      </w:pPr>
    </w:p>
    <w:bookmarkStart w:id="18" w:name="page19"/>
    <w:bookmarkEnd w:id="18"/>
    <w:p>
      <w:pPr>
        <w:ind w:left="4" w:firstLine="1428"/>
        <w:spacing w:after="0" w:line="258" w:lineRule="auto"/>
        <w:tabs>
          <w:tab w:leader="none" w:pos="1741"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extesnt that payment of consideration to the holders of Common Stock in connection with the Transaction is delayed as a result of escrows, earn outs, holdbacks or other contingencies.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Board need not take the same action or actions with respect to all Stock Awards or portions thereof or with respect to all Participants.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Board may take different actions with respect to the vested and unvested portions of a Stock Award.</w:t>
      </w:r>
    </w:p>
    <w:p>
      <w:pPr>
        <w:spacing w:after="0" w:line="207" w:lineRule="exact"/>
        <w:rPr>
          <w:sz w:val="20"/>
          <w:szCs w:val="20"/>
          <w:color w:val="auto"/>
        </w:rPr>
      </w:pPr>
    </w:p>
    <w:p>
      <w:pPr>
        <w:ind w:left="4" w:right="140" w:firstLine="991"/>
        <w:spacing w:after="0" w:line="253" w:lineRule="auto"/>
        <w:rPr>
          <w:sz w:val="20"/>
          <w:szCs w:val="20"/>
          <w:color w:val="auto"/>
        </w:rPr>
      </w:pPr>
      <w:r>
        <w:rPr>
          <w:rFonts w:ascii="Times New Roman" w:cs="Times New Roman" w:eastAsia="Times New Roman" w:hAnsi="Times New Roman"/>
          <w:sz w:val="18"/>
          <w:szCs w:val="18"/>
          <w:color w:val="auto"/>
        </w:rPr>
        <w:t>In the event of a Transaction in which the surviving corporation or acquiring corporation (or its parent company) does not assume or continue such outstanding Stock Awards or substitute similar awards for such outstanding Stock Awards, then with respect to Stock Awards that have not been assumed, continued or substituted and that are held by Participants whose Continuous Service has not terminated prior to the effective time of the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Stock Awards (and, with respect to Options and Stock Appreciation Rights, the time when such Stock Awards may be exercised) will be accelerated in full to a date prior to the effective time of such Transaction (contingent upon the effectiveness of the Transaction) as the Board determines (or, if the Board does not determine such a date, to the date that is five</w:t>
      </w:r>
    </w:p>
    <w:p>
      <w:pPr>
        <w:spacing w:after="0" w:line="5" w:lineRule="exact"/>
        <w:rPr>
          <w:sz w:val="20"/>
          <w:szCs w:val="20"/>
          <w:color w:val="auto"/>
        </w:rPr>
      </w:pPr>
    </w:p>
    <w:p>
      <w:pPr>
        <w:ind w:left="4" w:right="40" w:hanging="4"/>
        <w:spacing w:after="0" w:line="265" w:lineRule="auto"/>
        <w:tabs>
          <w:tab w:leader="none" w:pos="25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prior to the effective time of the Transaction), and such Stock Awards will terminate if not exercised (if applicable) at or prior to the effective time of the Transaction, and any reacquisition or repurchase rights held by the Company with respect to such Stock Awards will lapse (contingent upon the effectiveness of the Transaction). With respect to the vesting of Performance Stock Awards that will accelerate upon the occurrence of a Transaction pursuant to this paragraph and that have multiple vesting levels depending on the level of performance, unless otherwise provided in the Stock Award Agreement or unless otherwise provided by the Board, the vesting of such Performance Stock Awards will accelerate at 100% of the target level upon the occurrence of the Transaction in which the Stock Awards are not assumed or continued or for which substitute awards are issued. With respect to the vesting of Stock Awards that will accelerate upon the occurrence of a Transaction pursuant to this paragraph and are settled in the form of a cash payment, such cash payment will be made no later than 30 days following the occurrence of the Transaction or such later date as required by</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409A of the Code.</w:t>
      </w:r>
    </w:p>
    <w:p>
      <w:pPr>
        <w:spacing w:after="0" w:line="207"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a Transaction in which the surviving corporation or acquiring corporation (or its parent company) does not assume or continue such outstanding Stock Awards or substitute similar awards for such outstanding Awards, then with respect to Stock Awards that have not been assumed, continued or substituted and that are held by persons other than Current Participants, such Stock Awards will terminate if not exercised (if applicable) prior to the occurrence of the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reacquisition or repurchase rights held by the Company with respect to such Stock Awards will not terminate and may continue to be exercised notwithstanding the Transaction.</w:t>
      </w:r>
    </w:p>
    <w:p>
      <w:pPr>
        <w:spacing w:after="0" w:line="179" w:lineRule="exact"/>
        <w:rPr>
          <w:sz w:val="20"/>
          <w:szCs w:val="20"/>
          <w:color w:val="auto"/>
        </w:rPr>
      </w:pPr>
    </w:p>
    <w:p>
      <w:pPr>
        <w:ind w:left="4" w:right="180" w:firstLine="987"/>
        <w:spacing w:after="0" w:line="268" w:lineRule="auto"/>
        <w:tabs>
          <w:tab w:leader="none" w:pos="126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A Stock Award may be subject to additional acceleration of vesting and exercisability upon or after a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as may be provided in the Stock Award Agreement for such Stock Award or as may be provided in any other written agreement between the Company or any Affiliate and the Participant.</w:t>
      </w:r>
    </w:p>
    <w:p>
      <w:pPr>
        <w:spacing w:after="0" w:line="31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 EARLIER TERMINATION OR SUSPENSION OF THE PLAN.</w:t>
      </w:r>
    </w:p>
    <w:p>
      <w:pPr>
        <w:spacing w:after="0" w:line="121"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 (i) the date the Plan is adopted by the Board (the “</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or (ii) the Initial Effective Date. No Awards may be granted under the Plan while the Plan is suspended or after it is terminated.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004"/>
          </w:cols>
          <w:pgMar w:left="436" w:top="270" w:right="459" w:bottom="1440" w:gutter="0" w:footer="0" w:header="0"/>
        </w:sectPr>
      </w:pPr>
    </w:p>
    <w:bookmarkStart w:id="19" w:name="page20"/>
    <w:bookmarkEnd w:id="19"/>
    <w:p>
      <w:pPr>
        <w:ind w:left="424" w:hanging="424"/>
        <w:spacing w:after="0"/>
        <w:tabs>
          <w:tab w:leader="none" w:pos="42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EXISTENCE OF THE PLAN; TIMING OF FIRST GRANT OR EXERCISE.</w:t>
      </w:r>
    </w:p>
    <w:p>
      <w:pPr>
        <w:spacing w:after="0" w:line="119" w:lineRule="exact"/>
        <w:rPr>
          <w:sz w:val="20"/>
          <w:szCs w:val="20"/>
          <w:color w:val="auto"/>
        </w:rPr>
      </w:pPr>
    </w:p>
    <w:p>
      <w:pPr>
        <w:ind w:left="4" w:right="300" w:firstLine="991"/>
        <w:spacing w:after="0" w:line="281" w:lineRule="auto"/>
        <w:rPr>
          <w:sz w:val="20"/>
          <w:szCs w:val="20"/>
          <w:color w:val="auto"/>
        </w:rPr>
      </w:pPr>
      <w:r>
        <w:rPr>
          <w:rFonts w:ascii="Times New Roman" w:cs="Times New Roman" w:eastAsia="Times New Roman" w:hAnsi="Times New Roman"/>
          <w:sz w:val="17"/>
          <w:szCs w:val="17"/>
          <w:color w:val="auto"/>
        </w:rPr>
        <w:t xml:space="preserve">The Plan will come into existence on the Adoption Date;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Stock Award may be granted prior to the Effective Date. In addition, no Stock Award will be exercised (or, in the case of a Restricted Stock Award, Restricted Stock Unit Award, Performance Stock Award, or Other Stock Award, no Stock Award will be granted) and no Performance Cash Award will be settled unless and until the Plan has been approved by the stockholders of the Company, which approval will be within 12 months after the date the Plan is adopted by the Board.</w:t>
      </w:r>
    </w:p>
    <w:p>
      <w:pPr>
        <w:spacing w:after="0" w:line="311"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 OF LAW.</w:t>
      </w:r>
    </w:p>
    <w:p>
      <w:pPr>
        <w:spacing w:after="0" w:line="121" w:lineRule="exact"/>
        <w:rPr>
          <w:sz w:val="20"/>
          <w:szCs w:val="20"/>
          <w:color w:val="auto"/>
        </w:rPr>
      </w:pPr>
    </w:p>
    <w:p>
      <w:pPr>
        <w:ind w:left="4" w:right="320" w:firstLine="991"/>
        <w:spacing w:after="0" w:line="282" w:lineRule="auto"/>
        <w:rPr>
          <w:sz w:val="20"/>
          <w:szCs w:val="20"/>
          <w:color w:val="auto"/>
        </w:rPr>
      </w:pPr>
      <w:r>
        <w:rPr>
          <w:rFonts w:ascii="Times New Roman" w:cs="Times New Roman" w:eastAsia="Times New Roman" w:hAnsi="Times New Roman"/>
          <w:sz w:val="18"/>
          <w:szCs w:val="18"/>
          <w:color w:val="auto"/>
        </w:rPr>
        <w:t>The law of the State of Delaware will govern all questions concerning the construction, validity and interpretation of this Plan, without regard to that state’s conflict of laws rules.</w:t>
      </w:r>
    </w:p>
    <w:p>
      <w:pPr>
        <w:spacing w:after="0" w:line="185" w:lineRule="exact"/>
        <w:rPr>
          <w:sz w:val="20"/>
          <w:szCs w:val="20"/>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5" w:lineRule="exact"/>
        <w:rPr>
          <w:rFonts w:ascii="Times New Roman" w:cs="Times New Roman" w:eastAsia="Times New Roman" w:hAnsi="Times New Roman"/>
          <w:sz w:val="18"/>
          <w:szCs w:val="18"/>
          <w:b w:val="1"/>
          <w:bCs w:val="1"/>
          <w:color w:val="auto"/>
        </w:rPr>
      </w:pPr>
    </w:p>
    <w:p>
      <w:pPr>
        <w:ind w:left="4" w:right="120" w:firstLine="987"/>
        <w:spacing w:after="0" w:line="268" w:lineRule="auto"/>
        <w:tabs>
          <w:tab w:leader="none" w:pos="125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 Stock Award or a Performance Cash Award.</w:t>
      </w:r>
    </w:p>
    <w:p>
      <w:pPr>
        <w:spacing w:after="0" w:line="225"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w:t>
      </w:r>
    </w:p>
    <w:p>
      <w:pPr>
        <w:spacing w:after="0" w:line="202"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57" w:lineRule="auto"/>
        <w:tabs>
          <w:tab w:leader="none" w:pos="122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2" w:lineRule="exact"/>
        <w:rPr>
          <w:rFonts w:ascii="Times New Roman" w:cs="Times New Roman" w:eastAsia="Times New Roman" w:hAnsi="Times New Roman"/>
          <w:sz w:val="18"/>
          <w:szCs w:val="18"/>
          <w:b w:val="1"/>
          <w:bCs w:val="1"/>
          <w:color w:val="auto"/>
        </w:rPr>
      </w:pPr>
    </w:p>
    <w:p>
      <w:pPr>
        <w:ind w:left="4" w:right="20" w:firstLine="987"/>
        <w:spacing w:after="0" w:line="254" w:lineRule="auto"/>
        <w:tabs>
          <w:tab w:leader="none" w:pos="125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ascribed to such term in any written agreement between the Participant and the Company defining such term and, in the absence of such agreement, such term means the termination of a Participant’s Continuous Service with the Company and its subsidiaries due to (i) such Participant’s commission of any felony or any crime involving fraud, dishonesty or moral turpitude under the laws of the United States or any state thereof; (ii) such Participant’s attempted commission of, or participation in, a fraud or act of dishonesty against the Company and/or its subsidiaries; (iii) such Participant’s material violation of (A) any contract or agreement between the Participant and the Company and/or a subsidiary of the Company or (B) any statutory duty owed to the Company and/or its subsidiaries; (iv) such Participant’s unauthorized use or disclosure of confidential information or trade secrets of the Company and/or its subsidiaries; or (v) such Participant’s gross negligence or willful misconduct in the performance of the Participant’s duties. The determination that a termination of the Participant’s Continuous Service is either for Cause or without Cause (within the meaning of the preceding clauses (i) through (v))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024"/>
          </w:cols>
          <w:pgMar w:left="436" w:top="266" w:right="439" w:bottom="1440" w:gutter="0" w:footer="0" w:header="0"/>
        </w:sectPr>
      </w:pPr>
    </w:p>
    <w:bookmarkStart w:id="20" w:name="page21"/>
    <w:bookmarkEnd w:id="20"/>
    <w:p>
      <w:pPr>
        <w:ind w:left="1260" w:hanging="273"/>
        <w:spacing w:after="0"/>
        <w:tabs>
          <w:tab w:leader="none" w:pos="12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the occurrence, in a single transaction or in a series of related transactions, of any one or more of the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events:</w:t>
      </w:r>
    </w:p>
    <w:p>
      <w:pPr>
        <w:spacing w:after="0" w:line="206" w:lineRule="exact"/>
        <w:rPr>
          <w:rFonts w:ascii="Times New Roman" w:cs="Times New Roman" w:eastAsia="Times New Roman" w:hAnsi="Times New Roman"/>
          <w:sz w:val="18"/>
          <w:szCs w:val="18"/>
          <w:b w:val="1"/>
          <w:bCs w:val="1"/>
          <w:color w:val="auto"/>
        </w:rPr>
      </w:pPr>
    </w:p>
    <w:p>
      <w:pPr>
        <w:ind w:firstLine="1428"/>
        <w:spacing w:after="0" w:line="253" w:lineRule="auto"/>
        <w:tabs>
          <w:tab w:leader="none" w:pos="1647"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b w:val="1"/>
          <w:bCs w:val="1"/>
          <w:i w:val="1"/>
          <w:iCs w:val="1"/>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91" w:lineRule="exact"/>
        <w:rPr>
          <w:rFonts w:ascii="Times New Roman" w:cs="Times New Roman" w:eastAsia="Times New Roman" w:hAnsi="Times New Roman"/>
          <w:sz w:val="18"/>
          <w:szCs w:val="18"/>
          <w:b w:val="1"/>
          <w:bCs w:val="1"/>
          <w:color w:val="auto"/>
        </w:rPr>
      </w:pPr>
    </w:p>
    <w:p>
      <w:pPr>
        <w:ind w:right="40" w:firstLine="1428"/>
        <w:spacing w:after="0" w:line="256" w:lineRule="auto"/>
        <w:tabs>
          <w:tab w:leader="none" w:pos="1697"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7" w:lineRule="exact"/>
        <w:rPr>
          <w:rFonts w:ascii="Times New Roman" w:cs="Times New Roman" w:eastAsia="Times New Roman" w:hAnsi="Times New Roman"/>
          <w:sz w:val="18"/>
          <w:szCs w:val="18"/>
          <w:b w:val="1"/>
          <w:bCs w:val="1"/>
          <w:color w:val="auto"/>
        </w:rPr>
      </w:pPr>
    </w:p>
    <w:p>
      <w:pPr>
        <w:ind w:right="20" w:firstLine="1428"/>
        <w:spacing w:after="0" w:line="258" w:lineRule="auto"/>
        <w:tabs>
          <w:tab w:leader="none" w:pos="1747"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83" w:lineRule="exact"/>
        <w:rPr>
          <w:rFonts w:ascii="Times New Roman" w:cs="Times New Roman" w:eastAsia="Times New Roman" w:hAnsi="Times New Roman"/>
          <w:sz w:val="18"/>
          <w:szCs w:val="18"/>
          <w:b w:val="1"/>
          <w:bCs w:val="1"/>
          <w:color w:val="auto"/>
        </w:rPr>
      </w:pPr>
    </w:p>
    <w:p>
      <w:pPr>
        <w:ind w:right="160" w:firstLine="1428"/>
        <w:spacing w:after="0" w:line="282" w:lineRule="auto"/>
        <w:tabs>
          <w:tab w:leader="none" w:pos="1737"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157" w:lineRule="exact"/>
        <w:rPr>
          <w:rFonts w:ascii="Times New Roman" w:cs="Times New Roman" w:eastAsia="Times New Roman" w:hAnsi="Times New Roman"/>
          <w:sz w:val="18"/>
          <w:szCs w:val="18"/>
          <w:b w:val="1"/>
          <w:bCs w:val="1"/>
          <w:color w:val="auto"/>
        </w:rPr>
      </w:pPr>
    </w:p>
    <w:p>
      <w:pPr>
        <w:ind w:right="40" w:firstLine="1428"/>
        <w:spacing w:after="0" w:line="262" w:lineRule="auto"/>
        <w:tabs>
          <w:tab w:leader="none" w:pos="1687"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xml:space="preserve">”) cease for any reason to constitute at least a majority of the members of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0"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no definition of Change in Control or any analogous term is set forth in such an individual written agreement, the foregoing definition will apply.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000"/>
          </w:cols>
          <w:pgMar w:left="440" w:top="266" w:right="459" w:bottom="1440" w:gutter="0" w:footer="0" w:header="0"/>
        </w:sectPr>
      </w:pPr>
    </w:p>
    <w:bookmarkStart w:id="21" w:name="page22"/>
    <w:bookmarkEnd w:id="21"/>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required for compliance with Section 409A of the Code, in no event will an event be deemed a Change in Control if such event is not also a “change in the ownership of” the Company, a “change in the effective control of” the Company or a “change in the ownership of a substantial portion of the assets of” the Company, each as determined under Treasury Regulations Section 1.409A-3(i)(5) (without regard to any alternative definition thereunder).</w:t>
      </w:r>
    </w:p>
    <w:p>
      <w:pPr>
        <w:spacing w:after="0" w:line="176" w:lineRule="exact"/>
        <w:rPr>
          <w:sz w:val="20"/>
          <w:szCs w:val="20"/>
          <w:color w:val="auto"/>
        </w:rPr>
      </w:pPr>
    </w:p>
    <w:p>
      <w:pPr>
        <w:ind w:left="1200" w:hanging="213"/>
        <w:spacing w:after="0"/>
        <w:tabs>
          <w:tab w:leader="none" w:pos="12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left="1220" w:hanging="233"/>
        <w:spacing w:after="0"/>
        <w:tabs>
          <w:tab w:leader="none" w:pos="12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Directors to whom authority has been delegated by the Board in accordance 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2(c).</w:t>
      </w:r>
    </w:p>
    <w:p>
      <w:pPr>
        <w:spacing w:after="0" w:line="203" w:lineRule="exact"/>
        <w:rPr>
          <w:sz w:val="20"/>
          <w:szCs w:val="20"/>
          <w:color w:val="auto"/>
        </w:rPr>
      </w:pPr>
    </w:p>
    <w:p>
      <w:pPr>
        <w:ind w:left="1260" w:hanging="273"/>
        <w:spacing w:after="0"/>
        <w:tabs>
          <w:tab w:leader="none" w:pos="12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 having one vote per share.</w:t>
      </w:r>
    </w:p>
    <w:p>
      <w:pPr>
        <w:spacing w:after="0" w:line="225"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Tempest Therapeutics, Inc., a Delaware corporation, and successor to Millendo Therapeutics, Inc.</w:t>
      </w:r>
    </w:p>
    <w:p>
      <w:pPr>
        <w:spacing w:after="0" w:line="225" w:lineRule="exact"/>
        <w:rPr>
          <w:rFonts w:ascii="Times New Roman" w:cs="Times New Roman" w:eastAsia="Times New Roman" w:hAnsi="Times New Roman"/>
          <w:sz w:val="18"/>
          <w:szCs w:val="18"/>
          <w:b w:val="1"/>
          <w:bCs w:val="1"/>
          <w:color w:val="auto"/>
        </w:rPr>
      </w:pPr>
    </w:p>
    <w:p>
      <w:pPr>
        <w:ind w:right="80" w:firstLine="987"/>
        <w:spacing w:after="0" w:line="259" w:lineRule="auto"/>
        <w:tabs>
          <w:tab w:leader="none" w:pos="130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5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182" w:lineRule="exact"/>
        <w:rPr>
          <w:rFonts w:ascii="Times New Roman" w:cs="Times New Roman" w:eastAsia="Times New Roman" w:hAnsi="Times New Roman"/>
          <w:sz w:val="18"/>
          <w:szCs w:val="18"/>
          <w:b w:val="1"/>
          <w:bCs w:val="1"/>
          <w:color w:val="auto"/>
        </w:rPr>
      </w:pPr>
    </w:p>
    <w:p>
      <w:pPr>
        <w:ind w:right="140" w:firstLine="987"/>
        <w:spacing w:after="0" w:line="286" w:lineRule="auto"/>
        <w:tabs>
          <w:tab w:leader="none" w:pos="124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ind w:right="20" w:firstLine="1428"/>
        <w:spacing w:after="0" w:line="282" w:lineRule="auto"/>
        <w:tabs>
          <w:tab w:leader="none" w:pos="1647"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61"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020"/>
          </w:cols>
          <w:pgMar w:left="440" w:top="270" w:right="439" w:bottom="1440" w:gutter="0" w:footer="0" w:header="0"/>
        </w:sectPr>
      </w:pPr>
    </w:p>
    <w:bookmarkStart w:id="22" w:name="page23"/>
    <w:bookmarkEnd w:id="22"/>
    <w:p>
      <w:pPr>
        <w:ind w:left="4" w:right="80" w:firstLine="1428"/>
        <w:spacing w:after="0" w:line="266" w:lineRule="auto"/>
        <w:tabs>
          <w:tab w:leader="none" w:pos="1741" w:val="left"/>
        </w:tabs>
        <w:numPr>
          <w:ilvl w:val="2"/>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62" w:lineRule="auto"/>
        <w:tabs>
          <w:tab w:leader="none" w:pos="126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left="4" w:right="120" w:firstLine="987"/>
        <w:spacing w:after="0" w:line="268" w:lineRule="auto"/>
        <w:tabs>
          <w:tab w:leader="none" w:pos="124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Dissolution</w:t>
      </w:r>
      <w:r>
        <w:rPr>
          <w:rFonts w:ascii="Times New Roman" w:cs="Times New Roman" w:eastAsia="Times New Roman" w:hAnsi="Times New Roman"/>
          <w:sz w:val="18"/>
          <w:szCs w:val="18"/>
          <w:color w:val="auto"/>
        </w:rPr>
        <w:t>” means when the Company, after having executed a certificate of dissolution with the State of Delaware (or other applicable state), has completely wound up its affairs. Conversion of the Company into a Limited Liability Company (or any other pass-through entity) will not be considered a “Dissolution” for purposes of the Plan.</w:t>
      </w:r>
    </w:p>
    <w:p>
      <w:pPr>
        <w:spacing w:after="0" w:line="170" w:lineRule="exact"/>
        <w:rPr>
          <w:rFonts w:ascii="Times New Roman" w:cs="Times New Roman" w:eastAsia="Times New Roman" w:hAnsi="Times New Roman"/>
          <w:sz w:val="18"/>
          <w:szCs w:val="18"/>
          <w:b w:val="1"/>
          <w:bCs w:val="1"/>
          <w:color w:val="auto"/>
        </w:rPr>
      </w:pPr>
    </w:p>
    <w:p>
      <w:pPr>
        <w:ind w:left="4" w:right="900" w:firstLine="987"/>
        <w:spacing w:after="0" w:line="286" w:lineRule="auto"/>
        <w:tabs>
          <w:tab w:leader="none" w:pos="123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of the Company shareholders approve this Plan, which is the date of the annual meeting of shareholders of the Company held on June 17, 2022, provided this Plan is approved by the Company’s shareholders at such meeting.</w:t>
      </w:r>
    </w:p>
    <w:p>
      <w:pPr>
        <w:spacing w:after="0" w:line="154" w:lineRule="exact"/>
        <w:rPr>
          <w:rFonts w:ascii="Times New Roman" w:cs="Times New Roman" w:eastAsia="Times New Roman" w:hAnsi="Times New Roman"/>
          <w:sz w:val="18"/>
          <w:szCs w:val="18"/>
          <w:b w:val="1"/>
          <w:bCs w:val="1"/>
          <w:color w:val="auto"/>
        </w:rPr>
      </w:pPr>
    </w:p>
    <w:p>
      <w:pPr>
        <w:ind w:left="4" w:firstLine="987"/>
        <w:spacing w:after="0" w:line="286" w:lineRule="auto"/>
        <w:tabs>
          <w:tab w:leader="none" w:pos="122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4" w:right="60" w:firstLine="987"/>
        <w:spacing w:after="0" w:line="270" w:lineRule="auto"/>
        <w:tabs>
          <w:tab w:leader="none" w:pos="1290" w:val="left"/>
        </w:tabs>
        <w:numPr>
          <w:ilvl w:val="1"/>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 Person</w:t>
      </w:r>
      <w:r>
        <w:rPr>
          <w:rFonts w:ascii="Times New Roman" w:cs="Times New Roman" w:eastAsia="Times New Roman" w:hAnsi="Times New Roman"/>
          <w:sz w:val="17"/>
          <w:szCs w:val="17"/>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w:t>
      </w:r>
    </w:p>
    <w:p>
      <w:pPr>
        <w:spacing w:after="0" w:line="2" w:lineRule="exact"/>
        <w:rPr>
          <w:rFonts w:ascii="Times New Roman" w:cs="Times New Roman" w:eastAsia="Times New Roman" w:hAnsi="Times New Roman"/>
          <w:sz w:val="17"/>
          <w:szCs w:val="17"/>
          <w:b w:val="1"/>
          <w:bCs w:val="1"/>
          <w:color w:val="auto"/>
        </w:rPr>
      </w:pPr>
    </w:p>
    <w:p>
      <w:pPr>
        <w:ind w:left="4" w:hanging="4"/>
        <w:spacing w:after="0" w:line="255"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229" w:lineRule="exact"/>
        <w:rPr>
          <w:rFonts w:ascii="Times New Roman" w:cs="Times New Roman" w:eastAsia="Times New Roman" w:hAnsi="Times New Roman"/>
          <w:sz w:val="18"/>
          <w:szCs w:val="18"/>
          <w:b w:val="1"/>
          <w:bCs w:val="1"/>
          <w:color w:val="auto"/>
        </w:rPr>
      </w:pPr>
    </w:p>
    <w:p>
      <w:pPr>
        <w:jc w:val="both"/>
        <w:ind w:left="4" w:right="80" w:firstLine="1428"/>
        <w:spacing w:after="0" w:line="261" w:lineRule="auto"/>
        <w:tabs>
          <w:tab w:leader="none" w:pos="1651"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79" w:lineRule="exact"/>
        <w:rPr>
          <w:rFonts w:ascii="Times New Roman" w:cs="Times New Roman" w:eastAsia="Times New Roman" w:hAnsi="Times New Roman"/>
          <w:sz w:val="18"/>
          <w:szCs w:val="18"/>
          <w:b w:val="1"/>
          <w:bCs w:val="1"/>
          <w:color w:val="auto"/>
        </w:rPr>
      </w:pPr>
    </w:p>
    <w:p>
      <w:pPr>
        <w:ind w:left="4" w:right="240" w:firstLine="1428"/>
        <w:spacing w:after="0" w:line="282" w:lineRule="auto"/>
        <w:tabs>
          <w:tab w:leader="none" w:pos="1701"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04"/>
          </w:cols>
          <w:pgMar w:left="436" w:top="270" w:right="459" w:bottom="1440" w:gutter="0" w:footer="0" w:header="0"/>
        </w:sectPr>
      </w:pPr>
    </w:p>
    <w:bookmarkStart w:id="23" w:name="page24"/>
    <w:bookmarkEnd w:id="23"/>
    <w:p>
      <w:pPr>
        <w:ind w:left="4" w:right="80" w:firstLine="1428"/>
        <w:spacing w:after="0" w:line="282" w:lineRule="auto"/>
        <w:tabs>
          <w:tab w:leader="none" w:pos="1751"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absence of such markets for the Common Stock, the Fair Market Value will be determined by the Board in good faith and in a manner that complies with Sections 409A and 422 of the Code.</w:t>
      </w:r>
    </w:p>
    <w:p>
      <w:pPr>
        <w:spacing w:after="0" w:line="157" w:lineRule="exact"/>
        <w:rPr>
          <w:rFonts w:ascii="Times New Roman" w:cs="Times New Roman" w:eastAsia="Times New Roman" w:hAnsi="Times New Roman"/>
          <w:sz w:val="18"/>
          <w:szCs w:val="18"/>
          <w:b w:val="1"/>
          <w:bCs w:val="1"/>
          <w:color w:val="auto"/>
        </w:rPr>
      </w:pPr>
    </w:p>
    <w:p>
      <w:pPr>
        <w:ind w:left="4" w:right="700" w:firstLine="987"/>
        <w:spacing w:after="0" w:line="286" w:lineRule="auto"/>
        <w:tabs>
          <w:tab w:leader="none" w:pos="125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5 of the Plan that is intended to be, and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ind w:left="4" w:right="500" w:firstLine="987"/>
        <w:spacing w:after="0" w:line="286" w:lineRule="auto"/>
        <w:tabs>
          <w:tab w:leader="none" w:pos="12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Effective Date</w:t>
      </w:r>
      <w:r>
        <w:rPr>
          <w:rFonts w:ascii="Times New Roman" w:cs="Times New Roman" w:eastAsia="Times New Roman" w:hAnsi="Times New Roman"/>
          <w:sz w:val="18"/>
          <w:szCs w:val="18"/>
          <w:color w:val="auto"/>
        </w:rPr>
        <w:t>” means the date the Company shareholders approved this Plan, which is the date of the annual meeting of shareholders of the Company held on June 11, 2019.</w:t>
      </w:r>
    </w:p>
    <w:p>
      <w:pPr>
        <w:spacing w:after="0" w:line="155" w:lineRule="exact"/>
        <w:rPr>
          <w:sz w:val="20"/>
          <w:szCs w:val="20"/>
          <w:color w:val="auto"/>
        </w:rPr>
      </w:pPr>
    </w:p>
    <w:p>
      <w:pPr>
        <w:ind w:left="4" w:right="80" w:firstLine="987"/>
        <w:spacing w:after="0" w:line="255" w:lineRule="auto"/>
        <w:tabs>
          <w:tab w:leader="none" w:pos="134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2"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considered a “non-employee director” for purposes of Rule 16b-3.</w:t>
      </w:r>
    </w:p>
    <w:p>
      <w:pPr>
        <w:spacing w:after="0" w:line="202"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5 of the Plan that does not qualify as an Incentive Stock</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w:t>
      </w:r>
    </w:p>
    <w:p>
      <w:pPr>
        <w:spacing w:after="0" w:line="202" w:lineRule="exact"/>
        <w:rPr>
          <w:rFonts w:ascii="Times New Roman" w:cs="Times New Roman" w:eastAsia="Times New Roman" w:hAnsi="Times New Roman"/>
          <w:sz w:val="18"/>
          <w:szCs w:val="18"/>
          <w:b w:val="1"/>
          <w:bCs w:val="1"/>
          <w:color w:val="auto"/>
        </w:rPr>
      </w:pPr>
    </w:p>
    <w:p>
      <w:pPr>
        <w:ind w:left="1324" w:hanging="333"/>
        <w:spacing w:after="0"/>
        <w:tabs>
          <w:tab w:leader="none" w:pos="132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1364" w:hanging="373"/>
        <w:spacing w:after="0"/>
        <w:tabs>
          <w:tab w:leader="none" w:pos="136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w:t>
      </w:r>
    </w:p>
    <w:p>
      <w:pPr>
        <w:spacing w:after="0" w:line="202" w:lineRule="exact"/>
        <w:rPr>
          <w:rFonts w:ascii="Times New Roman" w:cs="Times New Roman" w:eastAsia="Times New Roman" w:hAnsi="Times New Roman"/>
          <w:sz w:val="18"/>
          <w:szCs w:val="18"/>
          <w:b w:val="1"/>
          <w:bCs w:val="1"/>
          <w:color w:val="auto"/>
        </w:rPr>
      </w:pPr>
    </w:p>
    <w:p>
      <w:pPr>
        <w:ind w:left="4" w:right="200" w:firstLine="987"/>
        <w:spacing w:after="0" w:line="286" w:lineRule="auto"/>
        <w:tabs>
          <w:tab w:leader="none" w:pos="132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left="4" w:right="240" w:firstLine="987"/>
        <w:spacing w:after="0" w:line="286" w:lineRule="auto"/>
        <w:tabs>
          <w:tab w:leader="none" w:pos="128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left="4" w:right="180" w:firstLine="987"/>
        <w:spacing w:after="0" w:line="286" w:lineRule="auto"/>
        <w:tabs>
          <w:tab w:leader="none" w:pos="134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6(d).</w:t>
      </w:r>
    </w:p>
    <w:p>
      <w:pPr>
        <w:spacing w:after="0" w:line="154" w:lineRule="exact"/>
        <w:rPr>
          <w:rFonts w:ascii="Times New Roman" w:cs="Times New Roman" w:eastAsia="Times New Roman" w:hAnsi="Times New Roman"/>
          <w:sz w:val="18"/>
          <w:szCs w:val="18"/>
          <w:b w:val="1"/>
          <w:bCs w:val="1"/>
          <w:color w:val="auto"/>
        </w:rPr>
      </w:pPr>
    </w:p>
    <w:p>
      <w:pPr>
        <w:ind w:left="4" w:firstLine="987"/>
        <w:spacing w:after="0" w:line="317" w:lineRule="auto"/>
        <w:tabs>
          <w:tab w:leader="none" w:pos="1360" w:val="left"/>
        </w:tabs>
        <w:numPr>
          <w:ilvl w:val="1"/>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Other Stock Award Agreement</w:t>
      </w:r>
      <w:r>
        <w:rPr>
          <w:rFonts w:ascii="Times New Roman" w:cs="Times New Roman" w:eastAsia="Times New Roman" w:hAnsi="Times New Roman"/>
          <w:sz w:val="17"/>
          <w:szCs w:val="17"/>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31" w:lineRule="exact"/>
        <w:rPr>
          <w:rFonts w:ascii="Times New Roman" w:cs="Times New Roman" w:eastAsia="Times New Roman" w:hAnsi="Times New Roman"/>
          <w:sz w:val="17"/>
          <w:szCs w:val="17"/>
          <w:b w:val="1"/>
          <w:bCs w:val="1"/>
          <w:color w:val="auto"/>
        </w:rPr>
      </w:pPr>
    </w:p>
    <w:p>
      <w:pPr>
        <w:ind w:left="4" w:right="220" w:firstLine="987"/>
        <w:spacing w:after="0" w:line="291" w:lineRule="auto"/>
        <w:tabs>
          <w:tab w:leader="none" w:pos="1260" w:val="left"/>
        </w:tabs>
        <w:numPr>
          <w:ilvl w:val="1"/>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Own,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Owned,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Owner,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Ownership</w:t>
      </w:r>
      <w:r>
        <w:rPr>
          <w:rFonts w:ascii="Times New Roman" w:cs="Times New Roman" w:eastAsia="Times New Roman" w:hAnsi="Times New Roman"/>
          <w:sz w:val="17"/>
          <w:szCs w:val="17"/>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52" w:lineRule="exact"/>
        <w:rPr>
          <w:rFonts w:ascii="Times New Roman" w:cs="Times New Roman" w:eastAsia="Times New Roman" w:hAnsi="Times New Roman"/>
          <w:sz w:val="17"/>
          <w:szCs w:val="17"/>
          <w:b w:val="1"/>
          <w:bCs w:val="1"/>
          <w:color w:val="auto"/>
        </w:rPr>
      </w:pPr>
    </w:p>
    <w:p>
      <w:pPr>
        <w:ind w:left="4" w:right="420" w:firstLine="987"/>
        <w:spacing w:after="0" w:line="286" w:lineRule="auto"/>
        <w:tabs>
          <w:tab w:leader="none" w:pos="128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to whom an Award is granted pursuant to the Plan or, if applicable, such other person who holds an outstanding Stock Award.</w:t>
      </w:r>
    </w:p>
    <w:p>
      <w:pPr>
        <w:spacing w:after="0" w:line="154" w:lineRule="exact"/>
        <w:rPr>
          <w:rFonts w:ascii="Times New Roman" w:cs="Times New Roman" w:eastAsia="Times New Roman" w:hAnsi="Times New Roman"/>
          <w:sz w:val="18"/>
          <w:szCs w:val="18"/>
          <w:b w:val="1"/>
          <w:bCs w:val="1"/>
          <w:color w:val="auto"/>
        </w:rPr>
      </w:pPr>
    </w:p>
    <w:p>
      <w:pPr>
        <w:ind w:left="1364" w:hanging="373"/>
        <w:spacing w:after="0"/>
        <w:tabs>
          <w:tab w:leader="none" w:pos="136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Cash Award</w:t>
      </w:r>
      <w:r>
        <w:rPr>
          <w:rFonts w:ascii="Times New Roman" w:cs="Times New Roman" w:eastAsia="Times New Roman" w:hAnsi="Times New Roman"/>
          <w:sz w:val="18"/>
          <w:szCs w:val="18"/>
          <w:color w:val="auto"/>
        </w:rPr>
        <w:t>” means an award of cash granted pursuant to the terms and conditions of Section 6(c)(ii).</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024"/>
          </w:cols>
          <w:pgMar w:left="436" w:top="270" w:right="439" w:bottom="1440" w:gutter="0" w:footer="0" w:header="0"/>
        </w:sectPr>
      </w:pPr>
    </w:p>
    <w:bookmarkStart w:id="24" w:name="page25"/>
    <w:bookmarkEnd w:id="24"/>
    <w:p>
      <w:pPr>
        <w:ind w:left="4" w:right="20" w:firstLine="987"/>
        <w:spacing w:after="0" w:line="253" w:lineRule="auto"/>
        <w:tabs>
          <w:tab w:leader="none" w:pos="126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or Committee (as applicable) will select for purposes of establishing the Performance Goals for a Performance Period. The Performance Criteria that will be used to establish such Performance Goals may be based on any one of, or combination of, the following as determined by the Board or Committee: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(xviii) economic value added (or an equivalent metric); (xix) market share; (xx) cash flow; (xxi) cash flow per share; (xxii) share price performance; (xxiii) debt reduction; (xxiv) customer satisfaction; (xxv) stockholders’ equity; (xxvi) capital expenditures;</w:t>
      </w:r>
    </w:p>
    <w:p>
      <w:pPr>
        <w:spacing w:after="0" w:line="2"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levels; (xxviii) operating profit or net operating profit; (xxix) workforce diversity; (xxx) growth of net income or operating income;</w:t>
      </w:r>
    </w:p>
    <w:p>
      <w:pPr>
        <w:spacing w:after="0" w:line="9" w:lineRule="exact"/>
        <w:rPr>
          <w:sz w:val="20"/>
          <w:szCs w:val="20"/>
          <w:color w:val="auto"/>
        </w:rPr>
      </w:pPr>
    </w:p>
    <w:p>
      <w:pPr>
        <w:ind w:left="4" w:right="140" w:hanging="4"/>
        <w:spacing w:after="0" w:line="265" w:lineRule="auto"/>
        <w:tabs>
          <w:tab w:leader="none" w:pos="48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billings; (xxxii) pre-clinical development related compound goals; (xxxiii) financing; (xxxiv) regulatory milestones, including approval of a compound; (xxxv) stockholder liquidity; (xxvi) corporate governance and compliance; (xxxvii) product commercialization; (xxxviii) intellectual property; (xxxix) personnel matters; (xl) progress of internal research or clinical programs; (xli) progress of partnered programs; (xlii) partner satisfaction; (xliii) budget management; (xliv) clinical achievements; (xlv) completing phases of a clinical study (including the treatment phase); (xlvi) announcing or presenting preliminary or final data from clinical studies; in each case, whether on particular timelines or generally; (xlvii) timely completion of clinical trials; (xlviii) submission of INDs and NDAs and other regulatory achievements; (xlix) partner or collaborator achievements;</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 internal controls, including those related to the Sarbanes-Oxley Act of 2002; (li) research progress, including the development of programs;</w:t>
      </w:r>
    </w:p>
    <w:p>
      <w:pPr>
        <w:spacing w:after="0" w:line="9" w:lineRule="exact"/>
        <w:rPr>
          <w:rFonts w:ascii="Times New Roman" w:cs="Times New Roman" w:eastAsia="Times New Roman" w:hAnsi="Times New Roman"/>
          <w:sz w:val="17"/>
          <w:szCs w:val="17"/>
          <w:color w:val="auto"/>
        </w:rPr>
      </w:pPr>
    </w:p>
    <w:p>
      <w:pPr>
        <w:ind w:left="4" w:right="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(lii) investor relations, analysts and communication; (liii) manufacturing achievements (including obtaining particular yields from manufacturing runs and other measurable objectives related to process development activities); (liv) strategic partnerships or transactions (including in-licensing and out-licensing of intellectual property; (lv) establishing relationships with commercial entities with respect to the marketing, distribution and sale of the Company’s products (including with group purchasing organizations, distributors and other vendors); (lvi) supply chain achievements (including establishing relationships with manufacturers or suppliers of active pharmaceutical ingredients and other component materials and manufacturers of the Company’s products); (lvii) co-development, co-marketing, profit sharing, joint venture or other similar arrangements; (lviii) individual performance goals; (lix) corporate development and planning goals; and (lx) other measures of performance selected by the Board or Committee.</w:t>
      </w:r>
    </w:p>
    <w:p>
      <w:pPr>
        <w:spacing w:after="0" w:line="184" w:lineRule="exact"/>
        <w:rPr>
          <w:rFonts w:ascii="Times New Roman" w:cs="Times New Roman" w:eastAsia="Times New Roman" w:hAnsi="Times New Roman"/>
          <w:sz w:val="17"/>
          <w:szCs w:val="17"/>
          <w:color w:val="auto"/>
        </w:rPr>
      </w:pPr>
    </w:p>
    <w:p>
      <w:pPr>
        <w:ind w:left="4" w:firstLine="987"/>
        <w:spacing w:after="0" w:line="253" w:lineRule="auto"/>
        <w:tabs>
          <w:tab w:leader="none" w:pos="146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or Committee (as applicable)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0984"/>
          </w:cols>
          <w:pgMar w:left="436" w:top="266" w:right="479" w:bottom="1440" w:gutter="0" w:footer="0" w:header="0"/>
        </w:sectPr>
      </w:pPr>
    </w:p>
    <w:bookmarkStart w:id="25" w:name="page26"/>
    <w:bookmarkEnd w:id="25"/>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or Committee (as applicable) retains the discretion to adjust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85" w:lineRule="exact"/>
        <w:rPr>
          <w:sz w:val="20"/>
          <w:szCs w:val="20"/>
          <w:color w:val="auto"/>
        </w:rPr>
      </w:pPr>
    </w:p>
    <w:p>
      <w:pPr>
        <w:jc w:val="both"/>
        <w:ind w:firstLine="987"/>
        <w:spacing w:after="0" w:line="268" w:lineRule="auto"/>
        <w:tabs>
          <w:tab w:leader="none" w:pos="135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or Committee (as applicable)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Committee.</w:t>
      </w:r>
    </w:p>
    <w:p>
      <w:pPr>
        <w:spacing w:after="0" w:line="170" w:lineRule="exact"/>
        <w:rPr>
          <w:rFonts w:ascii="Times New Roman" w:cs="Times New Roman" w:eastAsia="Times New Roman" w:hAnsi="Times New Roman"/>
          <w:sz w:val="18"/>
          <w:szCs w:val="18"/>
          <w:b w:val="1"/>
          <w:bCs w:val="1"/>
          <w:color w:val="auto"/>
        </w:rPr>
      </w:pPr>
    </w:p>
    <w:p>
      <w:pPr>
        <w:ind w:left="1340" w:hanging="353"/>
        <w:spacing w:after="0"/>
        <w:tabs>
          <w:tab w:leader="none" w:pos="13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Stock Award</w:t>
      </w:r>
      <w:r>
        <w:rPr>
          <w:rFonts w:ascii="Times New Roman" w:cs="Times New Roman" w:eastAsia="Times New Roman" w:hAnsi="Times New Roman"/>
          <w:sz w:val="18"/>
          <w:szCs w:val="18"/>
          <w:color w:val="auto"/>
        </w:rPr>
        <w:t>” means a Stock Award granted under the terms and conditions of Section 6(c)(i).</w:t>
      </w:r>
    </w:p>
    <w:p>
      <w:pPr>
        <w:spacing w:after="0" w:line="225"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Tempest Therapeutics, Inc. Amended and Restated 2019 Equity Incentive Plan.</w:t>
      </w:r>
    </w:p>
    <w:p>
      <w:pPr>
        <w:spacing w:after="0" w:line="225"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shares of Common Stock which is granted pursuant to the terms and conditions of</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6(a).</w:t>
      </w:r>
    </w:p>
    <w:p>
      <w:pPr>
        <w:spacing w:after="0" w:line="202" w:lineRule="exact"/>
        <w:rPr>
          <w:rFonts w:ascii="Times New Roman" w:cs="Times New Roman" w:eastAsia="Times New Roman" w:hAnsi="Times New Roman"/>
          <w:sz w:val="18"/>
          <w:szCs w:val="18"/>
          <w:b w:val="1"/>
          <w:bCs w:val="1"/>
          <w:color w:val="auto"/>
        </w:rPr>
      </w:pPr>
    </w:p>
    <w:p>
      <w:pPr>
        <w:ind w:right="320" w:firstLine="987"/>
        <w:spacing w:after="0" w:line="268" w:lineRule="auto"/>
        <w:tabs>
          <w:tab w:leader="none" w:pos="131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right="740" w:firstLine="987"/>
        <w:spacing w:after="0" w:line="286" w:lineRule="auto"/>
        <w:tabs>
          <w:tab w:leader="none" w:pos="129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w:t>
      </w:r>
      <w:r>
        <w:rPr>
          <w:rFonts w:ascii="Times New Roman" w:cs="Times New Roman" w:eastAsia="Times New Roman" w:hAnsi="Times New Roman"/>
          <w:sz w:val="18"/>
          <w:szCs w:val="18"/>
          <w:color w:val="auto"/>
        </w:rPr>
        <w:t>” means a right to receive shares of Common Stock which is granted pursuant to the terms and conditions of Section 6(b).</w:t>
      </w:r>
    </w:p>
    <w:p>
      <w:pPr>
        <w:spacing w:after="0" w:line="154" w:lineRule="exact"/>
        <w:rPr>
          <w:rFonts w:ascii="Times New Roman" w:cs="Times New Roman" w:eastAsia="Times New Roman" w:hAnsi="Times New Roman"/>
          <w:sz w:val="18"/>
          <w:szCs w:val="18"/>
          <w:b w:val="1"/>
          <w:bCs w:val="1"/>
          <w:color w:val="auto"/>
        </w:rPr>
      </w:pPr>
    </w:p>
    <w:p>
      <w:pPr>
        <w:jc w:val="both"/>
        <w:ind w:right="100" w:firstLine="987"/>
        <w:spacing w:after="0" w:line="268" w:lineRule="auto"/>
        <w:tabs>
          <w:tab w:leader="none" w:pos="127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 Agreement</w:t>
      </w:r>
      <w:r>
        <w:rPr>
          <w:rFonts w:ascii="Times New Roman" w:cs="Times New Roman" w:eastAsia="Times New Roman" w:hAnsi="Times New Roman"/>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1340" w:hanging="353"/>
        <w:spacing w:after="0"/>
        <w:tabs>
          <w:tab w:leader="none" w:pos="13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right="280" w:firstLine="987"/>
        <w:spacing w:after="0" w:line="286" w:lineRule="auto"/>
        <w:tabs>
          <w:tab w:leader="none" w:pos="141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5.</w:t>
      </w:r>
    </w:p>
    <w:p>
      <w:pPr>
        <w:spacing w:after="0" w:line="154" w:lineRule="exact"/>
        <w:rPr>
          <w:rFonts w:ascii="Times New Roman" w:cs="Times New Roman" w:eastAsia="Times New Roman" w:hAnsi="Times New Roman"/>
          <w:sz w:val="18"/>
          <w:szCs w:val="18"/>
          <w:b w:val="1"/>
          <w:bCs w:val="1"/>
          <w:color w:val="auto"/>
        </w:rPr>
      </w:pPr>
    </w:p>
    <w:p>
      <w:pPr>
        <w:ind w:right="20" w:firstLine="987"/>
        <w:spacing w:after="0" w:line="268" w:lineRule="auto"/>
        <w:tabs>
          <w:tab w:leader="none" w:pos="133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 Agreement</w:t>
      </w:r>
      <w:r>
        <w:rPr>
          <w:rFonts w:ascii="Times New Roman" w:cs="Times New Roman" w:eastAsia="Times New Roman" w:hAnsi="Times New Roman"/>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right="200" w:firstLine="987"/>
        <w:spacing w:after="0" w:line="268" w:lineRule="auto"/>
        <w:tabs>
          <w:tab w:leader="none" w:pos="133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w:t>
      </w:r>
      <w:r>
        <w:rPr>
          <w:rFonts w:ascii="Times New Roman" w:cs="Times New Roman" w:eastAsia="Times New Roman" w:hAnsi="Times New Roman"/>
          <w:sz w:val="18"/>
          <w:szCs w:val="18"/>
          <w:color w:val="auto"/>
        </w:rPr>
        <w:t>” means any right to receive Common Stock granted under the Plan, including an Incentive Stock Option, a Nonstatutory Stock Option, a Restricted Stock Award, a Restricted Stock Unit Award, a Stock Appreciation Right, a Performance Stock Award or any Other Stock Award.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000"/>
          </w:cols>
          <w:pgMar w:left="440" w:top="270" w:right="459" w:bottom="1440" w:gutter="0" w:footer="0" w:header="0"/>
        </w:sectPr>
      </w:pPr>
    </w:p>
    <w:bookmarkStart w:id="26" w:name="page27"/>
    <w:bookmarkEnd w:id="26"/>
    <w:p>
      <w:pPr>
        <w:ind w:right="20" w:firstLine="987"/>
        <w:spacing w:after="0" w:line="286" w:lineRule="auto"/>
        <w:tabs>
          <w:tab w:leader="none" w:pos="131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Stock Award Agreement</w:t>
      </w:r>
      <w:r>
        <w:rPr>
          <w:rFonts w:ascii="Times New Roman" w:cs="Times New Roman" w:eastAsia="Times New Roman" w:hAnsi="Times New Roman"/>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55" w:lineRule="exact"/>
        <w:rPr>
          <w:sz w:val="20"/>
          <w:szCs w:val="20"/>
          <w:color w:val="auto"/>
        </w:rPr>
      </w:pPr>
    </w:p>
    <w:p>
      <w:pPr>
        <w:ind w:right="300" w:firstLine="987"/>
        <w:spacing w:after="0" w:line="259" w:lineRule="auto"/>
        <w:tabs>
          <w:tab w:leader="none" w:pos="142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firstLine="987"/>
        <w:spacing w:after="0" w:line="286" w:lineRule="auto"/>
        <w:tabs>
          <w:tab w:leader="none" w:pos="145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out of or in relation to a Participant’s participation in the Plan and legally applicable or deemed applicable to the Participant.</w:t>
      </w:r>
    </w:p>
    <w:p>
      <w:pPr>
        <w:spacing w:after="0" w:line="154" w:lineRule="exact"/>
        <w:rPr>
          <w:rFonts w:ascii="Times New Roman" w:cs="Times New Roman" w:eastAsia="Times New Roman" w:hAnsi="Times New Roman"/>
          <w:sz w:val="18"/>
          <w:szCs w:val="18"/>
          <w:b w:val="1"/>
          <w:bCs w:val="1"/>
          <w:color w:val="auto"/>
        </w:rPr>
      </w:pPr>
    </w:p>
    <w:p>
      <w:pPr>
        <w:ind w:right="700" w:firstLine="987"/>
        <w:spacing w:after="0" w:line="286" w:lineRule="auto"/>
        <w:tabs>
          <w:tab w:leader="none" w:pos="139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left="1460" w:hanging="473"/>
        <w:spacing w:after="0"/>
        <w:tabs>
          <w:tab w:leader="none" w:pos="14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means a Corporate Transaction or a Change in Control.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000"/>
          </w:cols>
          <w:pgMar w:left="440" w:top="266" w:right="459" w:bottom="1440" w:gutter="0" w:footer="0" w:header="0"/>
        </w:sectPr>
      </w:pPr>
    </w:p>
    <w:bookmarkStart w:id="27" w:name="page28"/>
    <w:bookmarkEnd w:id="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 Options—Sub-Plan for French Residents</w:t>
      </w:r>
    </w:p>
    <w:p>
      <w:pPr>
        <w:spacing w:after="0" w:line="207" w:lineRule="exact"/>
        <w:rPr>
          <w:sz w:val="20"/>
          <w:szCs w:val="20"/>
          <w:color w:val="auto"/>
        </w:rPr>
      </w:pPr>
    </w:p>
    <w:p>
      <w:pPr>
        <w:ind w:right="140" w:firstLine="991"/>
        <w:spacing w:after="0" w:line="289" w:lineRule="auto"/>
        <w:rPr>
          <w:sz w:val="20"/>
          <w:szCs w:val="20"/>
          <w:color w:val="auto"/>
        </w:rPr>
      </w:pPr>
      <w:r>
        <w:rPr>
          <w:rFonts w:ascii="Times New Roman" w:cs="Times New Roman" w:eastAsia="Times New Roman" w:hAnsi="Times New Roman"/>
          <w:sz w:val="17"/>
          <w:szCs w:val="17"/>
          <w:color w:val="auto"/>
        </w:rPr>
        <w:t>Options granted under this French Sub-plan (also referred to as the “SO French Sub-Plan”) to an employee who is a French resident taxpayer and/or subject to the French social security scheme in France shall comply with the terms of this SO French Sub-plan. The purpose of the SO French Sub-plan is to grant Options that qualify for favorable income tax and social security tax treatment under French law (the “French Options”).</w:t>
      </w:r>
    </w:p>
    <w:p>
      <w:pPr>
        <w:spacing w:after="0" w:line="158"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As a matter of principle, any provision included in the Plan or any other document evidencing the terms and conditions of the Plan that would contravene any substantive principle set out in Articles L. 225-177 to L. 225-186 of the French Code de Commerce shall not be applicable to Participant who are residents of France and employed or providing services in France.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1: Administration</w:t>
      </w:r>
    </w:p>
    <w:p>
      <w:pPr>
        <w:spacing w:after="0" w:line="119"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unless otherwise agreed by the Board, French Options will be exercisable under the vesting schedule set out in the Plan or in the Stock Option Agreement for employees subject to taxation under the laws of France.</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the Board is authorized to unilaterally accelerate, reduce, lift or cancel vesting of any option granted under this SO French Sub-Plan, as may be necessary or desirable to comply with the French applicable social or tax laws.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any other provision of the Plan, the exercise price shall remain unchanged.</w:t>
      </w:r>
    </w:p>
    <w:p>
      <w:pPr>
        <w:spacing w:after="0" w:line="225"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Where there is an increase or change in the Company’s share capital, and more generally where one of the events provided for under Article L.225-181 of the French Commercial Code occurs, an adjustment shall be made to the number and/or purchase price of Shares, in accordance with the provisions of Article R.225-137 of the French Commercial Code. Notification of said adjustment shall be made to the Participant. In addition the total number of options granted and remaining unexercised (outstanding options) will never cover a number of shares exceeding one-third of the share capital of the Company.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2: Eligibility</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French Options may be granted only to an employee who is a French resident taxpayer and/or subject to the French social security scheme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France.</w:t>
      </w:r>
    </w:p>
    <w:p>
      <w:pPr>
        <w:spacing w:after="0" w:line="20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For purposes of this SO French Sub-Plan, the Company is the granting Company or a Related Entity whose at least ten percent (10%) of the capital is held, directly or indirectly, by the granting Company.</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French Options may not be granted under this SO French Sub-Plan to Participant owning, upon the date of grant, more than ten percent (10%) of the Company’s capital shares, except as permitted under Article L. 225-185 of the French Commercial Code.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any other provision of the Plan, French Options may only be granted to individuals:</w:t>
      </w:r>
    </w:p>
    <w:p>
      <w:pPr>
        <w:spacing w:after="0" w:line="131" w:lineRule="exact"/>
        <w:rPr>
          <w:sz w:val="20"/>
          <w:szCs w:val="20"/>
          <w:color w:val="auto"/>
        </w:rPr>
      </w:pPr>
    </w:p>
    <w:p>
      <w:pPr>
        <w:ind w:left="1620" w:right="580" w:hanging="315"/>
        <w:spacing w:after="0" w:line="282"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considered as a French tax resident subject to taxation in France and having an employment contract either with the granting Company or one of its Related Entity upon the date of grant; and/or</w:t>
      </w:r>
    </w:p>
    <w:p>
      <w:pPr>
        <w:spacing w:after="0" w:line="67" w:lineRule="exact"/>
        <w:rPr>
          <w:rFonts w:ascii="Times New Roman" w:cs="Times New Roman" w:eastAsia="Times New Roman" w:hAnsi="Times New Roman"/>
          <w:sz w:val="18"/>
          <w:szCs w:val="18"/>
          <w:color w:val="auto"/>
        </w:rPr>
      </w:pPr>
    </w:p>
    <w:p>
      <w:pPr>
        <w:ind w:left="1620" w:right="660" w:hanging="315"/>
        <w:spacing w:after="0" w:line="282"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non-employed directors having a management function (the “président-directeur général,” the “directeur-général,” the “directeur général délégué,” the “members of the “directoire”) of a Related Entity, upon the date of grant.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0960"/>
          </w:cols>
          <w:pgMar w:left="440" w:top="266" w:right="499" w:bottom="1440" w:gutter="0" w:footer="0" w:header="0"/>
        </w:sectPr>
      </w:pPr>
    </w:p>
    <w:bookmarkStart w:id="28" w:name="page29"/>
    <w:bookmarkEnd w:id="28"/>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French Options granting the right to subscribe securities which are not admitted to trading on a regulated market may be granted only to the employees of the company granting these options or to those of the companies mentioned in Article L. 225-180, 1° of the French Commercial Code.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3: Limitations on Grant under the SO French Sub-Plan</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shares of the Company are admitted to trading on a regulated market:</w:t>
      </w:r>
    </w:p>
    <w:p>
      <w:pPr>
        <w:spacing w:after="0" w:line="131" w:lineRule="exact"/>
        <w:rPr>
          <w:sz w:val="20"/>
          <w:szCs w:val="20"/>
          <w:color w:val="auto"/>
        </w:rPr>
      </w:pPr>
    </w:p>
    <w:p>
      <w:pPr>
        <w:ind w:left="1420" w:hanging="331"/>
        <w:spacing w:after="0"/>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may not be less than 80% of the average market price over the last twenty trading days preceding that day,</w:t>
      </w:r>
    </w:p>
    <w:p>
      <w:pPr>
        <w:spacing w:after="0" w:line="130" w:lineRule="exact"/>
        <w:rPr>
          <w:rFonts w:ascii="Times New Roman" w:cs="Times New Roman" w:eastAsia="Times New Roman" w:hAnsi="Times New Roman"/>
          <w:sz w:val="18"/>
          <w:szCs w:val="18"/>
          <w:color w:val="auto"/>
        </w:rPr>
      </w:pPr>
    </w:p>
    <w:p>
      <w:pPr>
        <w:ind w:left="1420" w:right="140" w:hanging="331"/>
        <w:spacing w:after="0" w:line="282"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may be granted less than twenty trading sessions after the detachment of the shares of a coupon giving right to a dividend or a capital increase.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shall not grant French Options during the closed periods required under Section L.225-177 of the French Commercial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a result, notwithstanding any other provision of the Plan, French Options cannot be granted:</w:t>
      </w:r>
    </w:p>
    <w:p>
      <w:pPr>
        <w:spacing w:after="0" w:line="131" w:lineRule="exact"/>
        <w:rPr>
          <w:sz w:val="20"/>
          <w:szCs w:val="20"/>
          <w:color w:val="auto"/>
        </w:rPr>
      </w:pPr>
    </w:p>
    <w:p>
      <w:pPr>
        <w:ind w:left="1620" w:right="480" w:hanging="315"/>
        <w:spacing w:after="0" w:line="282"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ten (10) trading days preceding and following the date on which the consolidated accounts, or, if unavailable, the annual accounts, are made public;</w:t>
      </w:r>
    </w:p>
    <w:p>
      <w:pPr>
        <w:spacing w:after="0" w:line="67" w:lineRule="exact"/>
        <w:rPr>
          <w:rFonts w:ascii="Times New Roman" w:cs="Times New Roman" w:eastAsia="Times New Roman" w:hAnsi="Times New Roman"/>
          <w:sz w:val="18"/>
          <w:szCs w:val="18"/>
          <w:color w:val="auto"/>
        </w:rPr>
      </w:pPr>
    </w:p>
    <w:p>
      <w:pPr>
        <w:jc w:val="both"/>
        <w:ind w:left="1620" w:right="380" w:hanging="315"/>
        <w:spacing w:after="0" w:line="266"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between the date on which the Company’s governing bodies (i.e., the Board of Directors) become aware of information which, if made public, could have a material impact on the price of the Shares, and the date ten (10) trading days after such information is made public.</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4: Restrictions on Transfer</w:t>
      </w:r>
    </w:p>
    <w:p>
      <w:pPr>
        <w:spacing w:after="0" w:line="119"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This Agreement is personal to the Participant and is not transferable by the Participant in any manner other than by inheritance. The French Options may be exercised during the Participant’s lifetime only by the Participant.</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In the event of death of the beneficiary during the exercise period of the French Options, the beneficiary’s heirs will have a period of six (6) months following the date of death, to exercise the option. Upon expiry of this period the option will be null and void.</w:t>
      </w:r>
    </w:p>
    <w:p>
      <w:pPr>
        <w:spacing w:after="0" w:line="162"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Moreover, at the time of the grant of French Options, the Board shall, if any of the Participant is an officer or director of the Company, either decide that such officer or director cannot sell the shares of Common Stock received upon Vesting or exercise of the French Options before the end of his or her functions, or determine the number of shares of Common Stock received upon Vesting of such French Options that such officer or director shall keep up to the end of his or her functions.</w:t>
      </w:r>
    </w:p>
    <w:p>
      <w:pPr>
        <w:spacing w:after="0" w:line="180"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The shares acquired upon exercise of the French Options shall also be subject to certain transfer restrictions and other limitations including, without limitation, the provisions contained in the present Plan.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5: Other Compliance with French Tax and Social Security Law</w:t>
      </w:r>
    </w:p>
    <w:p>
      <w:pPr>
        <w:spacing w:after="0" w:line="11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French Options granted under the SO French Sub-plan must also comply with any other requirements set forth by the French tax and social security law as interpreted and supplemented by the French tax and social security guidelines in effect at the date of grant of such options.</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Except as the Company and Participant agree in writing, the Company shall not modify the terms of a French Award agreement (or this SO French Sub-plan) in such a manner as to cause the recipient to no longer benefit from the favorable tax and social contribution regimes provided by articles 80 quaterdecies and 200 A of the French Tax Code (</w:t>
      </w:r>
      <w:r>
        <w:rPr>
          <w:rFonts w:ascii="Times New Roman" w:cs="Times New Roman" w:eastAsia="Times New Roman" w:hAnsi="Times New Roman"/>
          <w:sz w:val="18"/>
          <w:szCs w:val="18"/>
          <w:i w:val="1"/>
          <w:iCs w:val="1"/>
          <w:color w:val="auto"/>
        </w:rPr>
        <w:t>Code Général des Impôts</w:t>
      </w:r>
      <w:r>
        <w:rPr>
          <w:rFonts w:ascii="Times New Roman" w:cs="Times New Roman" w:eastAsia="Times New Roman" w:hAnsi="Times New Roman"/>
          <w:sz w:val="18"/>
          <w:szCs w:val="18"/>
          <w:color w:val="auto"/>
        </w:rPr>
        <w:t>) and article L.242-1 and L.242-14 of the French Social Security Code (</w:t>
      </w:r>
      <w:r>
        <w:rPr>
          <w:rFonts w:ascii="Times New Roman" w:cs="Times New Roman" w:eastAsia="Times New Roman" w:hAnsi="Times New Roman"/>
          <w:sz w:val="18"/>
          <w:szCs w:val="18"/>
          <w:i w:val="1"/>
          <w:iCs w:val="1"/>
          <w:color w:val="auto"/>
        </w:rPr>
        <w:t>Code de la Sécurité Sociale</w:t>
      </w:r>
      <w:r>
        <w:rPr>
          <w:rFonts w:ascii="Times New Roman" w:cs="Times New Roman" w:eastAsia="Times New Roman" w:hAnsi="Times New Roman"/>
          <w:sz w:val="18"/>
          <w:szCs w:val="18"/>
          <w:color w:val="auto"/>
        </w:rPr>
        <w:t>) in connection with the grant and settlement of Award and the disposition of the shares received upon the Vesting pursuant to the Stock Option agreement, this SO French Sub-plan, and the Plan.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020"/>
          </w:cols>
          <w:pgMar w:left="440" w:top="270"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6: No Rights as a Shareholder</w:t>
      </w:r>
    </w:p>
    <w:p>
      <w:pPr>
        <w:spacing w:after="0" w:line="11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holder of a French Option shall not have any rights as a shareholder of the Company unless and until shares are issued to the holder with respect to the option.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7: Amendment or Termination of the Plan</w:t>
      </w:r>
    </w:p>
    <w:p>
      <w:pPr>
        <w:spacing w:after="0" w:line="119" w:lineRule="exact"/>
        <w:rPr>
          <w:sz w:val="20"/>
          <w:szCs w:val="20"/>
          <w:color w:val="auto"/>
        </w:rPr>
      </w:pPr>
    </w:p>
    <w:p>
      <w:pPr>
        <w:jc w:val="both"/>
        <w:ind w:right="200" w:firstLine="991"/>
        <w:spacing w:after="0" w:line="282" w:lineRule="auto"/>
        <w:rPr>
          <w:sz w:val="20"/>
          <w:szCs w:val="20"/>
          <w:color w:val="auto"/>
        </w:rPr>
      </w:pPr>
      <w:r>
        <w:rPr>
          <w:rFonts w:ascii="Times New Roman" w:cs="Times New Roman" w:eastAsia="Times New Roman" w:hAnsi="Times New Roman"/>
          <w:sz w:val="18"/>
          <w:szCs w:val="18"/>
          <w:color w:val="auto"/>
        </w:rPr>
        <w:t>Subject to the terms of the Plan, the Board reserves the right to amend or terminate this SO French Sub-Plan at any time, without any retroactive effect.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8: Data Protection</w:t>
      </w:r>
    </w:p>
    <w:p>
      <w:pPr>
        <w:spacing w:after="0" w:line="119"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The Company will satisfy any notification, application or prior authorization required under applicable laws in order to comply with French and European Union data protection legislation or regulations, including but not limited to the Generation Data Protection Regulation (EU) 2016/679.</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0780"/>
          </w:cols>
          <w:pgMar w:left="440" w:top="268" w:right="67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Units—Sub-Plan for French Residents</w:t>
      </w:r>
    </w:p>
    <w:p>
      <w:pPr>
        <w:spacing w:after="0" w:line="207"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Restricted Stock Units granted under this French Sub-plan (also referred to as the “RSU French Sub-Plan”) to an employee who is a French resident taxpayer and/or subject to the French social security scheme in France shall comply with the terms of this RSU French Sub-plan. The purpose of the RSU French Sub-plan is to grant Restricted Stock Units that qualify for favorable income tax and social security tax treatment under French law.</w:t>
      </w:r>
    </w:p>
    <w:p>
      <w:pPr>
        <w:spacing w:after="0" w:line="180"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As a matter of principle, any provision included in the Plan or any other document evidencing the terms and conditions of the Plan that would contravene any substantive principle set out in Articles L.225-197-1 to L.225-197-6 of the French Code de Commerce shall not be applicable to Participant who are residents of France and employed or providing services in France.</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Provided that he or she complies with the provisions of the RSU French Sub-Plan, Participants will benefit from the favorable tax and social contribution regimes provided by articles 80 quaterdecies and 200 A of the French Tax Code (</w:t>
      </w:r>
      <w:r>
        <w:rPr>
          <w:rFonts w:ascii="Times New Roman" w:cs="Times New Roman" w:eastAsia="Times New Roman" w:hAnsi="Times New Roman"/>
          <w:sz w:val="18"/>
          <w:szCs w:val="18"/>
          <w:i w:val="1"/>
          <w:iCs w:val="1"/>
          <w:color w:val="auto"/>
        </w:rPr>
        <w:t>Code Général des Impôts</w:t>
      </w:r>
      <w:r>
        <w:rPr>
          <w:rFonts w:ascii="Times New Roman" w:cs="Times New Roman" w:eastAsia="Times New Roman" w:hAnsi="Times New Roman"/>
          <w:sz w:val="18"/>
          <w:szCs w:val="18"/>
          <w:color w:val="auto"/>
        </w:rPr>
        <w:t>) and article L.242-1 of the French Social Security Code (</w:t>
      </w:r>
      <w:r>
        <w:rPr>
          <w:rFonts w:ascii="Times New Roman" w:cs="Times New Roman" w:eastAsia="Times New Roman" w:hAnsi="Times New Roman"/>
          <w:sz w:val="18"/>
          <w:szCs w:val="18"/>
          <w:i w:val="1"/>
          <w:iCs w:val="1"/>
          <w:color w:val="auto"/>
        </w:rPr>
        <w:t>Code de la Sécurité Sociale</w:t>
      </w:r>
      <w:r>
        <w:rPr>
          <w:rFonts w:ascii="Times New Roman" w:cs="Times New Roman" w:eastAsia="Times New Roman" w:hAnsi="Times New Roman"/>
          <w:sz w:val="18"/>
          <w:szCs w:val="18"/>
          <w:color w:val="auto"/>
        </w:rPr>
        <w:t>) in connection with the grant and settlement of Restricted Stock Units and the disposition of the shares received upon Vesting of the Restricted Stock Units pursuant to the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1: Definitions</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terms shall have the following meanings for purposes of this RSU French Sub-plan:</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“French Award or Award” means, individually or collectively, any Award granted under this RSU French Sub-Plan to Participant who are French resident taxpayers and/or subject to the French social security scheme in France.</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“Disability” means a physical or mental condition corresponding to the classification in the second or third categories laid down in Article L. 341-4 of the French Social Security Code (</w:t>
      </w:r>
      <w:r>
        <w:rPr>
          <w:rFonts w:ascii="Times New Roman" w:cs="Times New Roman" w:eastAsia="Times New Roman" w:hAnsi="Times New Roman"/>
          <w:sz w:val="18"/>
          <w:szCs w:val="18"/>
          <w:i w:val="1"/>
          <w:iCs w:val="1"/>
          <w:color w:val="auto"/>
        </w:rPr>
        <w:t>Code de la Sécurité Sociale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“Grant Date” means the date on which the Committee both (i) designates the Participant, and (ii) specifies the material terms and conditions of the Award including the number of Shares subject to each Award, the method for determining the exercise price of the Award (if any), the conditions for the vesting Award, the conditions for exercising the Award and any restrictions on the transfer or sale of the Shares subject to each Award.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“Vesting Period” means, with respect to any French Award, the vesting period described in Section 4 below.</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“Holding Period” means, with respect to any French Award, the holding period described in Section 5 below</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2: Eligibility</w:t>
      </w:r>
    </w:p>
    <w:p>
      <w:pPr>
        <w:spacing w:after="0" w:line="133" w:lineRule="exact"/>
        <w:rPr>
          <w:sz w:val="20"/>
          <w:szCs w:val="20"/>
          <w:color w:val="auto"/>
        </w:rPr>
      </w:pPr>
    </w:p>
    <w:p>
      <w:pPr>
        <w:ind w:left="1420" w:right="100" w:hanging="331"/>
        <w:spacing w:after="0" w:line="276" w:lineRule="auto"/>
        <w:tabs>
          <w:tab w:leader="none" w:pos="14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Sections 2(b), 2(c) and 3 below, the following persons shall be eligible to receive Awards, provided that he or she also satisfies the eligibility conditions of the Plan: any Participant who, on the Grant Date and to the extent required under French law, is</w:t>
      </w:r>
    </w:p>
    <w:p>
      <w:pPr>
        <w:ind w:left="1420" w:right="1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employed under the terms and conditions of an employment contract (“contrat de travail”) with a French Entity or (2) while the Shares are traded on a regulated exchange market, a corporate officer having a management function in the French Entity, as specified under the French Commercial Code.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020"/>
          </w:cols>
          <w:pgMar w:left="440" w:top="266" w:right="439" w:bottom="1440" w:gutter="0" w:footer="0" w:header="0"/>
        </w:sectPr>
      </w:pPr>
    </w:p>
    <w:bookmarkStart w:id="31" w:name="page32"/>
    <w:bookmarkEnd w:id="31"/>
    <w:p>
      <w:pPr>
        <w:ind w:left="1420" w:right="40" w:hanging="331"/>
        <w:spacing w:after="0" w:line="258"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Awards may not be granted to corporate officers (as specified under the French Commercial Code) of a French Entity, other than the chairman of the board of directors (président du conseil d’administration), the chief executive officer (directeur général), the deputy chief executive officer (directeur général délégué), the members of the management board (membres du directoire) and the manager of a joint-stock company (gérant d’une société par actions), unless the officer is employed under the terms and conditions of an employment contract (“contrat de travail”) with a French Entity, as defined by French law.</w:t>
      </w:r>
    </w:p>
    <w:p>
      <w:pPr>
        <w:spacing w:after="0" w:line="88" w:lineRule="exact"/>
        <w:rPr>
          <w:rFonts w:ascii="Times New Roman" w:cs="Times New Roman" w:eastAsia="Times New Roman" w:hAnsi="Times New Roman"/>
          <w:sz w:val="18"/>
          <w:szCs w:val="18"/>
          <w:color w:val="auto"/>
        </w:rPr>
      </w:pPr>
    </w:p>
    <w:p>
      <w:pPr>
        <w:ind w:left="1420" w:right="400" w:hanging="331"/>
        <w:spacing w:after="0" w:line="282"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French Award under the RSU French Sub-plan may be granted only to a Participant who is a French resident taxpayer and/or subject to the French social security scheme in France.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3: Limitations on Grant under the RSU French Sub-Plan</w:t>
      </w:r>
    </w:p>
    <w:p>
      <w:pPr>
        <w:spacing w:after="0" w:line="11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French Awards may not be granted to a Participant who holds more than 10% of the Company’s outstanding shares at the date of grant or a Participant who would hold more than 10% of the Company’s outstanding shares following the French Award grant.</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Any share of Common Stock granted in violation of this rule shall not be deemed to have been granted. Settlement of French Awards shall only be in shares; there shall be no settlement of French Awards in cash.</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aggregate number of shares underlying the Awards will not exceed 10% of the Company’s share capital.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4: Vesting Period</w:t>
      </w:r>
    </w:p>
    <w:p>
      <w:pPr>
        <w:spacing w:after="0" w:line="119"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Except in the case of the death or Disability of the Participant, no portion of any French Award may Vest (whether such Vesting results from the achievement of one or more goals relating to the completion of service by the French Award holder and/or the achievement of performance or other objectives) until at least the first anniversary of the date of grant of such French Award.</w:t>
      </w:r>
    </w:p>
    <w:p>
      <w:pPr>
        <w:spacing w:after="0" w:line="176"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The holder of a French Award shall be 100% Vested in such French Award in the event his or her Employment is terminated by reason of death or Disability, provided, however, that if the Vesting of such French Award is based, at least in part, on performance conditions, the acceleration, if any, of such performance-based Vesting upon such death of Disability shall be determined as set forth in the applicable award agreement. In the event of death or Disability, the remaining shares subject to the Award that have not been issued as of the date the Award holder’s service relationship with the Company (and its subsidiaries) so terminates will be issued to the holder or, in the case of death, his or her heirs upon their request as provided under applicable law. In such event (either death or Disability), the Company shall issue the shares within six months of such termination, and the Holding Period, if any, will not apply to such shares, but the blackout restrictions on sale described in Section 6 will continue to apply.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5: Holding Period</w:t>
      </w:r>
    </w:p>
    <w:p>
      <w:pPr>
        <w:spacing w:after="0" w:line="119"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With respect to each French Award, if the Vesting Period is shorter than two years, there shall be a one-year period following each Vesting date applicable to such French Award so that the cumulated Vesting Period and Holding Period will be at least equal to two years.</w:t>
      </w:r>
    </w:p>
    <w:p>
      <w:pPr>
        <w:spacing w:after="0" w:line="162" w:lineRule="exact"/>
        <w:rPr>
          <w:sz w:val="20"/>
          <w:szCs w:val="20"/>
          <w:color w:val="auto"/>
        </w:rPr>
      </w:pPr>
    </w:p>
    <w:p>
      <w:pPr>
        <w:jc w:val="center"/>
        <w:spacing w:after="0" w:line="454" w:lineRule="auto"/>
        <w:rPr>
          <w:sz w:val="20"/>
          <w:szCs w:val="20"/>
          <w:color w:val="auto"/>
        </w:rPr>
      </w:pPr>
      <w:r>
        <w:rPr>
          <w:rFonts w:ascii="Times New Roman" w:cs="Times New Roman" w:eastAsia="Times New Roman" w:hAnsi="Times New Roman"/>
          <w:sz w:val="18"/>
          <w:szCs w:val="18"/>
          <w:color w:val="auto"/>
        </w:rPr>
        <w:t>During the Holding Period the Participant issued such French Award may not sell or loan any shares issued upon the Vesting. A-27</w:t>
      </w:r>
    </w:p>
    <w:p>
      <w:pPr>
        <w:sectPr>
          <w:pgSz w:w="11900" w:h="16838" w:orient="portrait"/>
          <w:cols w:equalWidth="0" w:num="1">
            <w:col w:w="10980"/>
          </w:cols>
          <w:pgMar w:left="440" w:top="270"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6: Restrictions on Sale—Black Out Periods</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Following the expiration of the Vesting and/or Holding Periods described Sections 4 and 5, shares of Common Stock issued may not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w:t>
      </w:r>
    </w:p>
    <w:p>
      <w:pPr>
        <w:spacing w:after="0" w:line="112" w:lineRule="exact"/>
        <w:rPr>
          <w:sz w:val="20"/>
          <w:szCs w:val="20"/>
          <w:color w:val="auto"/>
        </w:rPr>
      </w:pPr>
    </w:p>
    <w:p>
      <w:pPr>
        <w:ind w:left="1420" w:hanging="331"/>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ten existing blackout periods established by the Company, which are hereby made applicable to all French Awards;</w:t>
      </w:r>
    </w:p>
    <w:p>
      <w:pPr>
        <w:spacing w:after="0" w:line="130" w:lineRule="exact"/>
        <w:rPr>
          <w:rFonts w:ascii="Times New Roman" w:cs="Times New Roman" w:eastAsia="Times New Roman" w:hAnsi="Times New Roman"/>
          <w:sz w:val="18"/>
          <w:szCs w:val="18"/>
          <w:color w:val="auto"/>
        </w:rPr>
      </w:pPr>
    </w:p>
    <w:p>
      <w:pPr>
        <w:ind w:left="1420" w:right="360" w:hanging="331"/>
        <w:spacing w:after="0" w:line="282"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ten stock exchange trading days preceding and following the date on which the Company’s consolidated accounts are made public, or failing that, the annual accounts are published;</w:t>
      </w:r>
    </w:p>
    <w:p>
      <w:pPr>
        <w:spacing w:after="0" w:line="67" w:lineRule="exact"/>
        <w:rPr>
          <w:rFonts w:ascii="Times New Roman" w:cs="Times New Roman" w:eastAsia="Times New Roman" w:hAnsi="Times New Roman"/>
          <w:sz w:val="18"/>
          <w:szCs w:val="18"/>
          <w:color w:val="auto"/>
        </w:rPr>
      </w:pPr>
    </w:p>
    <w:p>
      <w:pPr>
        <w:ind w:left="1420" w:right="40" w:hanging="331"/>
        <w:spacing w:after="0" w:line="266"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(i) the date on which the Company’s management bodies have knowledge of information which, if made public, could have a significant impact on the share price of the Common Stock; and (ii) ten stock exchange trading days following the date on which this information is published; and</w:t>
      </w:r>
    </w:p>
    <w:p>
      <w:pPr>
        <w:spacing w:after="0" w:line="81" w:lineRule="exact"/>
        <w:rPr>
          <w:rFonts w:ascii="Times New Roman" w:cs="Times New Roman" w:eastAsia="Times New Roman" w:hAnsi="Times New Roman"/>
          <w:sz w:val="18"/>
          <w:szCs w:val="18"/>
          <w:color w:val="auto"/>
        </w:rPr>
      </w:pPr>
    </w:p>
    <w:p>
      <w:pPr>
        <w:ind w:left="1420" w:right="140" w:hanging="331"/>
        <w:spacing w:after="0" w:line="282"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has nonpublic material information about the Company and such sale would violate any applicable securities laws of the United States of America or France.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7: Restrictions on Sale for Officers and Directors</w:t>
      </w:r>
    </w:p>
    <w:p>
      <w:pPr>
        <w:spacing w:after="0" w:line="119"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At the time of the grant of French Awards, the Committee shall, if any of the Participants is an officer or director of the Company, either decide that such officer or director cannot sell the shares of Common Stock received upon Vesting or exercise of the French Award before the end of his or her functions, or determine the number of shares of Common Stock received upon Vesting of such French Award that such officer or director shall keep up to the end of his or her functions.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8: Restrictions on Transfer</w:t>
      </w:r>
    </w:p>
    <w:p>
      <w:pPr>
        <w:spacing w:after="0" w:line="119"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Shares of Common Stock subject to French Awards may not be transferred, assigned, pledged or hypothecated in any manner until they have Vested in accordance with this RSU French Sub-plan.</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Rights granted under the RSU French Sub-plan shall not be transferable by the recipient of such grants other than by will or by the laws of descent and distribution.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9: Other Compliance with French Tax and Social Security Law</w:t>
      </w:r>
    </w:p>
    <w:p>
      <w:pPr>
        <w:spacing w:after="0" w:line="119" w:lineRule="exact"/>
        <w:rPr>
          <w:sz w:val="20"/>
          <w:szCs w:val="20"/>
          <w:color w:val="auto"/>
        </w:rPr>
      </w:pPr>
    </w:p>
    <w:p>
      <w:pPr>
        <w:ind w:right="360" w:firstLine="991"/>
        <w:spacing w:after="0" w:line="312" w:lineRule="auto"/>
        <w:rPr>
          <w:sz w:val="20"/>
          <w:szCs w:val="20"/>
          <w:color w:val="auto"/>
        </w:rPr>
      </w:pPr>
      <w:r>
        <w:rPr>
          <w:rFonts w:ascii="Times New Roman" w:cs="Times New Roman" w:eastAsia="Times New Roman" w:hAnsi="Times New Roman"/>
          <w:sz w:val="17"/>
          <w:szCs w:val="17"/>
          <w:color w:val="auto"/>
        </w:rPr>
        <w:t>French Awards granted under the RSU French Sub-plan must also comply with any other requirements set forth by the French tax and social security law as interpreted and supplemented by the French tax and social security guidelines in effect at the date of grant of such Awards.</w:t>
      </w:r>
    </w:p>
    <w:p>
      <w:pPr>
        <w:spacing w:after="0" w:line="14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Except as the Company and Participant agree in writing, the Company shall not modify the terms of a French Award agreement (or this RSU French Sub-plan) in such a manner as to cause the recipient to no longer benefit from the favorable tax and social contribution regimes provided by articles 80 quaterdecies and 200 A of the French Tax Code (</w:t>
      </w:r>
      <w:r>
        <w:rPr>
          <w:rFonts w:ascii="Times New Roman" w:cs="Times New Roman" w:eastAsia="Times New Roman" w:hAnsi="Times New Roman"/>
          <w:sz w:val="18"/>
          <w:szCs w:val="18"/>
          <w:i w:val="1"/>
          <w:iCs w:val="1"/>
          <w:color w:val="auto"/>
        </w:rPr>
        <w:t>Code Général des Impôts</w:t>
      </w:r>
      <w:r>
        <w:rPr>
          <w:rFonts w:ascii="Times New Roman" w:cs="Times New Roman" w:eastAsia="Times New Roman" w:hAnsi="Times New Roman"/>
          <w:sz w:val="18"/>
          <w:szCs w:val="18"/>
          <w:color w:val="auto"/>
        </w:rPr>
        <w:t>) and article L.242-1 and L.242-14 of the French Social Security Code (</w:t>
      </w:r>
      <w:r>
        <w:rPr>
          <w:rFonts w:ascii="Times New Roman" w:cs="Times New Roman" w:eastAsia="Times New Roman" w:hAnsi="Times New Roman"/>
          <w:sz w:val="18"/>
          <w:szCs w:val="18"/>
          <w:i w:val="1"/>
          <w:iCs w:val="1"/>
          <w:color w:val="auto"/>
        </w:rPr>
        <w:t>Code de la Sécurité Sociale</w:t>
      </w:r>
      <w:r>
        <w:rPr>
          <w:rFonts w:ascii="Times New Roman" w:cs="Times New Roman" w:eastAsia="Times New Roman" w:hAnsi="Times New Roman"/>
          <w:sz w:val="18"/>
          <w:szCs w:val="18"/>
          <w:color w:val="auto"/>
        </w:rPr>
        <w:t>) in connection with the grant and settlement of Award and the disposition of the shares received upon the Vesting pursuant to the Award agreement, this RSU French Sub-plan, and the Plan.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10: No Rights as a Shareholder</w:t>
      </w:r>
    </w:p>
    <w:p>
      <w:pPr>
        <w:spacing w:after="0" w:line="119"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The holder of a French Award shall not have any rights as a shareholder of the Company unless and until shares are issued to the holder with respect to the Award.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000"/>
          </w:cols>
          <w:pgMar w:left="440" w:top="268"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12: Amendment or Termination of the Plan</w:t>
      </w:r>
    </w:p>
    <w:p>
      <w:pPr>
        <w:spacing w:after="0" w:line="119"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Subject to the terms of the Plan, the Committee reserves the right to amend or terminate this RSU French Sub-Plan at any time, without any retroactive effect.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13: Modification of the Share Capital</w:t>
      </w:r>
    </w:p>
    <w:p>
      <w:pPr>
        <w:spacing w:after="0" w:line="11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the share capital of the Company is modified during the Vesting or Holding Periods, the Awards may be adjusted in order for this change to be neutral for the Participants, provided that such adjustment has the sole purpose and consequence of preserving the rights of the Participants and that additional shares which could be issued as a result remain subject to the same requirements (including the Vesting Period and the Holding Period requirement) as those applying to the original Award.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 14: Data Protection</w:t>
      </w:r>
    </w:p>
    <w:p>
      <w:pPr>
        <w:spacing w:after="0" w:line="119" w:lineRule="exact"/>
        <w:rPr>
          <w:sz w:val="20"/>
          <w:szCs w:val="20"/>
          <w:color w:val="auto"/>
        </w:rPr>
      </w:pPr>
    </w:p>
    <w:p>
      <w:pPr>
        <w:jc w:val="both"/>
        <w:ind w:right="440" w:firstLine="991"/>
        <w:spacing w:after="0" w:line="266" w:lineRule="auto"/>
        <w:rPr>
          <w:sz w:val="20"/>
          <w:szCs w:val="20"/>
          <w:color w:val="auto"/>
        </w:rPr>
      </w:pPr>
      <w:r>
        <w:rPr>
          <w:rFonts w:ascii="Times New Roman" w:cs="Times New Roman" w:eastAsia="Times New Roman" w:hAnsi="Times New Roman"/>
          <w:sz w:val="18"/>
          <w:szCs w:val="18"/>
          <w:color w:val="auto"/>
        </w:rPr>
        <w:t>The Company will satisfy any notification, application or prior authorization required under applicable laws in order to comply with French and European Union data protection legislation or regulations, including but not limited to the Generation Data Protection Regulation (EU) 2016/679.</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000"/>
          </w:cols>
          <w:pgMar w:left="440" w:top="268" w:right="4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AND RESTATED 2019 EMPLOYEE STOCK PURCHASE PLAN</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AMENDED AND RESTATED BY THE BOARD OF DIRECTORS: APRIL 22, 2022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APPROVED BY THE STOCKHOLDERS: JUNE 17, 2022</w:t>
      </w:r>
    </w:p>
    <w:p>
      <w:pPr>
        <w:spacing w:after="0" w:line="351" w:lineRule="exact"/>
        <w:rPr>
          <w:sz w:val="20"/>
          <w:szCs w:val="20"/>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PURPOSE.</w:t>
      </w:r>
    </w:p>
    <w:p>
      <w:pPr>
        <w:spacing w:after="0" w:line="121" w:lineRule="exact"/>
        <w:rPr>
          <w:rFonts w:ascii="Times New Roman" w:cs="Times New Roman" w:eastAsia="Times New Roman" w:hAnsi="Times New Roman"/>
          <w:sz w:val="18"/>
          <w:szCs w:val="18"/>
          <w:b w:val="1"/>
          <w:bCs w:val="1"/>
          <w:color w:val="auto"/>
        </w:rPr>
      </w:pPr>
    </w:p>
    <w:p>
      <w:pPr>
        <w:ind w:left="4" w:right="20" w:firstLine="987"/>
        <w:spacing w:after="0" w:line="261" w:lineRule="auto"/>
        <w:tabs>
          <w:tab w:leader="none" w:pos="125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179" w:lineRule="exact"/>
        <w:rPr>
          <w:rFonts w:ascii="Times New Roman" w:cs="Times New Roman" w:eastAsia="Times New Roman" w:hAnsi="Times New Roman"/>
          <w:sz w:val="18"/>
          <w:szCs w:val="18"/>
          <w:b w:val="1"/>
          <w:bCs w:val="1"/>
          <w:color w:val="auto"/>
        </w:rPr>
      </w:pPr>
    </w:p>
    <w:p>
      <w:pPr>
        <w:jc w:val="both"/>
        <w:ind w:left="4" w:right="40" w:firstLine="987"/>
        <w:spacing w:after="0" w:line="261" w:lineRule="auto"/>
        <w:tabs>
          <w:tab w:leader="none" w:pos="126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Except as otherwise provided in the Plan or determined by the Board, the Non-423 Component will operate and be administered in the same manner as the 423 Component.</w:t>
      </w:r>
    </w:p>
    <w:p>
      <w:pPr>
        <w:spacing w:after="0" w:line="179" w:lineRule="exact"/>
        <w:rPr>
          <w:rFonts w:ascii="Times New Roman" w:cs="Times New Roman" w:eastAsia="Times New Roman" w:hAnsi="Times New Roman"/>
          <w:sz w:val="18"/>
          <w:szCs w:val="18"/>
          <w:b w:val="1"/>
          <w:bCs w:val="1"/>
          <w:color w:val="auto"/>
        </w:rPr>
      </w:pPr>
    </w:p>
    <w:p>
      <w:pPr>
        <w:jc w:val="both"/>
        <w:ind w:left="4" w:right="820" w:firstLine="987"/>
        <w:spacing w:after="0" w:line="312" w:lineRule="auto"/>
        <w:tabs>
          <w:tab w:leader="none" w:pos="1240" w:val="left"/>
        </w:tabs>
        <w:numPr>
          <w:ilvl w:val="1"/>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139" w:lineRule="exact"/>
        <w:rPr>
          <w:rFonts w:ascii="Times New Roman" w:cs="Times New Roman" w:eastAsia="Times New Roman" w:hAnsi="Times New Roman"/>
          <w:sz w:val="17"/>
          <w:szCs w:val="17"/>
          <w:b w:val="1"/>
          <w:bCs w:val="1"/>
          <w:color w:val="auto"/>
        </w:rPr>
      </w:pPr>
    </w:p>
    <w:p>
      <w:pPr>
        <w:ind w:left="4" w:right="20" w:firstLine="987"/>
        <w:spacing w:after="0" w:line="261" w:lineRule="auto"/>
        <w:tabs>
          <w:tab w:leader="none" w:pos="12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adopted by the Company as the successor to and replacement of the Millendo Therapeutics, Inc. 2019 Employee Stock Purchase Plan (the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and amends and restates the Prior Plan in its entirety. Effective as of the approval of the Plan by the stockholders of the Company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the Prior Plan shall be terminated. Notwithstanding the foregoing, ongoing Offerings under the Prior Plan on the Effective Date will continue.</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21" w:lineRule="exact"/>
        <w:rPr>
          <w:rFonts w:ascii="Times New Roman" w:cs="Times New Roman" w:eastAsia="Times New Roman" w:hAnsi="Times New Roman"/>
          <w:sz w:val="18"/>
          <w:szCs w:val="18"/>
          <w:b w:val="1"/>
          <w:bCs w:val="1"/>
          <w:color w:val="auto"/>
        </w:rPr>
      </w:pPr>
    </w:p>
    <w:p>
      <w:pPr>
        <w:ind w:left="4" w:right="40" w:firstLine="987"/>
        <w:spacing w:after="0" w:line="282" w:lineRule="auto"/>
        <w:tabs>
          <w:tab w:leader="none" w:pos="125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or the Committee will administer the Plan. References herein to the Board shall be deemed to refer to the Committee except where context dictates otherwise.</w:t>
      </w:r>
    </w:p>
    <w:p>
      <w:pPr>
        <w:spacing w:after="0" w:line="161"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5" w:lineRule="exact"/>
        <w:rPr>
          <w:rFonts w:ascii="Times New Roman" w:cs="Times New Roman" w:eastAsia="Times New Roman" w:hAnsi="Times New Roman"/>
          <w:sz w:val="18"/>
          <w:szCs w:val="18"/>
          <w:b w:val="1"/>
          <w:bCs w:val="1"/>
          <w:color w:val="auto"/>
        </w:rPr>
      </w:pPr>
    </w:p>
    <w:p>
      <w:pPr>
        <w:ind w:left="1644" w:hanging="212"/>
        <w:spacing w:after="0"/>
        <w:tabs>
          <w:tab w:leader="none" w:pos="1644" w:val="left"/>
        </w:tabs>
        <w:numPr>
          <w:ilvl w:val="2"/>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w:t>
      </w:r>
    </w:p>
    <w:p>
      <w:pPr>
        <w:spacing w:after="0" w:line="225" w:lineRule="exact"/>
        <w:rPr>
          <w:rFonts w:ascii="Times New Roman" w:cs="Times New Roman" w:eastAsia="Times New Roman" w:hAnsi="Times New Roman"/>
          <w:sz w:val="18"/>
          <w:szCs w:val="18"/>
          <w:b w:val="1"/>
          <w:bCs w:val="1"/>
          <w:color w:val="auto"/>
        </w:rPr>
      </w:pPr>
    </w:p>
    <w:p>
      <w:pPr>
        <w:ind w:left="1704" w:hanging="272"/>
        <w:spacing w:after="0"/>
        <w:tabs>
          <w:tab w:leader="none" w:pos="1704" w:val="left"/>
        </w:tabs>
        <w:numPr>
          <w:ilvl w:val="2"/>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designate from time to time (A) which Related Corporations of the Company will be eligible to participate in the Plan,</w:t>
      </w:r>
    </w:p>
    <w:p>
      <w:pPr>
        <w:spacing w:after="0" w:line="27" w:lineRule="exact"/>
        <w:rPr>
          <w:sz w:val="20"/>
          <w:szCs w:val="20"/>
          <w:color w:val="auto"/>
        </w:rPr>
      </w:pPr>
    </w:p>
    <w:p>
      <w:pPr>
        <w:ind w:left="4" w:right="500" w:hanging="4"/>
        <w:spacing w:after="0" w:line="290" w:lineRule="auto"/>
        <w:tabs>
          <w:tab w:leader="none" w:pos="289"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such Related Corporations will participate in the 423 Component or the Non-423 Component, and (C) to the extent that the Company makes separate Offerings under the 423 Component, in which Offering the Related Corporations in the 423 Component will participate.</w:t>
      </w:r>
    </w:p>
    <w:p>
      <w:pPr>
        <w:spacing w:after="0" w:line="157" w:lineRule="exact"/>
        <w:rPr>
          <w:rFonts w:ascii="Times New Roman" w:cs="Times New Roman" w:eastAsia="Times New Roman" w:hAnsi="Times New Roman"/>
          <w:sz w:val="17"/>
          <w:szCs w:val="17"/>
          <w:color w:val="auto"/>
        </w:rPr>
      </w:pPr>
    </w:p>
    <w:p>
      <w:pPr>
        <w:ind w:left="4" w:right="180" w:firstLine="1428"/>
        <w:spacing w:after="0" w:line="266" w:lineRule="auto"/>
        <w:tabs>
          <w:tab w:leader="none" w:pos="1751"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4"/>
          </w:cols>
          <w:pgMar w:left="436" w:top="117" w:right="439" w:bottom="1440" w:gutter="0" w:footer="0" w:header="0"/>
        </w:sectPr>
      </w:pPr>
    </w:p>
    <w:bookmarkStart w:id="35" w:name="page36"/>
    <w:bookmarkEnd w:id="35"/>
    <w:p>
      <w:pPr>
        <w:ind w:left="1744" w:hanging="312"/>
        <w:spacing w:after="0"/>
        <w:tabs>
          <w:tab w:leader="none" w:pos="1744" w:val="left"/>
        </w:tabs>
        <w:numPr>
          <w:ilvl w:val="2"/>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settle all controversies regarding the Plan and Purchase Rights granted under the Plan.</w:t>
      </w:r>
    </w:p>
    <w:p>
      <w:pPr>
        <w:spacing w:after="0" w:line="225" w:lineRule="exact"/>
        <w:rPr>
          <w:rFonts w:ascii="Times New Roman" w:cs="Times New Roman" w:eastAsia="Times New Roman" w:hAnsi="Times New Roman"/>
          <w:sz w:val="18"/>
          <w:szCs w:val="18"/>
          <w:b w:val="1"/>
          <w:bCs w:val="1"/>
          <w:color w:val="auto"/>
        </w:rPr>
      </w:pPr>
    </w:p>
    <w:p>
      <w:pPr>
        <w:ind w:left="1684" w:hanging="252"/>
        <w:spacing w:after="0"/>
        <w:tabs>
          <w:tab w:leader="none" w:pos="1684" w:val="left"/>
        </w:tabs>
        <w:numPr>
          <w:ilvl w:val="2"/>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left="1744" w:hanging="312"/>
        <w:spacing w:after="0"/>
        <w:tabs>
          <w:tab w:leader="none" w:pos="1744" w:val="left"/>
        </w:tabs>
        <w:numPr>
          <w:ilvl w:val="2"/>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left="4" w:right="100" w:firstLine="1428"/>
        <w:spacing w:after="0" w:line="276" w:lineRule="auto"/>
        <w:tabs>
          <w:tab w:leader="none" w:pos="1791" w:val="left"/>
        </w:tabs>
        <w:numPr>
          <w:ilvl w:val="2"/>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w:t>
      </w:r>
    </w:p>
    <w:p>
      <w:pPr>
        <w:ind w:left="324" w:hanging="324"/>
        <w:spacing w:after="0"/>
        <w:tabs>
          <w:tab w:leader="none" w:pos="3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w:t>
      </w:r>
    </w:p>
    <w:p>
      <w:pPr>
        <w:spacing w:after="0" w:line="206" w:lineRule="exact"/>
        <w:rPr>
          <w:rFonts w:ascii="Times New Roman" w:cs="Times New Roman" w:eastAsia="Times New Roman" w:hAnsi="Times New Roman"/>
          <w:sz w:val="18"/>
          <w:szCs w:val="18"/>
          <w:color w:val="auto"/>
        </w:rPr>
      </w:pPr>
    </w:p>
    <w:p>
      <w:pPr>
        <w:ind w:left="4" w:right="20" w:firstLine="1428"/>
        <w:spacing w:after="0" w:line="255" w:lineRule="auto"/>
        <w:tabs>
          <w:tab w:leader="none" w:pos="1841" w:val="left"/>
        </w:tabs>
        <w:numPr>
          <w:ilvl w:val="2"/>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who are foreign nationals or employed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Related Corporation designated for participation in the Non-423 Component, do not have to comply with the requirements of Section 423 of the Code.</w:t>
      </w:r>
    </w:p>
    <w:p>
      <w:pPr>
        <w:spacing w:after="0" w:line="188" w:lineRule="exact"/>
        <w:rPr>
          <w:rFonts w:ascii="Times New Roman" w:cs="Times New Roman" w:eastAsia="Times New Roman" w:hAnsi="Times New Roman"/>
          <w:sz w:val="18"/>
          <w:szCs w:val="18"/>
          <w:b w:val="1"/>
          <w:bCs w:val="1"/>
          <w:color w:val="auto"/>
        </w:rPr>
      </w:pPr>
    </w:p>
    <w:p>
      <w:pPr>
        <w:ind w:left="4" w:firstLine="987"/>
        <w:spacing w:after="0" w:line="256" w:lineRule="auto"/>
        <w:tabs>
          <w:tab w:leader="none" w:pos="124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administration is conducted by the Committee, the Committee will have, in connection with the administration of the Plan, the powers of the Board, including the power to delegate to a subcommittee any of the administrative powers the Committee is authorized to exercise (and references to the Board in this Plan and in any applicable Offering Document will thereafter be to the Committee or subcommittee, as applicable, except where context dictates otherwise), subject, however, to such resolutions, not inconsistent with the provisions of the Plan, as may be adopted from time to time. The Board retains the authority to concurrently administer the Plan with the Committee. The Board will have the final power to determine all questions of policy and expediency that may arise in the administration of the Plan.</w:t>
      </w:r>
    </w:p>
    <w:p>
      <w:pPr>
        <w:spacing w:after="0" w:line="187" w:lineRule="exact"/>
        <w:rPr>
          <w:rFonts w:ascii="Times New Roman" w:cs="Times New Roman" w:eastAsia="Times New Roman" w:hAnsi="Times New Roman"/>
          <w:sz w:val="18"/>
          <w:szCs w:val="18"/>
          <w:b w:val="1"/>
          <w:bCs w:val="1"/>
          <w:color w:val="auto"/>
        </w:rPr>
      </w:pPr>
    </w:p>
    <w:p>
      <w:pPr>
        <w:ind w:left="4" w:right="140" w:firstLine="987"/>
        <w:spacing w:after="0" w:line="282" w:lineRule="auto"/>
        <w:tabs>
          <w:tab w:leader="none" w:pos="126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determinations, interpretations and constructions made by the Board in good faith will not be subject to review by any person and will be final, binding and conclusive on all persons.</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OF COMMON STOCK SUBJECT TO THE PLAN.</w:t>
      </w:r>
    </w:p>
    <w:p>
      <w:pPr>
        <w:spacing w:after="0" w:line="121" w:lineRule="exact"/>
        <w:rPr>
          <w:rFonts w:ascii="Times New Roman" w:cs="Times New Roman" w:eastAsia="Times New Roman" w:hAnsi="Times New Roman"/>
          <w:sz w:val="18"/>
          <w:szCs w:val="18"/>
          <w:b w:val="1"/>
          <w:bCs w:val="1"/>
          <w:color w:val="auto"/>
        </w:rPr>
      </w:pPr>
    </w:p>
    <w:p>
      <w:pPr>
        <w:ind w:left="4" w:firstLine="987"/>
        <w:spacing w:after="0" w:line="253" w:lineRule="auto"/>
        <w:tabs>
          <w:tab w:leader="none" w:pos="125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Section 11(a) relating to Capitalization Adjustments, the maximum number of shares of Common Stock that may be issued under the Plan will not exceed 116,501 shares, which is the sum of (i) 8,905 shares of Common Stock that were approved by the Company’s stockholders on the Initial Effective Date plus (ii) 107,596 new shares of Common Stock that were approved by the Company’s stockholders at the Company’s 2022 Annual Meeting of Stockholders. In addition, subject to any adjustments as necessary to implement any Capitalization Adjustments, such aggregate number of shares of Common Stock will automatically increase on January 1st of each year for a period commencing on the first January 1 following the Effective Date and ending on (and including) January 1, 2029, in an amount equal to the lesser of (i) 1.5% of the total number of shares of Common Stock outstanding on December 31st of the preceding calendar year, and (ii) 500,000 shares of Common Stock.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04"/>
          </w:cols>
          <w:pgMar w:left="436" w:top="270" w:right="459" w:bottom="1440" w:gutter="0" w:footer="0" w:header="0"/>
        </w:sectPr>
      </w:pPr>
    </w:p>
    <w:bookmarkStart w:id="36" w:name="page37"/>
    <w:bookmarkEnd w:id="36"/>
    <w:p>
      <w:pPr>
        <w:ind w:left="4" w:right="560" w:firstLine="987"/>
        <w:spacing w:after="0" w:line="282" w:lineRule="auto"/>
        <w:tabs>
          <w:tab w:leader="none" w:pos="126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Purchase Right granted under the Plan terminates without having been exercised in full, the shares of Common Stock not purchased under such Purchase Right will again become available for issuance under the Plan.</w:t>
      </w:r>
    </w:p>
    <w:p>
      <w:pPr>
        <w:spacing w:after="0" w:line="161" w:lineRule="exact"/>
        <w:rPr>
          <w:rFonts w:ascii="Times New Roman" w:cs="Times New Roman" w:eastAsia="Times New Roman" w:hAnsi="Times New Roman"/>
          <w:sz w:val="18"/>
          <w:szCs w:val="18"/>
          <w:b w:val="1"/>
          <w:bCs w:val="1"/>
          <w:color w:val="auto"/>
        </w:rPr>
      </w:pPr>
    </w:p>
    <w:p>
      <w:pPr>
        <w:ind w:left="4" w:right="660" w:firstLine="987"/>
        <w:spacing w:after="0" w:line="282" w:lineRule="auto"/>
        <w:tabs>
          <w:tab w:leader="none" w:pos="124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 purchasable under the Plan will be shares of authorized but unissued or reacquired Common Stock, including shares repurchased by the Company on the open market.</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PURCHASE RIGHTS; OFFERING.</w:t>
      </w:r>
    </w:p>
    <w:p>
      <w:pPr>
        <w:spacing w:after="0" w:line="121" w:lineRule="exact"/>
        <w:rPr>
          <w:rFonts w:ascii="Times New Roman" w:cs="Times New Roman" w:eastAsia="Times New Roman" w:hAnsi="Times New Roman"/>
          <w:sz w:val="18"/>
          <w:szCs w:val="18"/>
          <w:b w:val="1"/>
          <w:bCs w:val="1"/>
          <w:color w:val="auto"/>
        </w:rPr>
      </w:pPr>
    </w:p>
    <w:p>
      <w:pPr>
        <w:ind w:left="4" w:right="120" w:firstLine="987"/>
        <w:spacing w:after="0" w:line="254" w:lineRule="auto"/>
        <w:tabs>
          <w:tab w:leader="none" w:pos="125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91" w:lineRule="exact"/>
        <w:rPr>
          <w:rFonts w:ascii="Times New Roman" w:cs="Times New Roman" w:eastAsia="Times New Roman" w:hAnsi="Times New Roman"/>
          <w:sz w:val="18"/>
          <w:szCs w:val="18"/>
          <w:b w:val="1"/>
          <w:bCs w:val="1"/>
          <w:color w:val="auto"/>
        </w:rPr>
      </w:pPr>
    </w:p>
    <w:p>
      <w:pPr>
        <w:ind w:left="4" w:firstLine="987"/>
        <w:spacing w:after="0" w:line="258" w:lineRule="auto"/>
        <w:tabs>
          <w:tab w:leader="none" w:pos="126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3" w:lineRule="exact"/>
        <w:rPr>
          <w:rFonts w:ascii="Times New Roman" w:cs="Times New Roman" w:eastAsia="Times New Roman" w:hAnsi="Times New Roman"/>
          <w:sz w:val="18"/>
          <w:szCs w:val="18"/>
          <w:b w:val="1"/>
          <w:bCs w:val="1"/>
          <w:color w:val="auto"/>
        </w:rPr>
      </w:pPr>
    </w:p>
    <w:p>
      <w:pPr>
        <w:ind w:left="4" w:right="60" w:firstLine="987"/>
        <w:spacing w:after="0" w:line="261" w:lineRule="auto"/>
        <w:tabs>
          <w:tab w:leader="none" w:pos="124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21" w:lineRule="exact"/>
        <w:rPr>
          <w:rFonts w:ascii="Times New Roman" w:cs="Times New Roman" w:eastAsia="Times New Roman" w:hAnsi="Times New Roman"/>
          <w:sz w:val="18"/>
          <w:szCs w:val="18"/>
          <w:b w:val="1"/>
          <w:bCs w:val="1"/>
          <w:color w:val="auto"/>
        </w:rPr>
      </w:pPr>
    </w:p>
    <w:p>
      <w:pPr>
        <w:ind w:left="4" w:firstLine="987"/>
        <w:spacing w:after="0" w:line="254" w:lineRule="auto"/>
        <w:tabs>
          <w:tab w:leader="none" w:pos="125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may be granted only to Employees of the Company or, as the Board may designate in accordance with Section 2(b), to Employees of a Related Corporation. Except as provided in Section 5(b) or as required by Applicable Law,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 with respect to the 423 Component.</w:t>
      </w:r>
    </w:p>
    <w:p>
      <w:pPr>
        <w:spacing w:after="0" w:line="191" w:lineRule="exact"/>
        <w:rPr>
          <w:rFonts w:ascii="Times New Roman" w:cs="Times New Roman" w:eastAsia="Times New Roman" w:hAnsi="Times New Roman"/>
          <w:sz w:val="18"/>
          <w:szCs w:val="18"/>
          <w:b w:val="1"/>
          <w:bCs w:val="1"/>
          <w:color w:val="auto"/>
        </w:rPr>
      </w:pPr>
    </w:p>
    <w:p>
      <w:pPr>
        <w:jc w:val="both"/>
        <w:ind w:left="4" w:right="140" w:firstLine="987"/>
        <w:spacing w:after="0" w:line="261" w:lineRule="auto"/>
        <w:tabs>
          <w:tab w:leader="none" w:pos="126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80" w:lineRule="exact"/>
        <w:rPr>
          <w:sz w:val="20"/>
          <w:szCs w:val="20"/>
          <w:color w:val="auto"/>
        </w:rPr>
      </w:pPr>
    </w:p>
    <w:p>
      <w:pPr>
        <w:ind w:left="4" w:right="160" w:firstLine="1428"/>
        <w:spacing w:after="0" w:line="282" w:lineRule="auto"/>
        <w:tabs>
          <w:tab w:leader="none" w:pos="1651"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on which such Purchase Right is granted will be the “Offering Date” of such Purchase Right for all purposes, including determination of the exercise price of such Purchase Right;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04"/>
          </w:cols>
          <w:pgMar w:left="436" w:top="270" w:right="459" w:bottom="1440" w:gutter="0" w:footer="0" w:header="0"/>
        </w:sectPr>
      </w:pPr>
    </w:p>
    <w:bookmarkStart w:id="37" w:name="page38"/>
    <w:bookmarkEnd w:id="37"/>
    <w:p>
      <w:pPr>
        <w:ind w:left="1704" w:hanging="272"/>
        <w:spacing w:after="0"/>
        <w:tabs>
          <w:tab w:leader="none" w:pos="170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period of the Offering with respect to such Purchase Right will begin on its Offering Date and end coincident with the end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Offering; and</w:t>
      </w:r>
    </w:p>
    <w:p>
      <w:pPr>
        <w:spacing w:after="0" w:line="207" w:lineRule="exact"/>
        <w:rPr>
          <w:sz w:val="20"/>
          <w:szCs w:val="20"/>
          <w:color w:val="auto"/>
        </w:rPr>
      </w:pPr>
    </w:p>
    <w:p>
      <w:pPr>
        <w:ind w:left="4" w:right="160" w:firstLine="1428"/>
        <w:spacing w:after="0" w:line="282" w:lineRule="auto"/>
        <w:tabs>
          <w:tab w:leader="none" w:pos="1751"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61" w:lineRule="exact"/>
        <w:rPr>
          <w:rFonts w:ascii="Times New Roman" w:cs="Times New Roman" w:eastAsia="Times New Roman" w:hAnsi="Times New Roman"/>
          <w:sz w:val="18"/>
          <w:szCs w:val="18"/>
          <w:b w:val="1"/>
          <w:bCs w:val="1"/>
          <w:color w:val="auto"/>
        </w:rPr>
      </w:pPr>
    </w:p>
    <w:p>
      <w:pPr>
        <w:ind w:left="4" w:right="320" w:firstLine="987"/>
        <w:spacing w:after="0" w:line="258" w:lineRule="auto"/>
        <w:tabs>
          <w:tab w:leader="none" w:pos="1240"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3" w:lineRule="exact"/>
        <w:rPr>
          <w:rFonts w:ascii="Times New Roman" w:cs="Times New Roman" w:eastAsia="Times New Roman" w:hAnsi="Times New Roman"/>
          <w:sz w:val="18"/>
          <w:szCs w:val="18"/>
          <w:b w:val="1"/>
          <w:bCs w:val="1"/>
          <w:color w:val="auto"/>
        </w:rPr>
      </w:pPr>
    </w:p>
    <w:p>
      <w:pPr>
        <w:ind w:left="4" w:right="40" w:firstLine="987"/>
        <w:spacing w:after="0" w:line="258" w:lineRule="auto"/>
        <w:tabs>
          <w:tab w:leader="none" w:pos="1260"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83" w:lineRule="exact"/>
        <w:rPr>
          <w:rFonts w:ascii="Times New Roman" w:cs="Times New Roman" w:eastAsia="Times New Roman" w:hAnsi="Times New Roman"/>
          <w:sz w:val="18"/>
          <w:szCs w:val="18"/>
          <w:b w:val="1"/>
          <w:bCs w:val="1"/>
          <w:color w:val="auto"/>
        </w:rPr>
      </w:pPr>
    </w:p>
    <w:p>
      <w:pPr>
        <w:ind w:left="4" w:right="660" w:firstLine="987"/>
        <w:spacing w:after="0" w:line="266" w:lineRule="auto"/>
        <w:tabs>
          <w:tab w:leader="none" w:pos="1240"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Officers of the Company and any designated Related Corporation,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175" w:lineRule="exact"/>
        <w:rPr>
          <w:rFonts w:ascii="Times New Roman" w:cs="Times New Roman" w:eastAsia="Times New Roman" w:hAnsi="Times New Roman"/>
          <w:sz w:val="18"/>
          <w:szCs w:val="18"/>
          <w:b w:val="1"/>
          <w:bCs w:val="1"/>
          <w:color w:val="auto"/>
        </w:rPr>
      </w:pPr>
    </w:p>
    <w:p>
      <w:pPr>
        <w:jc w:val="both"/>
        <w:ind w:left="4" w:right="520" w:firstLine="987"/>
        <w:spacing w:after="0" w:line="266" w:lineRule="auto"/>
        <w:tabs>
          <w:tab w:leader="none" w:pos="1220"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RIGHTS; PURCHASE PRICE.</w:t>
      </w:r>
    </w:p>
    <w:p>
      <w:pPr>
        <w:spacing w:after="0" w:line="121" w:lineRule="exact"/>
        <w:rPr>
          <w:rFonts w:ascii="Times New Roman" w:cs="Times New Roman" w:eastAsia="Times New Roman" w:hAnsi="Times New Roman"/>
          <w:sz w:val="18"/>
          <w:szCs w:val="18"/>
          <w:b w:val="1"/>
          <w:bCs w:val="1"/>
          <w:color w:val="auto"/>
        </w:rPr>
      </w:pPr>
    </w:p>
    <w:p>
      <w:pPr>
        <w:ind w:left="4" w:firstLine="987"/>
        <w:spacing w:after="0" w:line="258" w:lineRule="auto"/>
        <w:tabs>
          <w:tab w:leader="none" w:pos="1250"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83" w:lineRule="exact"/>
        <w:rPr>
          <w:rFonts w:ascii="Times New Roman" w:cs="Times New Roman" w:eastAsia="Times New Roman" w:hAnsi="Times New Roman"/>
          <w:sz w:val="18"/>
          <w:szCs w:val="18"/>
          <w:b w:val="1"/>
          <w:bCs w:val="1"/>
          <w:color w:val="auto"/>
        </w:rPr>
      </w:pPr>
    </w:p>
    <w:p>
      <w:pPr>
        <w:ind w:left="4" w:right="260" w:firstLine="987"/>
        <w:spacing w:after="0" w:line="282" w:lineRule="auto"/>
        <w:tabs>
          <w:tab w:leader="none" w:pos="1260"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61" w:lineRule="exact"/>
        <w:rPr>
          <w:rFonts w:ascii="Times New Roman" w:cs="Times New Roman" w:eastAsia="Times New Roman" w:hAnsi="Times New Roman"/>
          <w:sz w:val="18"/>
          <w:szCs w:val="18"/>
          <w:b w:val="1"/>
          <w:bCs w:val="1"/>
          <w:color w:val="auto"/>
        </w:rPr>
      </w:pPr>
    </w:p>
    <w:p>
      <w:pPr>
        <w:ind w:left="4" w:right="80" w:firstLine="987"/>
        <w:spacing w:after="0" w:line="255" w:lineRule="auto"/>
        <w:tabs>
          <w:tab w:leader="none" w:pos="1240"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004"/>
          </w:cols>
          <w:pgMar w:left="436" w:top="270" w:right="459" w:bottom="1440" w:gutter="0" w:footer="0" w:header="0"/>
        </w:sectPr>
      </w:pPr>
    </w:p>
    <w:bookmarkStart w:id="38" w:name="page39"/>
    <w:bookmarkEnd w:id="38"/>
    <w:p>
      <w:pPr>
        <w:ind w:left="1264" w:hanging="273"/>
        <w:spacing w:after="0"/>
        <w:tabs>
          <w:tab w:leader="none" w:pos="1264"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purchase price of shares of Common Stock acquired pursuant to Purchase Rights will be not less than the lesser of:</w:t>
      </w:r>
    </w:p>
    <w:p>
      <w:pPr>
        <w:spacing w:after="0" w:line="225" w:lineRule="exact"/>
        <w:rPr>
          <w:rFonts w:ascii="Times New Roman" w:cs="Times New Roman" w:eastAsia="Times New Roman" w:hAnsi="Times New Roman"/>
          <w:sz w:val="18"/>
          <w:szCs w:val="18"/>
          <w:b w:val="1"/>
          <w:bCs w:val="1"/>
          <w:color w:val="auto"/>
        </w:rPr>
      </w:pPr>
    </w:p>
    <w:p>
      <w:pPr>
        <w:ind w:left="1644" w:hanging="212"/>
        <w:spacing w:after="0"/>
        <w:tabs>
          <w:tab w:leader="none" w:pos="1644" w:val="left"/>
        </w:tabs>
        <w:numPr>
          <w:ilvl w:val="2"/>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Offering Date; or</w:t>
      </w:r>
    </w:p>
    <w:p>
      <w:pPr>
        <w:spacing w:after="0" w:line="225" w:lineRule="exact"/>
        <w:rPr>
          <w:rFonts w:ascii="Times New Roman" w:cs="Times New Roman" w:eastAsia="Times New Roman" w:hAnsi="Times New Roman"/>
          <w:sz w:val="18"/>
          <w:szCs w:val="18"/>
          <w:b w:val="1"/>
          <w:bCs w:val="1"/>
          <w:color w:val="auto"/>
        </w:rPr>
      </w:pPr>
    </w:p>
    <w:p>
      <w:pPr>
        <w:ind w:left="1704" w:hanging="272"/>
        <w:spacing w:after="0"/>
        <w:tabs>
          <w:tab w:leader="none" w:pos="1704" w:val="left"/>
        </w:tabs>
        <w:numPr>
          <w:ilvl w:val="2"/>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applicable Purchase Date.</w:t>
      </w:r>
    </w:p>
    <w:p>
      <w:pPr>
        <w:spacing w:after="0" w:line="36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 WITHDRAWAL; TERMINATION.</w:t>
      </w:r>
    </w:p>
    <w:p>
      <w:pPr>
        <w:spacing w:after="0" w:line="121" w:lineRule="exact"/>
        <w:rPr>
          <w:rFonts w:ascii="Times New Roman" w:cs="Times New Roman" w:eastAsia="Times New Roman" w:hAnsi="Times New Roman"/>
          <w:sz w:val="18"/>
          <w:szCs w:val="18"/>
          <w:b w:val="1"/>
          <w:bCs w:val="1"/>
          <w:color w:val="auto"/>
        </w:rPr>
      </w:pPr>
    </w:p>
    <w:p>
      <w:pPr>
        <w:ind w:left="4" w:firstLine="987"/>
        <w:spacing w:after="0" w:line="253" w:lineRule="auto"/>
        <w:tabs>
          <w:tab w:leader="none" w:pos="1250"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specifically provided in the Offering, in addition to or instead of making Contributions by payroll deductions, a Participant may make Contributions through the payment by cash or check prior to a Purchase Date.</w:t>
      </w:r>
    </w:p>
    <w:p>
      <w:pPr>
        <w:spacing w:after="0" w:line="194" w:lineRule="exact"/>
        <w:rPr>
          <w:rFonts w:ascii="Times New Roman" w:cs="Times New Roman" w:eastAsia="Times New Roman" w:hAnsi="Times New Roman"/>
          <w:sz w:val="18"/>
          <w:szCs w:val="18"/>
          <w:b w:val="1"/>
          <w:bCs w:val="1"/>
          <w:color w:val="auto"/>
        </w:rPr>
      </w:pPr>
    </w:p>
    <w:p>
      <w:pPr>
        <w:ind w:left="4" w:firstLine="987"/>
        <w:spacing w:after="0" w:line="256" w:lineRule="auto"/>
        <w:tabs>
          <w:tab w:leader="none" w:pos="1260"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87" w:lineRule="exact"/>
        <w:rPr>
          <w:rFonts w:ascii="Times New Roman" w:cs="Times New Roman" w:eastAsia="Times New Roman" w:hAnsi="Times New Roman"/>
          <w:sz w:val="18"/>
          <w:szCs w:val="18"/>
          <w:b w:val="1"/>
          <w:bCs w:val="1"/>
          <w:color w:val="auto"/>
        </w:rPr>
      </w:pPr>
    </w:p>
    <w:p>
      <w:pPr>
        <w:ind w:left="4" w:right="140" w:firstLine="987"/>
        <w:spacing w:after="0" w:line="261" w:lineRule="auto"/>
        <w:tabs>
          <w:tab w:leader="none" w:pos="1240"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as soon as practicable all of his or her accumulated but unused Contributions.</w:t>
      </w:r>
    </w:p>
    <w:p>
      <w:pPr>
        <w:spacing w:after="0" w:line="179" w:lineRule="exact"/>
        <w:rPr>
          <w:rFonts w:ascii="Times New Roman" w:cs="Times New Roman" w:eastAsia="Times New Roman" w:hAnsi="Times New Roman"/>
          <w:sz w:val="18"/>
          <w:szCs w:val="18"/>
          <w:b w:val="1"/>
          <w:bCs w:val="1"/>
          <w:color w:val="auto"/>
        </w:rPr>
      </w:pPr>
    </w:p>
    <w:p>
      <w:pPr>
        <w:ind w:left="4" w:right="40" w:firstLine="987"/>
        <w:spacing w:after="0" w:line="254" w:lineRule="auto"/>
        <w:tabs>
          <w:tab w:leader="none" w:pos="1260"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determined by the Board, a Participant whose employment transfers or whose employment terminates with an immediate rehire (with no break in service) by or between the Company and a Related Corporation that has been designated for participation in the Plan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0984"/>
          </w:cols>
          <w:pgMar w:left="436" w:top="270" w:right="479" w:bottom="1440" w:gutter="0" w:footer="0" w:header="0"/>
        </w:sectPr>
      </w:pPr>
    </w:p>
    <w:bookmarkStart w:id="39" w:name="page40"/>
    <w:bookmarkEnd w:id="39"/>
    <w:p>
      <w:pPr>
        <w:ind w:left="4" w:right="100" w:firstLine="987"/>
        <w:spacing w:after="0" w:line="266" w:lineRule="auto"/>
        <w:tabs>
          <w:tab w:leader="none" w:pos="1240"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75" w:lineRule="exact"/>
        <w:rPr>
          <w:rFonts w:ascii="Times New Roman" w:cs="Times New Roman" w:eastAsia="Times New Roman" w:hAnsi="Times New Roman"/>
          <w:sz w:val="18"/>
          <w:szCs w:val="18"/>
          <w:b w:val="1"/>
          <w:bCs w:val="1"/>
          <w:color w:val="auto"/>
        </w:rPr>
      </w:pPr>
    </w:p>
    <w:p>
      <w:pPr>
        <w:ind w:left="1224" w:hanging="233"/>
        <w:spacing w:after="0"/>
        <w:tabs>
          <w:tab w:leader="none" w:pos="1224"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specified in the Offering or required by Applicable Law, the Company will have no obligation to pay interest on</w:t>
      </w:r>
    </w:p>
    <w:p>
      <w:pPr>
        <w:spacing w:after="0" w:line="27"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Contributions.</w:t>
      </w:r>
    </w:p>
    <w:p>
      <w:pPr>
        <w:spacing w:after="0" w:line="35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PURCHASE RIGHTS.</w:t>
      </w:r>
    </w:p>
    <w:p>
      <w:pPr>
        <w:spacing w:after="0" w:line="121" w:lineRule="exact"/>
        <w:rPr>
          <w:rFonts w:ascii="Times New Roman" w:cs="Times New Roman" w:eastAsia="Times New Roman" w:hAnsi="Times New Roman"/>
          <w:sz w:val="18"/>
          <w:szCs w:val="18"/>
          <w:b w:val="1"/>
          <w:bCs w:val="1"/>
          <w:color w:val="auto"/>
        </w:rPr>
      </w:pPr>
    </w:p>
    <w:p>
      <w:pPr>
        <w:jc w:val="both"/>
        <w:ind w:left="4" w:right="140" w:firstLine="987"/>
        <w:spacing w:after="0" w:line="266" w:lineRule="auto"/>
        <w:tabs>
          <w:tab w:leader="none" w:pos="125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75" w:lineRule="exact"/>
        <w:rPr>
          <w:rFonts w:ascii="Times New Roman" w:cs="Times New Roman" w:eastAsia="Times New Roman" w:hAnsi="Times New Roman"/>
          <w:sz w:val="18"/>
          <w:szCs w:val="18"/>
          <w:b w:val="1"/>
          <w:bCs w:val="1"/>
          <w:color w:val="auto"/>
        </w:rPr>
      </w:pPr>
    </w:p>
    <w:p>
      <w:pPr>
        <w:ind w:left="4" w:right="40" w:firstLine="987"/>
        <w:spacing w:after="0" w:line="254" w:lineRule="auto"/>
        <w:tabs>
          <w:tab w:leader="none" w:pos="126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the payment of interest is otherwise required by Applicable Law).</w:t>
      </w:r>
    </w:p>
    <w:p>
      <w:pPr>
        <w:spacing w:after="0" w:line="188" w:lineRule="exact"/>
        <w:rPr>
          <w:rFonts w:ascii="Times New Roman" w:cs="Times New Roman" w:eastAsia="Times New Roman" w:hAnsi="Times New Roman"/>
          <w:sz w:val="18"/>
          <w:szCs w:val="18"/>
          <w:b w:val="1"/>
          <w:bCs w:val="1"/>
          <w:color w:val="auto"/>
        </w:rPr>
      </w:pPr>
    </w:p>
    <w:p>
      <w:pPr>
        <w:ind w:left="4" w:firstLine="987"/>
        <w:spacing w:after="0" w:line="254" w:lineRule="auto"/>
        <w:tabs>
          <w:tab w:leader="none" w:pos="124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as soon as practicable to the Participants without interest (unless the payment of interest is otherwise required by Applicable Law).</w:t>
      </w:r>
    </w:p>
    <w:p>
      <w:pPr>
        <w:spacing w:after="0" w:line="332"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COMPANY.</w:t>
      </w:r>
    </w:p>
    <w:p>
      <w:pPr>
        <w:spacing w:after="0" w:line="121"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004"/>
          </w:cols>
          <w:pgMar w:left="436" w:top="270" w:right="459" w:bottom="1440" w:gutter="0" w:footer="0" w:header="0"/>
        </w:sectPr>
      </w:pPr>
    </w:p>
    <w:bookmarkStart w:id="40" w:name="page41"/>
    <w:bookmarkEnd w:id="40"/>
    <w:p>
      <w:pPr>
        <w:ind w:left="424" w:hanging="424"/>
        <w:spacing w:after="0"/>
        <w:tabs>
          <w:tab w:leader="none" w:pos="424"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DESIGNATION OF BENEFICIARY.</w:t>
      </w:r>
    </w:p>
    <w:p>
      <w:pPr>
        <w:spacing w:after="0" w:line="121" w:lineRule="exact"/>
        <w:rPr>
          <w:rFonts w:ascii="Times New Roman" w:cs="Times New Roman" w:eastAsia="Times New Roman" w:hAnsi="Times New Roman"/>
          <w:sz w:val="18"/>
          <w:szCs w:val="18"/>
          <w:b w:val="1"/>
          <w:bCs w:val="1"/>
          <w:color w:val="auto"/>
        </w:rPr>
      </w:pPr>
    </w:p>
    <w:p>
      <w:pPr>
        <w:jc w:val="both"/>
        <w:ind w:left="4" w:right="80" w:firstLine="987"/>
        <w:spacing w:after="0" w:line="261" w:lineRule="auto"/>
        <w:tabs>
          <w:tab w:leader="none" w:pos="1250"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79" w:lineRule="exact"/>
        <w:rPr>
          <w:rFonts w:ascii="Times New Roman" w:cs="Times New Roman" w:eastAsia="Times New Roman" w:hAnsi="Times New Roman"/>
          <w:sz w:val="18"/>
          <w:szCs w:val="18"/>
          <w:b w:val="1"/>
          <w:bCs w:val="1"/>
          <w:color w:val="auto"/>
        </w:rPr>
      </w:pPr>
    </w:p>
    <w:p>
      <w:pPr>
        <w:ind w:left="4" w:right="60" w:firstLine="987"/>
        <w:spacing w:after="0" w:line="258" w:lineRule="auto"/>
        <w:tabs>
          <w:tab w:leader="none" w:pos="1260"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32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CHANGES IN COMMON STOCK; CORPORATE TRANSACTIONS.</w:t>
      </w:r>
    </w:p>
    <w:p>
      <w:pPr>
        <w:spacing w:after="0" w:line="121" w:lineRule="exact"/>
        <w:rPr>
          <w:rFonts w:ascii="Times New Roman" w:cs="Times New Roman" w:eastAsia="Times New Roman" w:hAnsi="Times New Roman"/>
          <w:sz w:val="18"/>
          <w:szCs w:val="18"/>
          <w:b w:val="1"/>
          <w:bCs w:val="1"/>
          <w:color w:val="auto"/>
        </w:rPr>
      </w:pPr>
    </w:p>
    <w:p>
      <w:pPr>
        <w:ind w:left="4" w:right="60" w:firstLine="987"/>
        <w:spacing w:after="0" w:line="258" w:lineRule="auto"/>
        <w:tabs>
          <w:tab w:leader="none" w:pos="1250"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83" w:lineRule="exact"/>
        <w:rPr>
          <w:rFonts w:ascii="Times New Roman" w:cs="Times New Roman" w:eastAsia="Times New Roman" w:hAnsi="Times New Roman"/>
          <w:sz w:val="18"/>
          <w:szCs w:val="18"/>
          <w:b w:val="1"/>
          <w:bCs w:val="1"/>
          <w:color w:val="auto"/>
        </w:rPr>
      </w:pPr>
    </w:p>
    <w:p>
      <w:pPr>
        <w:ind w:left="4" w:right="320" w:firstLine="987"/>
        <w:spacing w:after="0" w:line="256" w:lineRule="auto"/>
        <w:tabs>
          <w:tab w:leader="none" w:pos="1260"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33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TERMINATION OR SUSPENSION OF THE PLAN.</w:t>
      </w:r>
    </w:p>
    <w:p>
      <w:pPr>
        <w:spacing w:after="0" w:line="121" w:lineRule="exact"/>
        <w:rPr>
          <w:rFonts w:ascii="Times New Roman" w:cs="Times New Roman" w:eastAsia="Times New Roman" w:hAnsi="Times New Roman"/>
          <w:sz w:val="18"/>
          <w:szCs w:val="18"/>
          <w:b w:val="1"/>
          <w:bCs w:val="1"/>
          <w:color w:val="auto"/>
        </w:rPr>
      </w:pPr>
    </w:p>
    <w:p>
      <w:pPr>
        <w:ind w:left="4" w:right="320" w:firstLine="987"/>
        <w:spacing w:after="0" w:line="266" w:lineRule="auto"/>
        <w:tabs>
          <w:tab w:leader="none" w:pos="1250"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w:t>
      </w:r>
    </w:p>
    <w:p>
      <w:pPr>
        <w:spacing w:after="0" w:line="175" w:lineRule="exact"/>
        <w:rPr>
          <w:rFonts w:ascii="Times New Roman" w:cs="Times New Roman" w:eastAsia="Times New Roman" w:hAnsi="Times New Roman"/>
          <w:sz w:val="18"/>
          <w:szCs w:val="18"/>
          <w:b w:val="1"/>
          <w:bCs w:val="1"/>
          <w:color w:val="auto"/>
        </w:rPr>
      </w:pPr>
    </w:p>
    <w:p>
      <w:pPr>
        <w:ind w:left="4" w:right="620" w:firstLine="987"/>
        <w:spacing w:after="0" w:line="282" w:lineRule="auto"/>
        <w:tabs>
          <w:tab w:leader="none" w:pos="1260"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suspend or terminate the Plan at any time. No Purchase Rights may be granted under the Plan while the Plan is suspended or after it is terminated.</w:t>
      </w:r>
    </w:p>
    <w:p>
      <w:pPr>
        <w:spacing w:after="0" w:line="161" w:lineRule="exact"/>
        <w:rPr>
          <w:rFonts w:ascii="Times New Roman" w:cs="Times New Roman" w:eastAsia="Times New Roman" w:hAnsi="Times New Roman"/>
          <w:sz w:val="18"/>
          <w:szCs w:val="18"/>
          <w:b w:val="1"/>
          <w:bCs w:val="1"/>
          <w:color w:val="auto"/>
        </w:rPr>
      </w:pPr>
    </w:p>
    <w:p>
      <w:pPr>
        <w:ind w:left="4" w:firstLine="987"/>
        <w:spacing w:after="0" w:line="256" w:lineRule="auto"/>
        <w:tabs>
          <w:tab w:leader="none" w:pos="1240"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004"/>
          </w:cols>
          <w:pgMar w:left="436" w:top="266" w:right="459" w:bottom="1440" w:gutter="0" w:footer="0" w:header="0"/>
        </w:sectPr>
      </w:pPr>
    </w:p>
    <w:bookmarkStart w:id="41" w:name="page42"/>
    <w:bookmarkEnd w:id="41"/>
    <w:p>
      <w:pPr>
        <w:ind w:left="4" w:right="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w:t>
      </w:r>
    </w:p>
    <w:p>
      <w:pPr>
        <w:spacing w:after="0" w:line="140"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333" w:lineRule="exact"/>
        <w:rPr>
          <w:sz w:val="20"/>
          <w:szCs w:val="20"/>
          <w:color w:val="auto"/>
        </w:rPr>
      </w:pPr>
    </w:p>
    <w:p>
      <w:pPr>
        <w:ind w:left="424" w:hanging="424"/>
        <w:spacing w:after="0"/>
        <w:tabs>
          <w:tab w:leader="none" w:pos="42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QUALIFICATION; TAX WITHHOLDING.</w:t>
      </w:r>
    </w:p>
    <w:p>
      <w:pPr>
        <w:spacing w:after="0" w:line="121" w:lineRule="exact"/>
        <w:rPr>
          <w:rFonts w:ascii="Times New Roman" w:cs="Times New Roman" w:eastAsia="Times New Roman" w:hAnsi="Times New Roman"/>
          <w:sz w:val="18"/>
          <w:szCs w:val="18"/>
          <w:b w:val="1"/>
          <w:bCs w:val="1"/>
          <w:color w:val="auto"/>
        </w:rPr>
      </w:pPr>
    </w:p>
    <w:p>
      <w:pPr>
        <w:ind w:left="4" w:right="40" w:firstLine="987"/>
        <w:spacing w:after="0" w:line="261" w:lineRule="auto"/>
        <w:tabs>
          <w:tab w:leader="none" w:pos="1250"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79" w:lineRule="exact"/>
        <w:rPr>
          <w:rFonts w:ascii="Times New Roman" w:cs="Times New Roman" w:eastAsia="Times New Roman" w:hAnsi="Times New Roman"/>
          <w:sz w:val="18"/>
          <w:szCs w:val="18"/>
          <w:b w:val="1"/>
          <w:bCs w:val="1"/>
          <w:color w:val="auto"/>
        </w:rPr>
      </w:pPr>
    </w:p>
    <w:p>
      <w:pPr>
        <w:ind w:left="4" w:firstLine="987"/>
        <w:spacing w:after="0" w:line="261" w:lineRule="auto"/>
        <w:tabs>
          <w:tab w:leader="none" w:pos="1260"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Participant will make arrangements, satisfactory to the Company and any applicable Related Corporation, to enable the Company or the Related Corporation to fulfill any withholding obligation for Tax-Related Items. Without limitation to the foregoing, the amount necessary to satisfy such withholding obligation may be withheld (i) from the Participant’s salary or any other cash payment due to the Participant from the Company or a Related Corporation or (ii) from the proceeds of the sale of shares of Common Stock acquired under the Plan.</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OF PLAN.</w:t>
      </w:r>
    </w:p>
    <w:p>
      <w:pPr>
        <w:spacing w:after="0" w:line="121"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The Plan will become effective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320" w:lineRule="exact"/>
        <w:rPr>
          <w:sz w:val="20"/>
          <w:szCs w:val="20"/>
          <w:color w:val="auto"/>
        </w:rPr>
      </w:pPr>
    </w:p>
    <w:p>
      <w:pPr>
        <w:ind w:left="424" w:hanging="424"/>
        <w:spacing w:after="0"/>
        <w:tabs>
          <w:tab w:leader="none" w:pos="42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p>
    <w:p>
      <w:pPr>
        <w:spacing w:after="0" w:line="121"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Proceeds from the sale of shares of Common Stock pursuant to Purchase Rights will constitute general funds of the Company.</w:t>
      </w:r>
    </w:p>
    <w:p>
      <w:pPr>
        <w:spacing w:after="0" w:line="225" w:lineRule="exact"/>
        <w:rPr>
          <w:rFonts w:ascii="Times New Roman" w:cs="Times New Roman" w:eastAsia="Times New Roman" w:hAnsi="Times New Roman"/>
          <w:sz w:val="18"/>
          <w:szCs w:val="18"/>
          <w:b w:val="1"/>
          <w:bCs w:val="1"/>
          <w:color w:val="auto"/>
        </w:rPr>
      </w:pPr>
    </w:p>
    <w:p>
      <w:pPr>
        <w:ind w:left="4" w:right="140" w:firstLine="987"/>
        <w:spacing w:after="0" w:line="266" w:lineRule="auto"/>
        <w:tabs>
          <w:tab w:leader="none" w:pos="1260"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75" w:lineRule="exact"/>
        <w:rPr>
          <w:rFonts w:ascii="Times New Roman" w:cs="Times New Roman" w:eastAsia="Times New Roman" w:hAnsi="Times New Roman"/>
          <w:sz w:val="18"/>
          <w:szCs w:val="18"/>
          <w:b w:val="1"/>
          <w:bCs w:val="1"/>
          <w:color w:val="auto"/>
        </w:rPr>
      </w:pPr>
    </w:p>
    <w:p>
      <w:pPr>
        <w:ind w:left="4" w:right="40" w:firstLine="987"/>
        <w:spacing w:after="0" w:line="266" w:lineRule="auto"/>
        <w:tabs>
          <w:tab w:leader="none" w:pos="1240"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004"/>
          </w:cols>
          <w:pgMar w:left="436" w:top="270" w:right="459" w:bottom="1440" w:gutter="0" w:footer="0" w:header="0"/>
        </w:sectPr>
      </w:pPr>
    </w:p>
    <w:bookmarkStart w:id="42" w:name="page43"/>
    <w:bookmarkEnd w:id="42"/>
    <w:p>
      <w:pPr>
        <w:ind w:left="1264" w:hanging="273"/>
        <w:spacing w:after="0"/>
        <w:tabs>
          <w:tab w:leader="none" w:pos="1264"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the Plan will be governed by the laws of the State of California without resort to that state’s conflict of laws rules.</w:t>
      </w:r>
    </w:p>
    <w:p>
      <w:pPr>
        <w:spacing w:after="0" w:line="36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1" w:lineRule="exact"/>
        <w:rPr>
          <w:sz w:val="20"/>
          <w:szCs w:val="20"/>
          <w:color w:val="auto"/>
        </w:rPr>
      </w:pPr>
    </w:p>
    <w:p>
      <w:pPr>
        <w:ind w:left="4" w:firstLine="987"/>
        <w:spacing w:after="0" w:line="286" w:lineRule="auto"/>
        <w:tabs>
          <w:tab w:leader="none" w:pos="125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423 Component</w:t>
      </w:r>
      <w:r>
        <w:rPr>
          <w:rFonts w:ascii="Times New Roman" w:cs="Times New Roman" w:eastAsia="Times New Roman" w:hAnsi="Times New Roman"/>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154" w:lineRule="exact"/>
        <w:rPr>
          <w:rFonts w:ascii="Times New Roman" w:cs="Times New Roman" w:eastAsia="Times New Roman" w:hAnsi="Times New Roman"/>
          <w:sz w:val="18"/>
          <w:szCs w:val="18"/>
          <w:b w:val="1"/>
          <w:bCs w:val="1"/>
          <w:color w:val="auto"/>
        </w:rPr>
      </w:pPr>
    </w:p>
    <w:p>
      <w:pPr>
        <w:ind w:left="4" w:right="100" w:firstLine="987"/>
        <w:spacing w:after="0" w:line="262" w:lineRule="auto"/>
        <w:tabs>
          <w:tab w:leader="none" w:pos="12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NASDAQ Stock Market or the Financial Industry Regulatory Authority).</w:t>
      </w:r>
    </w:p>
    <w:p>
      <w:pPr>
        <w:spacing w:after="0" w:line="176"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75" w:lineRule="auto"/>
        <w:tabs>
          <w:tab w:leader="none" w:pos="126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8" w:lineRule="exact"/>
        <w:rPr>
          <w:rFonts w:ascii="Times New Roman" w:cs="Times New Roman" w:eastAsia="Times New Roman" w:hAnsi="Times New Roman"/>
          <w:sz w:val="17"/>
          <w:szCs w:val="17"/>
          <w:b w:val="1"/>
          <w:bCs w:val="1"/>
          <w:color w:val="auto"/>
        </w:rPr>
      </w:pPr>
    </w:p>
    <w:p>
      <w:pPr>
        <w:ind w:left="1244" w:hanging="253"/>
        <w:spacing w:after="0"/>
        <w:tabs>
          <w:tab w:leader="none" w:pos="1244"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4" w:right="660" w:firstLine="987"/>
        <w:spacing w:after="0" w:line="286" w:lineRule="auto"/>
        <w:tabs>
          <w:tab w:leader="none" w:pos="12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members of the Board to whom authority has been delegated by the Board in accordance with Section 2(c).</w:t>
      </w:r>
    </w:p>
    <w:p>
      <w:pPr>
        <w:spacing w:after="0" w:line="154"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Tempest Therapeutics, Inc., a Delaware corporation, and successor to Millendo Therapeutics, Inc.</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62" w:lineRule="auto"/>
        <w:tabs>
          <w:tab w:leader="none" w:pos="121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the payroll deductions and other additional payments specifically provided for in the Offering that a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76" w:lineRule="exact"/>
        <w:rPr>
          <w:rFonts w:ascii="Times New Roman" w:cs="Times New Roman" w:eastAsia="Times New Roman" w:hAnsi="Times New Roman"/>
          <w:sz w:val="18"/>
          <w:szCs w:val="18"/>
          <w:b w:val="1"/>
          <w:bCs w:val="1"/>
          <w:color w:val="auto"/>
        </w:rPr>
      </w:pPr>
    </w:p>
    <w:p>
      <w:pPr>
        <w:ind w:left="4" w:right="120" w:firstLine="987"/>
        <w:spacing w:after="0" w:line="286" w:lineRule="auto"/>
        <w:tabs>
          <w:tab w:leader="none" w:pos="12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9" w:lineRule="exact"/>
        <w:rPr>
          <w:sz w:val="20"/>
          <w:szCs w:val="20"/>
          <w:color w:val="auto"/>
        </w:rPr>
      </w:pPr>
    </w:p>
    <w:p>
      <w:pPr>
        <w:ind w:left="4" w:firstLine="1428"/>
        <w:spacing w:after="0" w:line="282" w:lineRule="auto"/>
        <w:tabs>
          <w:tab w:leader="none" w:pos="1651"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0964"/>
          </w:cols>
          <w:pgMar w:left="436" w:top="270" w:right="499" w:bottom="1440" w:gutter="0" w:footer="0" w:header="0"/>
        </w:sectPr>
      </w:pPr>
    </w:p>
    <w:bookmarkStart w:id="43" w:name="page44"/>
    <w:bookmarkEnd w:id="43"/>
    <w:p>
      <w:pPr>
        <w:ind w:left="1660" w:hanging="272"/>
        <w:spacing w:after="0"/>
        <w:tabs>
          <w:tab w:leader="none" w:pos="1660"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sale or other disposition of more than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700" w:hanging="312"/>
        <w:spacing w:after="0"/>
        <w:tabs>
          <w:tab w:leader="none" w:pos="1700"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left="-40" w:right="40" w:firstLine="1428"/>
        <w:spacing w:after="0" w:line="266" w:lineRule="auto"/>
        <w:tabs>
          <w:tab w:leader="none" w:pos="1697"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1220" w:hanging="273"/>
        <w:spacing w:after="0"/>
        <w:tabs>
          <w:tab w:leader="none" w:pos="12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40" w:right="640" w:firstLine="987"/>
        <w:spacing w:after="0" w:line="286" w:lineRule="auto"/>
        <w:tabs>
          <w:tab w:leader="none" w:pos="116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of the annual meeting of stockholders of the Company held in 2022, provided that this Plan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by the Company’s stockholders at such meeting.</w:t>
      </w:r>
    </w:p>
    <w:p>
      <w:pPr>
        <w:spacing w:after="0" w:line="154" w:lineRule="exact"/>
        <w:rPr>
          <w:rFonts w:ascii="Times New Roman" w:cs="Times New Roman" w:eastAsia="Times New Roman" w:hAnsi="Times New Roman"/>
          <w:sz w:val="18"/>
          <w:szCs w:val="18"/>
          <w:b w:val="1"/>
          <w:bCs w:val="1"/>
          <w:color w:val="auto"/>
        </w:rPr>
      </w:pPr>
    </w:p>
    <w:p>
      <w:pPr>
        <w:ind w:left="-40" w:right="440" w:firstLine="987"/>
        <w:spacing w:after="0" w:line="317" w:lineRule="auto"/>
        <w:tabs>
          <w:tab w:leader="none" w:pos="1266"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Eligible Employee</w:t>
      </w:r>
      <w:r>
        <w:rPr>
          <w:rFonts w:ascii="Times New Roman" w:cs="Times New Roman" w:eastAsia="Times New Roman" w:hAnsi="Times New Roman"/>
          <w:sz w:val="17"/>
          <w:szCs w:val="17"/>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31" w:lineRule="exact"/>
        <w:rPr>
          <w:rFonts w:ascii="Times New Roman" w:cs="Times New Roman" w:eastAsia="Times New Roman" w:hAnsi="Times New Roman"/>
          <w:sz w:val="17"/>
          <w:szCs w:val="17"/>
          <w:b w:val="1"/>
          <w:bCs w:val="1"/>
          <w:color w:val="auto"/>
        </w:rPr>
      </w:pPr>
    </w:p>
    <w:p>
      <w:pPr>
        <w:ind w:left="-40" w:right="60" w:firstLine="987"/>
        <w:spacing w:after="0" w:line="268" w:lineRule="auto"/>
        <w:tabs>
          <w:tab w:leader="none" w:pos="121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pacing w:after="0" w:line="170" w:lineRule="exact"/>
        <w:rPr>
          <w:rFonts w:ascii="Times New Roman" w:cs="Times New Roman" w:eastAsia="Times New Roman" w:hAnsi="Times New Roman"/>
          <w:sz w:val="18"/>
          <w:szCs w:val="18"/>
          <w:b w:val="1"/>
          <w:bCs w:val="1"/>
          <w:color w:val="auto"/>
        </w:rPr>
      </w:pPr>
    </w:p>
    <w:p>
      <w:pPr>
        <w:ind w:left="-40" w:right="180" w:firstLine="987"/>
        <w:spacing w:after="0" w:line="286" w:lineRule="auto"/>
        <w:tabs>
          <w:tab w:leader="none" w:pos="120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154" w:lineRule="exact"/>
        <w:rPr>
          <w:rFonts w:ascii="Times New Roman" w:cs="Times New Roman" w:eastAsia="Times New Roman" w:hAnsi="Times New Roman"/>
          <w:sz w:val="18"/>
          <w:szCs w:val="18"/>
          <w:b w:val="1"/>
          <w:bCs w:val="1"/>
          <w:color w:val="auto"/>
        </w:rPr>
      </w:pPr>
    </w:p>
    <w:p>
      <w:pPr>
        <w:ind w:left="1220" w:hanging="273"/>
        <w:spacing w:after="0"/>
        <w:tabs>
          <w:tab w:leader="none" w:pos="12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1220" w:hanging="273"/>
        <w:spacing w:after="0"/>
        <w:tabs>
          <w:tab w:leader="none" w:pos="12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229" w:lineRule="exact"/>
        <w:rPr>
          <w:rFonts w:ascii="Times New Roman" w:cs="Times New Roman" w:eastAsia="Times New Roman" w:hAnsi="Times New Roman"/>
          <w:sz w:val="18"/>
          <w:szCs w:val="18"/>
          <w:b w:val="1"/>
          <w:bCs w:val="1"/>
          <w:color w:val="auto"/>
        </w:rPr>
      </w:pPr>
    </w:p>
    <w:p>
      <w:pPr>
        <w:ind w:left="-40" w:firstLine="1428"/>
        <w:spacing w:after="0" w:line="258" w:lineRule="auto"/>
        <w:tabs>
          <w:tab w:leader="none" w:pos="1607"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Common Stock is listed on any established stock exchange or traded on any established market, the Fair Market Value of a share of Common Stock will be, unless otherwise determined by the Board, the </w:t>
      </w:r>
      <w:r>
        <w:rPr>
          <w:rFonts w:ascii="Times New Roman" w:cs="Times New Roman" w:eastAsia="Times New Roman" w:hAnsi="Times New Roman"/>
          <w:sz w:val="18"/>
          <w:szCs w:val="18"/>
          <w:b w:val="1"/>
          <w:bCs w:val="1"/>
          <w:u w:val="single" w:color="auto"/>
          <w:color w:val="auto"/>
        </w:rPr>
        <w:t>closing sales price</w:t>
      </w:r>
      <w:r>
        <w:rPr>
          <w:rFonts w:ascii="Times New Roman" w:cs="Times New Roman" w:eastAsia="Times New Roman" w:hAnsi="Times New Roman"/>
          <w:sz w:val="18"/>
          <w:szCs w:val="18"/>
          <w:color w:val="auto"/>
        </w:rPr>
        <w:t xml:space="preserve"> for such stock as quoted on such exchange or market (or the exchange or market with the greatest volume of trading in the Common Stock) </w:t>
      </w:r>
      <w:r>
        <w:rPr>
          <w:rFonts w:ascii="Times New Roman" w:cs="Times New Roman" w:eastAsia="Times New Roman" w:hAnsi="Times New Roman"/>
          <w:sz w:val="18"/>
          <w:szCs w:val="18"/>
          <w:b w:val="1"/>
          <w:bCs w:val="1"/>
          <w:u w:val="single" w:color="auto"/>
          <w:color w:val="auto"/>
        </w:rPr>
        <w:t>on the date of determination</w:t>
      </w:r>
      <w:r>
        <w:rPr>
          <w:rFonts w:ascii="Times New Roman" w:cs="Times New Roman" w:eastAsia="Times New Roman" w:hAnsi="Times New Roman"/>
          <w:sz w:val="18"/>
          <w:szCs w:val="18"/>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83" w:lineRule="exact"/>
        <w:rPr>
          <w:rFonts w:ascii="Times New Roman" w:cs="Times New Roman" w:eastAsia="Times New Roman" w:hAnsi="Times New Roman"/>
          <w:sz w:val="18"/>
          <w:szCs w:val="18"/>
          <w:b w:val="1"/>
          <w:bCs w:val="1"/>
          <w:color w:val="auto"/>
        </w:rPr>
      </w:pPr>
    </w:p>
    <w:p>
      <w:pPr>
        <w:ind w:left="-40" w:right="180" w:firstLine="1428"/>
        <w:spacing w:after="0" w:line="282" w:lineRule="auto"/>
        <w:tabs>
          <w:tab w:leader="none" w:pos="1657"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in compliance with Applicable Laws and in a manner that complies with Sections 409A of the Code.</w:t>
      </w:r>
    </w:p>
    <w:p>
      <w:pPr>
        <w:spacing w:after="0" w:line="157" w:lineRule="exact"/>
        <w:rPr>
          <w:rFonts w:ascii="Times New Roman" w:cs="Times New Roman" w:eastAsia="Times New Roman" w:hAnsi="Times New Roman"/>
          <w:sz w:val="18"/>
          <w:szCs w:val="18"/>
          <w:b w:val="1"/>
          <w:bCs w:val="1"/>
          <w:color w:val="auto"/>
        </w:rPr>
      </w:pPr>
    </w:p>
    <w:p>
      <w:pPr>
        <w:ind w:left="-40" w:right="60" w:firstLine="987"/>
        <w:spacing w:after="0" w:line="257" w:lineRule="auto"/>
        <w:tabs>
          <w:tab w:leader="none" w:pos="119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and the Financial Industry Regulatory Authority).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0920"/>
          </w:cols>
          <w:pgMar w:left="480" w:top="270" w:right="499" w:bottom="1440" w:gutter="0" w:footer="0" w:header="0"/>
        </w:sectPr>
      </w:pPr>
    </w:p>
    <w:bookmarkStart w:id="44" w:name="page45"/>
    <w:bookmarkEnd w:id="44"/>
    <w:p>
      <w:pPr>
        <w:ind w:left="1220" w:hanging="233"/>
        <w:spacing w:after="0"/>
        <w:tabs>
          <w:tab w:leader="none" w:pos="12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Initial Effective Date</w:t>
      </w:r>
      <w:r>
        <w:rPr>
          <w:rFonts w:ascii="Times New Roman" w:cs="Times New Roman" w:eastAsia="Times New Roman" w:hAnsi="Times New Roman"/>
          <w:sz w:val="18"/>
          <w:szCs w:val="18"/>
          <w:color w:val="auto"/>
        </w:rPr>
        <w:t>” means the date of the annual meeting of stockholders of the Company held in 2019.</w:t>
      </w:r>
    </w:p>
    <w:p>
      <w:pPr>
        <w:spacing w:after="0" w:line="211" w:lineRule="exact"/>
        <w:rPr>
          <w:rFonts w:ascii="Times New Roman" w:cs="Times New Roman" w:eastAsia="Times New Roman" w:hAnsi="Times New Roman"/>
          <w:sz w:val="18"/>
          <w:szCs w:val="18"/>
          <w:b w:val="1"/>
          <w:bCs w:val="1"/>
          <w:color w:val="auto"/>
        </w:rPr>
      </w:pPr>
    </w:p>
    <w:p>
      <w:pPr>
        <w:ind w:right="40" w:firstLine="987"/>
        <w:spacing w:after="0" w:line="286" w:lineRule="auto"/>
        <w:tabs>
          <w:tab w:leader="none" w:pos="121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Non-423 Component</w:t>
      </w:r>
      <w:r>
        <w:rPr>
          <w:rFonts w:ascii="Times New Roman" w:cs="Times New Roman" w:eastAsia="Times New Roman" w:hAnsi="Times New Roman"/>
          <w:sz w:val="18"/>
          <w:szCs w:val="18"/>
          <w:color w:val="auto"/>
        </w:rPr>
        <w:t>” means the part of the Plan, which excludes the 423 Component, pursuant to which Purchase Rights that are not intended to satisfy the requirements for an Employee Stock Purchase Plan may be granted to Eligible Employees.</w:t>
      </w:r>
    </w:p>
    <w:p>
      <w:pPr>
        <w:spacing w:after="0" w:line="127" w:lineRule="exact"/>
        <w:rPr>
          <w:rFonts w:ascii="Times New Roman" w:cs="Times New Roman" w:eastAsia="Times New Roman" w:hAnsi="Times New Roman"/>
          <w:sz w:val="18"/>
          <w:szCs w:val="18"/>
          <w:b w:val="1"/>
          <w:bCs w:val="1"/>
          <w:color w:val="auto"/>
        </w:rPr>
      </w:pPr>
    </w:p>
    <w:p>
      <w:pPr>
        <w:ind w:right="200" w:firstLine="987"/>
        <w:spacing w:after="0" w:line="268" w:lineRule="auto"/>
        <w:tabs>
          <w:tab w:leader="none" w:pos="125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approved by the Board for that Offering.</w:t>
      </w:r>
    </w:p>
    <w:p>
      <w:pPr>
        <w:spacing w:after="0" w:line="157"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211" w:lineRule="exact"/>
        <w:rPr>
          <w:rFonts w:ascii="Times New Roman" w:cs="Times New Roman" w:eastAsia="Times New Roman" w:hAnsi="Times New Roman"/>
          <w:sz w:val="18"/>
          <w:szCs w:val="18"/>
          <w:b w:val="1"/>
          <w:bCs w:val="1"/>
          <w:color w:val="auto"/>
        </w:rPr>
      </w:pPr>
    </w:p>
    <w:p>
      <w:pPr>
        <w:ind w:left="1280" w:hanging="293"/>
        <w:spacing w:after="0"/>
        <w:tabs>
          <w:tab w:leader="none" w:pos="12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or a Related Corporation within the meaning of Section 16 of the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Exchange Act.</w:t>
      </w:r>
    </w:p>
    <w:p>
      <w:pPr>
        <w:spacing w:after="0" w:line="17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w:t>
      </w:r>
    </w:p>
    <w:p>
      <w:pPr>
        <w:spacing w:after="0" w:line="211" w:lineRule="exact"/>
        <w:rPr>
          <w:rFonts w:ascii="Times New Roman" w:cs="Times New Roman" w:eastAsia="Times New Roman" w:hAnsi="Times New Roman"/>
          <w:sz w:val="18"/>
          <w:szCs w:val="18"/>
          <w:b w:val="1"/>
          <w:bCs w:val="1"/>
          <w:color w:val="auto"/>
        </w:rPr>
      </w:pPr>
    </w:p>
    <w:p>
      <w:pPr>
        <w:ind w:right="160" w:firstLine="987"/>
        <w:spacing w:after="0" w:line="286" w:lineRule="auto"/>
        <w:tabs>
          <w:tab w:leader="none" w:pos="124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Tempest Therapeutics, Inc. Amended and Restated 2019 Employee Stock Purchase Plan, as amended from time to time, including both the 423 Component and the Non-423 Component.</w:t>
      </w:r>
    </w:p>
    <w:p>
      <w:pPr>
        <w:spacing w:after="0" w:line="141" w:lineRule="exact"/>
        <w:rPr>
          <w:rFonts w:ascii="Times New Roman" w:cs="Times New Roman" w:eastAsia="Times New Roman" w:hAnsi="Times New Roman"/>
          <w:sz w:val="18"/>
          <w:szCs w:val="18"/>
          <w:b w:val="1"/>
          <w:bCs w:val="1"/>
          <w:color w:val="auto"/>
        </w:rPr>
      </w:pPr>
    </w:p>
    <w:p>
      <w:pPr>
        <w:ind w:right="200" w:firstLine="987"/>
        <w:spacing w:after="0" w:line="286" w:lineRule="auto"/>
        <w:tabs>
          <w:tab w:leader="none" w:pos="123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28" w:lineRule="exact"/>
        <w:rPr>
          <w:sz w:val="20"/>
          <w:szCs w:val="20"/>
          <w:color w:val="auto"/>
        </w:rPr>
      </w:pPr>
    </w:p>
    <w:p>
      <w:pPr>
        <w:ind w:right="420" w:firstLine="987"/>
        <w:spacing w:after="0" w:line="286" w:lineRule="auto"/>
        <w:tabs>
          <w:tab w:leader="none" w:pos="1336"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41"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211" w:lineRule="exact"/>
        <w:rPr>
          <w:rFonts w:ascii="Times New Roman" w:cs="Times New Roman" w:eastAsia="Times New Roman" w:hAnsi="Times New Roman"/>
          <w:sz w:val="18"/>
          <w:szCs w:val="18"/>
          <w:b w:val="1"/>
          <w:bCs w:val="1"/>
          <w:color w:val="auto"/>
        </w:rPr>
      </w:pPr>
    </w:p>
    <w:p>
      <w:pPr>
        <w:ind w:right="300" w:firstLine="987"/>
        <w:spacing w:after="0" w:line="286" w:lineRule="auto"/>
        <w:tabs>
          <w:tab w:leader="none" w:pos="1316"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 established, as those terms are defined in Sections 424(e) and (f), respectively, of the Code.</w:t>
      </w:r>
    </w:p>
    <w:p>
      <w:pPr>
        <w:spacing w:after="0" w:line="127"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11" w:lineRule="exact"/>
        <w:rPr>
          <w:rFonts w:ascii="Times New Roman" w:cs="Times New Roman" w:eastAsia="Times New Roman" w:hAnsi="Times New Roman"/>
          <w:sz w:val="18"/>
          <w:szCs w:val="18"/>
          <w:b w:val="1"/>
          <w:bCs w:val="1"/>
          <w:color w:val="auto"/>
        </w:rPr>
      </w:pPr>
    </w:p>
    <w:p>
      <w:pPr>
        <w:ind w:right="60" w:firstLine="987"/>
        <w:spacing w:after="0" w:line="255" w:lineRule="auto"/>
        <w:tabs>
          <w:tab w:leader="none" w:pos="1316"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For purposes of the foregoing clause (i), the Company will be deemed to “Own” or have “Owned” such securities if the Company, directly or indirectly, through any contract, arrangement, understanding, relationship or otherwise, has or shares voting power, which includes the power to vote or to direct the voting, with respect to such securities.</w:t>
      </w:r>
    </w:p>
    <w:p>
      <w:pPr>
        <w:spacing w:after="0" w:line="171" w:lineRule="exact"/>
        <w:rPr>
          <w:rFonts w:ascii="Times New Roman" w:cs="Times New Roman" w:eastAsia="Times New Roman" w:hAnsi="Times New Roman"/>
          <w:sz w:val="18"/>
          <w:szCs w:val="18"/>
          <w:b w:val="1"/>
          <w:bCs w:val="1"/>
          <w:color w:val="auto"/>
        </w:rPr>
      </w:pPr>
    </w:p>
    <w:p>
      <w:pPr>
        <w:ind w:firstLine="987"/>
        <w:spacing w:after="0" w:line="268" w:lineRule="auto"/>
        <w:tabs>
          <w:tab w:leader="none" w:pos="1276"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43" w:lineRule="exact"/>
        <w:rPr>
          <w:rFonts w:ascii="Times New Roman" w:cs="Times New Roman" w:eastAsia="Times New Roman" w:hAnsi="Times New Roman"/>
          <w:sz w:val="18"/>
          <w:szCs w:val="18"/>
          <w:b w:val="1"/>
          <w:bCs w:val="1"/>
          <w:color w:val="auto"/>
        </w:rPr>
      </w:pPr>
    </w:p>
    <w:p>
      <w:pPr>
        <w:jc w:val="both"/>
        <w:ind w:firstLine="987"/>
        <w:spacing w:after="0" w:line="317" w:lineRule="auto"/>
        <w:tabs>
          <w:tab w:leader="none" w:pos="1336"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1D4ED43B"/>
    <w:multiLevelType w:val="hybridMultilevel"/>
    <w:lvl w:ilvl="0">
      <w:lvlJc w:val="left"/>
      <w:lvlText w:val="%1"/>
      <w:numFmt w:val="lowerLetter"/>
      <w:start w:val="1"/>
    </w:lvl>
    <w:lvl w:ilvl="1">
      <w:lvlJc w:val="left"/>
      <w:lvlText w:val="(%2)"/>
      <w:numFmt w:val="lowerRoman"/>
      <w:start w:val="5"/>
    </w:lvl>
  </w:abstractNum>
  <w:abstractNum w:abstractNumId="5">
    <w:nsid w:val="725A06FB"/>
    <w:multiLevelType w:val="hybridMultilevel"/>
    <w:lvl w:ilvl="0">
      <w:lvlJc w:val="left"/>
      <w:lvlText w:val="(%1)"/>
      <w:numFmt w:val="lowerLetter"/>
      <w:start w:val="3"/>
    </w:lvl>
    <w:lvl w:ilvl="1">
      <w:lvlJc w:val="left"/>
      <w:lvlText w:val="(%2)"/>
      <w:numFmt w:val="lowerRoman"/>
      <w:start w:val="1"/>
    </w:lvl>
  </w:abstractNum>
  <w:abstractNum w:abstractNumId="6">
    <w:nsid w:val="2CD89A32"/>
    <w:multiLevelType w:val="hybridMultilevel"/>
    <w:lvl w:ilvl="0">
      <w:lvlJc w:val="left"/>
      <w:lvlText w:val="(%1)"/>
      <w:numFmt w:val="lowerRoman"/>
      <w:start w:val="2"/>
    </w:lvl>
  </w:abstractNum>
  <w:abstractNum w:abstractNumId="7">
    <w:nsid w:val="57E4CCAF"/>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8">
    <w:nsid w:val="7A6D8D3C"/>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5"/>
    </w:lvl>
  </w:abstractNum>
  <w:abstractNum w:abstractNumId="9">
    <w:nsid w:val="4B588F54"/>
    <w:multiLevelType w:val="hybridMultilevel"/>
    <w:lvl w:ilvl="0">
      <w:lvlJc w:val="left"/>
      <w:lvlText w:val="%1."/>
      <w:numFmt w:val="decimal"/>
      <w:start w:val="3"/>
    </w:lvl>
    <w:lvl w:ilvl="1">
      <w:lvlJc w:val="left"/>
      <w:lvlText w:val="(%2)"/>
      <w:numFmt w:val="lowerLetter"/>
      <w:start w:val="1"/>
    </w:lvl>
  </w:abstractNum>
  <w:abstractNum w:abstractNumId="10">
    <w:nsid w:val="542289EC"/>
    <w:multiLevelType w:val="hybridMultilevel"/>
    <w:lvl w:ilvl="0">
      <w:lvlJc w:val="left"/>
      <w:lvlText w:val="%1"/>
      <w:numFmt w:val="decimal"/>
      <w:start w:val="1"/>
    </w:lvl>
    <w:lvl w:ilvl="1">
      <w:lvlJc w:val="left"/>
      <w:lvlText w:val="(%2)"/>
      <w:numFmt w:val="lowerLetter"/>
      <w:start w:val="2"/>
    </w:lvl>
  </w:abstractNum>
  <w:abstractNum w:abstractNumId="11">
    <w:nsid w:val="6DE91B18"/>
    <w:multiLevelType w:val="hybridMultilevel"/>
    <w:lvl w:ilvl="0">
      <w:lvlJc w:val="left"/>
      <w:lvlText w:val="%1."/>
      <w:numFmt w:val="decimal"/>
      <w:start w:val="4"/>
    </w:lvl>
    <w:lvl w:ilvl="1">
      <w:lvlJc w:val="left"/>
      <w:lvlText w:val="(%2)"/>
      <w:numFmt w:val="lowerLetter"/>
      <w:start w:val="1"/>
    </w:lvl>
  </w:abstractNum>
  <w:abstractNum w:abstractNumId="12">
    <w:nsid w:val="38437FDB"/>
    <w:multiLevelType w:val="hybridMultilevel"/>
    <w:lvl w:ilvl="0">
      <w:lvlJc w:val="left"/>
      <w:lvlText w:val="(%1)"/>
      <w:numFmt w:val="lowerLetter"/>
      <w:start w:val="1"/>
    </w:lvl>
    <w:lvl w:ilvl="1">
      <w:lvlJc w:val="left"/>
      <w:lvlText w:val="(%2)"/>
      <w:numFmt w:val="lowerRoman"/>
      <w:start w:val="1"/>
    </w:lvl>
  </w:abstractNum>
  <w:abstractNum w:abstractNumId="13">
    <w:nsid w:val="7644A45C"/>
    <w:multiLevelType w:val="hybridMultilevel"/>
    <w:lvl w:ilvl="0">
      <w:lvlJc w:val="left"/>
      <w:lvlText w:val="(%1)"/>
      <w:numFmt w:val="lowerLetter"/>
      <w:start w:val="4"/>
    </w:lvl>
    <w:lvl w:ilvl="1">
      <w:lvlJc w:val="left"/>
      <w:lvlText w:val="(%2)"/>
      <w:numFmt w:val="lowerRoman"/>
      <w:start w:val="1"/>
    </w:lvl>
  </w:abstractNum>
  <w:abstractNum w:abstractNumId="14">
    <w:nsid w:val="32FFF902"/>
    <w:multiLevelType w:val="hybridMultilevel"/>
    <w:lvl w:ilvl="0">
      <w:lvlJc w:val="left"/>
      <w:lvlText w:val="(%1)"/>
      <w:numFmt w:val="lowerLetter"/>
      <w:start w:val="8"/>
    </w:lvl>
  </w:abstractNum>
  <w:abstractNum w:abstractNumId="15">
    <w:nsid w:val="684A481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
    <w:nsid w:val="579478FE"/>
    <w:multiLevelType w:val="hybridMultilevel"/>
    <w:lvl w:ilvl="0">
      <w:lvlJc w:val="left"/>
      <w:lvlText w:val="%1"/>
      <w:numFmt w:val="lowerLetter"/>
      <w:start w:val="1"/>
    </w:lvl>
    <w:lvl w:ilvl="1">
      <w:lvlJc w:val="left"/>
      <w:lvlText w:val="(%2)"/>
      <w:numFmt w:val="lowerRoman"/>
      <w:start w:val="1"/>
    </w:lvl>
  </w:abstractNum>
  <w:abstractNum w:abstractNumId="17">
    <w:nsid w:val="749ABB43"/>
    <w:multiLevelType w:val="hybridMultilevel"/>
    <w:lvl w:ilvl="0">
      <w:lvlJc w:val="left"/>
      <w:lvlText w:val="(%1)"/>
      <w:numFmt w:val="lowerLetter"/>
      <w:start w:val="3"/>
    </w:lvl>
    <w:lvl w:ilvl="1">
      <w:lvlJc w:val="left"/>
      <w:lvlText w:val="(%2)"/>
      <w:numFmt w:val="lowerRoman"/>
      <w:start w:val="1"/>
    </w:lvl>
  </w:abstractNum>
  <w:abstractNum w:abstractNumId="18">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9">
    <w:nsid w:val="1BA026F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0">
    <w:nsid w:val="79A1DEA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1">
    <w:nsid w:val="75C6C33A"/>
    <w:multiLevelType w:val="hybridMultilevel"/>
    <w:lvl w:ilvl="0">
      <w:lvlJc w:val="left"/>
      <w:lvlText w:val="(%1)"/>
      <w:numFmt w:val="lowerLetter"/>
      <w:start w:val="3"/>
    </w:lvl>
  </w:abstractNum>
  <w:abstractNum w:abstractNumId="22">
    <w:nsid w:val="12E685FB"/>
    <w:multiLevelType w:val="hybridMultilevel"/>
    <w:lvl w:ilvl="0">
      <w:lvlJc w:val="left"/>
      <w:lvlText w:val="(%1)"/>
      <w:numFmt w:val="lowerLetter"/>
      <w:start w:val="8"/>
    </w:lvl>
  </w:abstractNum>
  <w:abstractNum w:abstractNumId="23">
    <w:nsid w:val="70C6A529"/>
    <w:multiLevelType w:val="hybridMultilevel"/>
    <w:lvl w:ilvl="0">
      <w:lvlJc w:val="left"/>
      <w:lvlText w:val="%1."/>
      <w:numFmt w:val="decimal"/>
      <w:start w:val="9"/>
    </w:lvl>
  </w:abstractNum>
  <w:abstractNum w:abstractNumId="24">
    <w:nsid w:val="520EEDD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5">
    <w:nsid w:val="374A3FE6"/>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26">
    <w:nsid w:val="4F4EF005"/>
    <w:multiLevelType w:val="hybridMultilevel"/>
    <w:lvl w:ilvl="0">
      <w:lvlJc w:val="left"/>
      <w:lvlText w:val="(%1)"/>
      <w:numFmt w:val="lowerRoman"/>
      <w:start w:val="6"/>
    </w:lvl>
  </w:abstractNum>
  <w:abstractNum w:abstractNumId="27">
    <w:nsid w:val="23F9C13C"/>
    <w:multiLevelType w:val="hybridMultilevel"/>
    <w:lvl w:ilvl="0">
      <w:lvlJc w:val="left"/>
      <w:lvlText w:val="(%1)"/>
      <w:numFmt w:val="decimal"/>
      <w:start w:val="5"/>
    </w:lvl>
  </w:abstractNum>
  <w:abstractNum w:abstractNumId="28">
    <w:nsid w:val="649BB77C"/>
    <w:multiLevelType w:val="hybridMultilevel"/>
    <w:lvl w:ilvl="0">
      <w:lvlJc w:val="left"/>
      <w:lvlText w:val="%1"/>
      <w:numFmt w:val="decimal"/>
      <w:start w:val="1"/>
    </w:lvl>
    <w:lvl w:ilvl="1">
      <w:lvlJc w:val="left"/>
      <w:lvlText w:val="(%2)"/>
      <w:numFmt w:val="lowerLetter"/>
      <w:start w:val="4"/>
    </w:lvl>
  </w:abstractNum>
  <w:abstractNum w:abstractNumId="29">
    <w:nsid w:val="275AC794"/>
    <w:multiLevelType w:val="hybridMultilevel"/>
    <w:lvl w:ilvl="0">
      <w:lvlJc w:val="left"/>
      <w:lvlText w:val="%1."/>
      <w:numFmt w:val="decimal"/>
      <w:start w:val="10"/>
    </w:lvl>
    <w:lvl w:ilvl="1">
      <w:lvlJc w:val="left"/>
      <w:lvlText w:val="%2"/>
      <w:numFmt w:val="lowerLetter"/>
      <w:start w:val="1"/>
    </w:lvl>
  </w:abstractNum>
  <w:abstractNum w:abstractNumId="30">
    <w:nsid w:val="39386575"/>
    <w:multiLevelType w:val="hybridMultilevel"/>
    <w:lvl w:ilvl="0">
      <w:lvlJc w:val="left"/>
      <w:lvlText w:val="%1."/>
      <w:numFmt w:val="decimal"/>
      <w:start w:val="11"/>
    </w:lvl>
  </w:abstractNum>
  <w:abstractNum w:abstractNumId="31">
    <w:nsid w:val="1CF10FD8"/>
    <w:multiLevelType w:val="hybridMultilevel"/>
    <w:lvl w:ilvl="0">
      <w:lvlJc w:val="left"/>
      <w:lvlText w:val="%1."/>
      <w:numFmt w:val="decimal"/>
      <w:start w:val="12"/>
    </w:lvl>
  </w:abstractNum>
  <w:abstractNum w:abstractNumId="32">
    <w:nsid w:val="180115BE"/>
    <w:multiLevelType w:val="hybridMultilevel"/>
    <w:lvl w:ilvl="0">
      <w:lvlJc w:val="left"/>
      <w:lvlText w:val="%1."/>
      <w:numFmt w:val="decimal"/>
      <w:start w:val="13"/>
    </w:lvl>
    <w:lvl w:ilvl="1">
      <w:lvlJc w:val="left"/>
      <w:lvlText w:val="(%2)"/>
      <w:numFmt w:val="lowerLetter"/>
      <w:start w:val="1"/>
    </w:lvl>
  </w:abstractNum>
  <w:abstractNum w:abstractNumId="33">
    <w:nsid w:val="235BA861"/>
    <w:multiLevelType w:val="hybridMultilevel"/>
    <w:lvl w:ilvl="0">
      <w:lvlJc w:val="left"/>
      <w:lvlText w:val="(%1)"/>
      <w:numFmt w:val="lowerLetter"/>
      <w:start w:val="8"/>
    </w:lvl>
    <w:lvl w:ilvl="1">
      <w:lvlJc w:val="left"/>
      <w:lvlText w:val="(%2)"/>
      <w:numFmt w:val="lowerRoman"/>
      <w:start w:val="1"/>
    </w:lvl>
  </w:abstractNum>
  <w:abstractNum w:abstractNumId="34">
    <w:nsid w:val="47398C89"/>
    <w:multiLevelType w:val="hybridMultilevel"/>
    <w:lvl w:ilvl="0">
      <w:lvlJc w:val="left"/>
      <w:lvlText w:val="(%1)"/>
      <w:numFmt w:val="lowerLetter"/>
      <w:start w:val="9"/>
    </w:lvl>
  </w:abstractNum>
  <w:abstractNum w:abstractNumId="35">
    <w:nsid w:val="354FE9F9"/>
    <w:multiLevelType w:val="hybridMultilevel"/>
    <w:lvl w:ilvl="0">
      <w:lvlJc w:val="left"/>
      <w:lvlText w:val="(%1)"/>
      <w:numFmt w:val="lowerLetter"/>
      <w:start w:val="11"/>
    </w:lvl>
    <w:lvl w:ilvl="1">
      <w:lvlJc w:val="left"/>
      <w:lvlText w:val="(%2)"/>
      <w:numFmt w:val="lowerRoman"/>
      <w:start w:val="1"/>
    </w:lvl>
  </w:abstractNum>
  <w:abstractNum w:abstractNumId="36">
    <w:nsid w:val="15B5AF5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7">
    <w:nsid w:val="741226BB"/>
    <w:multiLevelType w:val="hybridMultilevel"/>
    <w:lvl w:ilvl="0">
      <w:lvlJc w:val="left"/>
      <w:lvlText w:val="%1"/>
      <w:numFmt w:val="lowerRoman"/>
      <w:start w:val="1"/>
    </w:lvl>
    <w:lvl w:ilvl="1">
      <w:lvlJc w:val="left"/>
      <w:lvlText w:val="(%2)"/>
      <w:numFmt w:val="lowerLetter"/>
      <w:start w:val="16"/>
    </w:lvl>
    <w:lvl w:ilvl="2">
      <w:lvlJc w:val="left"/>
      <w:lvlText w:val="%3"/>
      <w:numFmt w:val="lowerRoman"/>
      <w:start w:val="1"/>
    </w:lvl>
  </w:abstractNum>
  <w:abstractNum w:abstractNumId="38">
    <w:nsid w:val="D34B6A8"/>
    <w:multiLevelType w:val="hybridMultilevel"/>
    <w:lvl w:ilvl="0">
      <w:lvlJc w:val="left"/>
      <w:lvlText w:val="(%1)"/>
      <w:numFmt w:val="lowerRoman"/>
      <w:start w:val="5"/>
    </w:lvl>
    <w:lvl w:ilvl="1">
      <w:lvlJc w:val="left"/>
      <w:lvlText w:val="(%2)"/>
      <w:numFmt w:val="lowerLetter"/>
      <w:start w:val="24"/>
    </w:lvl>
    <w:lvl w:ilvl="2">
      <w:lvlJc w:val="left"/>
      <w:lvlText w:val="(%3)"/>
      <w:numFmt w:val="lowerRoman"/>
      <w:start w:val="1"/>
    </w:lvl>
  </w:abstractNum>
  <w:abstractNum w:abstractNumId="39">
    <w:nsid w:val="10233C99"/>
    <w:multiLevelType w:val="hybridMultilevel"/>
    <w:lvl w:ilvl="0">
      <w:lvlJc w:val="left"/>
      <w:lvlText w:val="%1"/>
      <w:numFmt w:val="lowerLetter"/>
      <w:start w:val="1"/>
    </w:lvl>
    <w:lvl w:ilvl="1">
      <w:lvlJc w:val="left"/>
      <w:lvlText w:val="(%2)"/>
      <w:numFmt w:val="lowerLetter"/>
      <w:start w:val="61"/>
    </w:lvl>
  </w:abstractNum>
  <w:abstractNum w:abstractNumId="40">
    <w:nsid w:val="3F6AB60F"/>
    <w:multiLevelType w:val="hybridMultilevel"/>
    <w:lvl w:ilvl="0">
      <w:lvlJc w:val="left"/>
      <w:lvlText w:val="(%1)"/>
      <w:numFmt w:val="lowerLetter"/>
      <w:start w:val="25"/>
    </w:lvl>
    <w:lvl w:ilvl="1">
      <w:lvlJc w:val="left"/>
      <w:lvlText w:val="%2"/>
      <w:numFmt w:val="lowerLetter"/>
      <w:start w:val="1"/>
    </w:lvl>
  </w:abstractNum>
  <w:abstractNum w:abstractNumId="41">
    <w:nsid w:val="61574095"/>
    <w:multiLevelType w:val="hybridMultilevel"/>
    <w:lvl w:ilvl="0">
      <w:lvlJc w:val="left"/>
      <w:lvlText w:val="%1"/>
      <w:numFmt w:val="lowerLetter"/>
      <w:start w:val="1"/>
    </w:lvl>
    <w:lvl w:ilvl="1">
      <w:lvlJc w:val="left"/>
      <w:lvlText w:val="(%2)"/>
      <w:numFmt w:val="lowerLetter"/>
      <w:start w:val="27"/>
    </w:lvl>
  </w:abstractNum>
  <w:abstractNum w:abstractNumId="42">
    <w:nsid w:val="7E0C57B1"/>
    <w:multiLevelType w:val="hybridMultilevel"/>
    <w:lvl w:ilvl="0">
      <w:lvlJc w:val="left"/>
      <w:lvlText w:val="(%1)"/>
      <w:numFmt w:val="lowerLetter"/>
      <w:start w:val="35"/>
    </w:lvl>
    <w:lvl w:ilvl="1">
      <w:lvlJc w:val="left"/>
      <w:lvlText w:val="(%2)"/>
      <w:numFmt w:val="lowerLetter"/>
      <w:start w:val="28"/>
    </w:lvl>
  </w:abstractNum>
  <w:abstractNum w:abstractNumId="43">
    <w:nsid w:val="77AE35EB"/>
    <w:multiLevelType w:val="hybridMultilevel"/>
    <w:lvl w:ilvl="0">
      <w:lvlJc w:val="left"/>
      <w:lvlText w:val="%1"/>
      <w:numFmt w:val="lowerRoman"/>
      <w:start w:val="1"/>
    </w:lvl>
    <w:lvl w:ilvl="1">
      <w:lvlJc w:val="left"/>
      <w:lvlText w:val="(%2)"/>
      <w:numFmt w:val="lowerLetter"/>
      <w:start w:val="38"/>
    </w:lvl>
  </w:abstractNum>
  <w:abstractNum w:abstractNumId="44">
    <w:nsid w:val="579BE4F1"/>
    <w:multiLevelType w:val="hybridMultilevel"/>
    <w:lvl w:ilvl="0">
      <w:lvlJc w:val="left"/>
      <w:lvlText w:val="(%1)"/>
      <w:numFmt w:val="lowerRoman"/>
      <w:start w:val="27"/>
    </w:lvl>
    <w:lvl w:ilvl="1">
      <w:lvlJc w:val="left"/>
      <w:lvlText w:val="%2"/>
      <w:numFmt w:val="lowerLetter"/>
      <w:start w:val="1"/>
    </w:lvl>
  </w:abstractNum>
  <w:abstractNum w:abstractNumId="45">
    <w:nsid w:val="310C50B3"/>
    <w:multiLevelType w:val="hybridMultilevel"/>
    <w:lvl w:ilvl="0">
      <w:lvlJc w:val="left"/>
      <w:lvlText w:val="(%1)"/>
      <w:numFmt w:val="lowerRoman"/>
      <w:start w:val="31"/>
    </w:lvl>
    <w:lvl w:ilvl="1">
      <w:lvlJc w:val="left"/>
      <w:lvlText w:val="(%2)"/>
      <w:numFmt w:val="lowerLetter"/>
      <w:start w:val="39"/>
    </w:lvl>
  </w:abstractNum>
  <w:abstractNum w:abstractNumId="46">
    <w:nsid w:val="5FF87E05"/>
    <w:multiLevelType w:val="hybridMultilevel"/>
    <w:lvl w:ilvl="0">
      <w:lvlJc w:val="left"/>
      <w:lvlText w:val="(%1)"/>
      <w:numFmt w:val="lowerLetter"/>
      <w:start w:val="40"/>
    </w:lvl>
  </w:abstractNum>
  <w:abstractNum w:abstractNumId="47">
    <w:nsid w:val="2F305DEF"/>
    <w:multiLevelType w:val="hybridMultilevel"/>
    <w:lvl w:ilvl="0">
      <w:lvlJc w:val="left"/>
      <w:lvlText w:val="(%1)"/>
      <w:numFmt w:val="lowerLetter"/>
      <w:start w:val="52"/>
    </w:lvl>
  </w:abstractNum>
  <w:abstractNum w:abstractNumId="48">
    <w:nsid w:val="25A70BF7"/>
    <w:multiLevelType w:val="hybridMultilevel"/>
    <w:lvl w:ilvl="0">
      <w:lvlJc w:val="left"/>
      <w:lvlText w:val="(%1)"/>
      <w:numFmt w:val="lowerLetter"/>
      <w:start w:val="53"/>
    </w:lvl>
  </w:abstractNum>
  <w:abstractNum w:abstractNumId="49">
    <w:nsid w:val="1DBABF00"/>
    <w:multiLevelType w:val="hybridMultilevel"/>
    <w:lvl w:ilvl="0">
      <w:lvlJc w:val="left"/>
      <w:lvlText w:val="(%1)"/>
      <w:numFmt w:val="lowerLetter"/>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1)"/>
      <w:numFmt w:val="lowerLetter"/>
      <w:start w:val="1"/>
    </w:lvl>
  </w:abstractNum>
  <w:abstractNum w:abstractNumId="52">
    <w:nsid w:val="1381823A"/>
    <w:multiLevelType w:val="hybridMultilevel"/>
    <w:lvl w:ilvl="0">
      <w:lvlJc w:val="left"/>
      <w:lvlText w:val="(%1)"/>
      <w:numFmt w:val="lowerLetter"/>
      <w:start w:val="1"/>
    </w:lvl>
  </w:abstractNum>
  <w:abstractNum w:abstractNumId="53">
    <w:nsid w:val="5DB70AE5"/>
    <w:multiLevelType w:val="hybridMultilevel"/>
    <w:lvl w:ilvl="0">
      <w:lvlJc w:val="left"/>
      <w:lvlText w:val="(%1)"/>
      <w:numFmt w:val="lowerLetter"/>
      <w:start w:val="2"/>
    </w:lvl>
  </w:abstractNum>
  <w:abstractNum w:abstractNumId="54">
    <w:nsid w:val="100F8FCA"/>
    <w:multiLevelType w:val="hybridMultilevel"/>
    <w:lvl w:ilvl="0">
      <w:lvlJc w:val="left"/>
      <w:lvlText w:val="(%1)"/>
      <w:numFmt w:val="lowerLetter"/>
      <w:start w:val="1"/>
    </w:lvl>
  </w:abstractNum>
  <w:abstractNum w:abstractNumId="55">
    <w:nsid w:val="659070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15014ACB"/>
    <w:multiLevelType w:val="hybridMultilevel"/>
    <w:lvl w:ilvl="0">
      <w:lvlJc w:val="left"/>
      <w:lvlText w:val="(%1)"/>
      <w:numFmt w:val="upperLetter"/>
      <w:start w:val="2"/>
    </w:lvl>
    <w:lvl w:ilvl="1">
      <w:lvlJc w:val="left"/>
      <w:lvlText w:val="(%2)"/>
      <w:numFmt w:val="lowerRoman"/>
      <w:start w:val="3"/>
    </w:lvl>
  </w:abstractNum>
  <w:abstractNum w:abstractNumId="57">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8">
    <w:nsid w:val="98A3148"/>
    <w:multiLevelType w:val="hybridMultilevel"/>
    <w:lvl w:ilvl="0">
      <w:lvlJc w:val="left"/>
      <w:lvlText w:val="%1"/>
      <w:numFmt w:val="decimal"/>
      <w:start w:val="423"/>
    </w:lvl>
    <w:lvl w:ilvl="1">
      <w:lvlJc w:val="left"/>
      <w:lvlText w:val="(%2)"/>
      <w:numFmt w:val="lowerLetter"/>
      <w:start w:val="2"/>
    </w:lvl>
    <w:lvl w:ilvl="2">
      <w:lvlJc w:val="left"/>
      <w:lvlText w:val="(%3)"/>
      <w:numFmt w:val="lowerRoman"/>
      <w:start w:val="8"/>
    </w:lvl>
  </w:abstractNum>
  <w:abstractNum w:abstractNumId="59">
    <w:nsid w:val="799D024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0">
    <w:nsid w:val="6B94764"/>
    <w:multiLevelType w:val="hybridMultilevel"/>
    <w:lvl w:ilvl="0">
      <w:lvlJc w:val="left"/>
      <w:lvlText w:val="%1"/>
      <w:numFmt w:val="decimal"/>
      <w:start w:val="1"/>
    </w:lvl>
    <w:lvl w:ilvl="1">
      <w:lvlJc w:val="left"/>
      <w:lvlText w:val="(%2)"/>
      <w:numFmt w:val="lowerLetter"/>
      <w:start w:val="2"/>
    </w:lvl>
  </w:abstractNum>
  <w:abstractNum w:abstractNumId="61">
    <w:nsid w:val="42C296BD"/>
    <w:multiLevelType w:val="hybridMultilevel"/>
    <w:lvl w:ilvl="0">
      <w:lvlJc w:val="left"/>
      <w:lvlText w:val="%1."/>
      <w:numFmt w:val="decimal"/>
      <w:start w:val="4"/>
    </w:lvl>
    <w:lvl w:ilvl="1">
      <w:lvlJc w:val="left"/>
      <w:lvlText w:val="(%2)"/>
      <w:numFmt w:val="lowerLetter"/>
      <w:start w:val="1"/>
    </w:lvl>
  </w:abstractNum>
  <w:abstractNum w:abstractNumId="62">
    <w:nsid w:val="168E121F"/>
    <w:multiLevelType w:val="hybridMultilevel"/>
    <w:lvl w:ilvl="0">
      <w:lvlJc w:val="left"/>
      <w:lvlText w:val="(%1)"/>
      <w:numFmt w:val="lowerRoman"/>
      <w:start w:val="1"/>
    </w:lvl>
  </w:abstractNum>
  <w:abstractNum w:abstractNumId="63">
    <w:nsid w:val="1EBA5D23"/>
    <w:multiLevelType w:val="hybridMultilevel"/>
    <w:lvl w:ilvl="0">
      <w:lvlJc w:val="left"/>
      <w:lvlText w:val="(%1)"/>
      <w:numFmt w:val="lowerRoman"/>
      <w:start w:val="2"/>
    </w:lvl>
  </w:abstractNum>
  <w:abstractNum w:abstractNumId="64">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5">
    <w:nsid w:val="5DC79EA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6">
    <w:nsid w:val="540A471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67">
    <w:nsid w:val="7BD3EE7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8">
    <w:nsid w:val="51D9C56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9">
    <w:nsid w:val="613EFDC5"/>
    <w:multiLevelType w:val="hybridMultilevel"/>
    <w:lvl w:ilvl="0">
      <w:lvlJc w:val="left"/>
      <w:lvlText w:val="%1"/>
      <w:numFmt w:val="decimal"/>
      <w:start w:val="1"/>
    </w:lvl>
    <w:lvl w:ilvl="1">
      <w:lvlJc w:val="left"/>
      <w:lvlText w:val="(%2)"/>
      <w:numFmt w:val="lowerLetter"/>
      <w:start w:val="5"/>
    </w:lvl>
  </w:abstractNum>
  <w:abstractNum w:abstractNumId="70">
    <w:nsid w:val="BF72B14"/>
    <w:multiLevelType w:val="hybridMultilevel"/>
    <w:lvl w:ilvl="0">
      <w:lvlJc w:val="left"/>
      <w:lvlText w:val="%1."/>
      <w:numFmt w:val="decimal"/>
      <w:start w:val="8"/>
    </w:lvl>
    <w:lvl w:ilvl="1">
      <w:lvlJc w:val="left"/>
      <w:lvlText w:val="(%2)"/>
      <w:numFmt w:val="lowerLetter"/>
      <w:start w:val="1"/>
    </w:lvl>
  </w:abstractNum>
  <w:abstractNum w:abstractNumId="71">
    <w:nsid w:val="11447B73"/>
    <w:multiLevelType w:val="hybridMultilevel"/>
    <w:lvl w:ilvl="0">
      <w:lvlJc w:val="left"/>
      <w:lvlText w:val="%1."/>
      <w:numFmt w:val="decimal"/>
      <w:start w:val="10"/>
    </w:lvl>
    <w:lvl w:ilvl="1">
      <w:lvlJc w:val="left"/>
      <w:lvlText w:val="(%2)"/>
      <w:numFmt w:val="lowerLetter"/>
      <w:start w:val="1"/>
    </w:lvl>
  </w:abstractNum>
  <w:abstractNum w:abstractNumId="72">
    <w:nsid w:val="42963E5A"/>
    <w:multiLevelType w:val="hybridMultilevel"/>
    <w:lvl w:ilvl="0">
      <w:lvlJc w:val="left"/>
      <w:lvlText w:val="%1."/>
      <w:numFmt w:val="decimal"/>
      <w:start w:val="13"/>
    </w:lvl>
    <w:lvl w:ilvl="1">
      <w:lvlJc w:val="left"/>
      <w:lvlText w:val="(%2)"/>
      <w:numFmt w:val="lowerLetter"/>
      <w:start w:val="1"/>
    </w:lvl>
  </w:abstractNum>
  <w:abstractNum w:abstractNumId="73">
    <w:nsid w:val="A0382C5"/>
    <w:multiLevelType w:val="hybridMultilevel"/>
    <w:lvl w:ilvl="0">
      <w:lvlJc w:val="left"/>
      <w:lvlText w:val="%1."/>
      <w:numFmt w:val="decimal"/>
      <w:start w:val="15"/>
    </w:lvl>
    <w:lvl w:ilvl="1">
      <w:lvlJc w:val="left"/>
      <w:lvlText w:val="(%2)"/>
      <w:numFmt w:val="lowerLetter"/>
      <w:start w:val="1"/>
    </w:lvl>
  </w:abstractNum>
  <w:abstractNum w:abstractNumId="74">
    <w:nsid w:val="8F2B15E"/>
    <w:multiLevelType w:val="hybridMultilevel"/>
    <w:lvl w:ilvl="0">
      <w:lvlJc w:val="left"/>
      <w:lvlText w:val="%1"/>
      <w:numFmt w:val="decimal"/>
      <w:start w:val="1"/>
    </w:lvl>
    <w:lvl w:ilvl="1">
      <w:lvlJc w:val="left"/>
      <w:lvlText w:val="(%2)"/>
      <w:numFmt w:val="lowerLetter"/>
      <w:start w:val="4"/>
    </w:lvl>
  </w:abstractNum>
  <w:abstractNum w:abstractNumId="75">
    <w:nsid w:val="1A32234B"/>
    <w:multiLevelType w:val="hybridMultilevel"/>
    <w:lvl w:ilvl="0">
      <w:lvlJc w:val="left"/>
      <w:lvlText w:val="%1."/>
      <w:numFmt w:val="decimal"/>
      <w:start w:val="16"/>
    </w:lvl>
    <w:lvl w:ilvl="1">
      <w:lvlJc w:val="left"/>
      <w:lvlText w:val="%2"/>
      <w:numFmt w:val="lowerLetter"/>
      <w:start w:val="1"/>
    </w:lvl>
  </w:abstractNum>
  <w:abstractNum w:abstractNumId="76">
    <w:nsid w:val="3B0FD379"/>
    <w:multiLevelType w:val="hybridMultilevel"/>
    <w:lvl w:ilvl="0">
      <w:lvlJc w:val="left"/>
      <w:lvlText w:val="(%1)"/>
      <w:numFmt w:val="lowerLetter"/>
      <w:start w:val="1"/>
    </w:lvl>
  </w:abstractNum>
  <w:abstractNum w:abstractNumId="77">
    <w:nsid w:val="68EB2F63"/>
    <w:multiLevelType w:val="hybridMultilevel"/>
    <w:lvl w:ilvl="0">
      <w:lvlJc w:val="left"/>
      <w:lvlText w:val="(%1)"/>
      <w:numFmt w:val="lowerRoman"/>
      <w:start w:val="1"/>
    </w:lvl>
  </w:abstractNum>
  <w:abstractNum w:abstractNumId="78">
    <w:nsid w:val="4962813B"/>
    <w:multiLevelType w:val="hybridMultilevel"/>
    <w:lvl w:ilvl="0">
      <w:lvlJc w:val="left"/>
      <w:lvlText w:val="%1"/>
      <w:numFmt w:val="lowerLetter"/>
      <w:start w:val="1"/>
    </w:lvl>
    <w:lvl w:ilvl="1">
      <w:lvlJc w:val="left"/>
      <w:lvlText w:val="(%2)"/>
      <w:numFmt w:val="lowerRoman"/>
      <w:start w:val="2"/>
    </w:lvl>
  </w:abstractNum>
  <w:abstractNum w:abstractNumId="79">
    <w:nsid w:val="60B6DF70"/>
    <w:multiLevelType w:val="hybridMultilevel"/>
    <w:lvl w:ilvl="0">
      <w:lvlJc w:val="left"/>
      <w:lvlText w:val="(%1)"/>
      <w:numFmt w:val="lowerLetter"/>
      <w:start w:val="11"/>
    </w:lvl>
    <w:lvl w:ilvl="1">
      <w:lvlJc w:val="left"/>
      <w:lvlText w:val="(%2)"/>
      <w:numFmt w:val="lowerRoman"/>
      <w:start w:val="1"/>
    </w:lvl>
  </w:abstractNum>
  <w:abstractNum w:abstractNumId="80">
    <w:nsid w:val="6A5EE64"/>
    <w:multiLevelType w:val="hybridMultilevel"/>
    <w:lvl w:ilvl="0">
      <w:lvlJc w:val="left"/>
      <w:lvlText w:val="(%1)"/>
      <w:numFmt w:val="lowerLetter"/>
      <w:start w:val="19"/>
    </w:lvl>
  </w:abstractNum>
  <w:abstractNum w:abstractNumId="81">
    <w:nsid w:val="14330624"/>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2022-06-21T06:33:43Z</dcterms:created>
  <dcterms:modified xsi:type="dcterms:W3CDTF">2022-06-21T06:33:43Z</dcterms:modified>
</cp:coreProperties>
</file>