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3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par value $0.001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87978U108</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2"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20"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15"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8"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0"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87978U108</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LLC</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OO, IA</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87978U108</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Oleg Nodelman</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United States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87978U108</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160" w:type="dxa"/>
            <w:vAlign w:val="bottom"/>
            <w:vMerge w:val="continue"/>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4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Borders>
              <w:bottom w:val="single" w:sz="8" w:color="auto"/>
            </w:tcBorders>
            <w:vMerge w:val="continue"/>
          </w:tcPr>
          <w:p>
            <w:pPr>
              <w:spacing w:after="0"/>
              <w:rPr>
                <w:sz w:val="12"/>
                <w:szCs w:val="12"/>
                <w:color w:val="auto"/>
              </w:rPr>
            </w:pPr>
          </w:p>
        </w:tc>
        <w:tc>
          <w:tcPr>
            <w:tcW w:w="8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2160" w:type="dxa"/>
            <w:vAlign w:val="bottom"/>
            <w:vMerge w:val="continue"/>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179" w:lineRule="exact"/>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vMerge w:val="continue"/>
          </w:tcPr>
          <w:p>
            <w:pPr>
              <w:spacing w:after="0"/>
              <w:rPr>
                <w:sz w:val="17"/>
                <w:szCs w:val="17"/>
                <w:color w:val="auto"/>
              </w:rPr>
            </w:pPr>
          </w:p>
        </w:tc>
        <w:tc>
          <w:tcPr>
            <w:tcW w:w="8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-0-</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87978U108</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1.</w:t>
      </w:r>
    </w:p>
    <w:p>
      <w:pPr>
        <w:spacing w:after="0" w:line="220"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2000 Sierra Point, South San Francisco, CA 94080</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w:t>
      </w: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2.</w:t>
      </w:r>
    </w:p>
    <w:p>
      <w:pPr>
        <w:spacing w:after="0" w:line="194"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right="54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Fund Qualified, L.P. (“Qualified Fund”), EcoR1 Capital, LLC (“EcoR1”) and Oleg Nodelman (“Nodelman”) (collectively, the “Filers”).</w:t>
      </w:r>
    </w:p>
    <w:p>
      <w:pPr>
        <w:spacing w:after="0" w:line="165" w:lineRule="exact"/>
        <w:rPr>
          <w:rFonts w:ascii="Times New Roman" w:cs="Times New Roman" w:eastAsia="Times New Roman" w:hAnsi="Times New Roman"/>
          <w:sz w:val="20"/>
          <w:szCs w:val="20"/>
          <w:color w:val="auto"/>
        </w:rPr>
      </w:pPr>
    </w:p>
    <w:p>
      <w:pPr>
        <w:ind w:left="130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Qualified Fund is filing this statement jointly with the other Filers, but not as a member of a group and it expressly disclaims membership in a group. In addition, filing this Schedule 13G on behalf of Qualified Fund should not be construed as an admission that it is, and it disclaims that it is, a beneficial owner, as defined in Rule 13d-3 under the Act, of any of the Stock covered by this Schedule 13G.</w:t>
      </w:r>
    </w:p>
    <w:p>
      <w:pPr>
        <w:spacing w:after="0" w:line="189" w:lineRule="exact"/>
        <w:rPr>
          <w:rFonts w:ascii="Times New Roman" w:cs="Times New Roman" w:eastAsia="Times New Roman" w:hAnsi="Times New Roman"/>
          <w:sz w:val="20"/>
          <w:szCs w:val="20"/>
          <w:color w:val="auto"/>
        </w:rPr>
      </w:pPr>
    </w:p>
    <w:p>
      <w:pPr>
        <w:ind w:left="1300" w:right="18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Filer also disclaims beneficial ownership of the Stock except to the extent of that person’s pecuniary interest therein.</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357 Tehama Street #3, San Francisco, CA 94103</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shares of </w:t>
      </w:r>
      <w:r>
        <w:rPr>
          <w:rFonts w:ascii="Times New Roman" w:cs="Times New Roman" w:eastAsia="Times New Roman" w:hAnsi="Times New Roman"/>
          <w:sz w:val="20"/>
          <w:szCs w:val="20"/>
          <w:b w:val="1"/>
          <w:bCs w:val="1"/>
          <w:color w:val="auto"/>
        </w:rPr>
        <w:t>Common Stock, par value $0.001 per share</w:t>
      </w:r>
      <w:r>
        <w:rPr>
          <w:rFonts w:ascii="Times New Roman" w:cs="Times New Roman" w:eastAsia="Times New Roman" w:hAnsi="Times New Roman"/>
          <w:sz w:val="20"/>
          <w:szCs w:val="20"/>
          <w:color w:val="auto"/>
        </w:rPr>
        <w:t xml:space="preserve"> (the “Stock”).</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87978U108</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229"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87978U108</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20" w:lineRule="exact"/>
        <w:rPr>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An investment adviser in accordance with section 240.13d-1(b)(1)(ii)(E) as to EcoR1.</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section 240.13d-1(b)(1)(ii)(F).</w:t>
      </w:r>
    </w:p>
    <w:p>
      <w:pPr>
        <w:spacing w:after="0" w:line="215" w:lineRule="exact"/>
        <w:rPr>
          <w:rFonts w:ascii="Times New Roman" w:cs="Times New Roman" w:eastAsia="Times New Roman" w:hAnsi="Times New Roman"/>
          <w:sz w:val="20"/>
          <w:szCs w:val="20"/>
          <w:color w:val="auto"/>
        </w:rPr>
      </w:pPr>
    </w:p>
    <w:p>
      <w:pPr>
        <w:ind w:left="1300" w:right="2420" w:hanging="644"/>
        <w:spacing w:after="0" w:line="269" w:lineRule="auto"/>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 parent holding company or control person in accordance with 240.13d-1(b)(1)(ii)(G) as to Mr. Nodelman.</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15" w:lineRule="exact"/>
        <w:rPr>
          <w:rFonts w:ascii="Times New Roman" w:cs="Times New Roman" w:eastAsia="Times New Roman" w:hAnsi="Times New Roman"/>
          <w:sz w:val="20"/>
          <w:szCs w:val="20"/>
          <w:color w:val="auto"/>
        </w:rPr>
      </w:pPr>
    </w:p>
    <w:p>
      <w:pPr>
        <w:ind w:left="1960" w:right="440" w:hanging="1304"/>
        <w:spacing w:after="0" w:line="269" w:lineRule="auto"/>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section 240.13d-1(b)(1)(ii)(J).</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xml:space="preserve"> ].</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ind w:left="1300" w:right="18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2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EcoR1 is the general partner and investment adviser of investment funds, including Qualified Fund. Mr. Nodelman is the control person of EcoR1.</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EcoR1 and Mr. Nodelman:</w:t>
      </w:r>
    </w:p>
    <w:p>
      <w:pPr>
        <w:spacing w:after="0" w:line="233" w:lineRule="exact"/>
        <w:rPr>
          <w:sz w:val="20"/>
          <w:szCs w:val="20"/>
          <w:color w:val="auto"/>
        </w:rPr>
      </w:pPr>
    </w:p>
    <w:p>
      <w:pPr>
        <w:ind w:left="660" w:right="460"/>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Qualified Fund:</w:t>
      </w:r>
    </w:p>
    <w:p>
      <w:pPr>
        <w:spacing w:after="0" w:line="233" w:lineRule="exact"/>
        <w:rPr>
          <w:sz w:val="20"/>
          <w:szCs w:val="20"/>
          <w:color w:val="auto"/>
        </w:rPr>
      </w:pPr>
    </w:p>
    <w:p>
      <w:pPr>
        <w:ind w:left="660" w:right="54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SIGNATURE</w:t>
      </w:r>
    </w:p>
    <w:p>
      <w:pPr>
        <w:sectPr>
          <w:pgSz w:w="11900" w:h="16838" w:orient="portrait"/>
          <w:cols w:equalWidth="0" w:num="1">
            <w:col w:w="11040"/>
          </w:cols>
          <w:pgMar w:left="320" w:top="229" w:right="539" w:bottom="105" w:gutter="0" w:footer="0" w:header="0"/>
        </w:sectPr>
      </w:pPr>
    </w:p>
    <w:bookmarkStart w:id="6" w:name="page7"/>
    <w:bookmarkEnd w:id="6"/>
    <w:p>
      <w:pPr>
        <w:spacing w:after="0" w:line="268"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61"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9"/>
          <w:szCs w:val="19"/>
          <w:color w:val="auto"/>
        </w:rPr>
        <w:t>Dated: February 14, 2024</w:t>
      </w:r>
    </w:p>
    <w:p>
      <w:pPr>
        <w:spacing w:after="0" w:line="156" w:lineRule="exact"/>
        <w:rPr>
          <w:sz w:val="20"/>
          <w:szCs w:val="20"/>
          <w:color w:val="auto"/>
        </w:rPr>
      </w:pPr>
    </w:p>
    <w:p>
      <w:pPr>
        <w:jc w:val="right"/>
        <w:ind w:right="908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4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Oleg Nodelman</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Oleg Nodelman</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5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Oleg Nodelman</w:t>
            </w:r>
          </w:p>
        </w:tc>
        <w:tc>
          <w:tcPr>
            <w:tcW w:w="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Oleg Nodelman, Manager</w:t>
            </w:r>
          </w:p>
        </w:tc>
        <w:tc>
          <w:tcPr>
            <w:tcW w:w="1340" w:type="dxa"/>
            <w:vAlign w:val="bottom"/>
            <w:vMerge w:val="continue"/>
          </w:tcPr>
          <w:p>
            <w:pPr>
              <w:spacing w:after="0"/>
              <w:rPr>
                <w:sz w:val="20"/>
                <w:szCs w:val="20"/>
                <w:color w:val="auto"/>
              </w:rPr>
            </w:pP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EcoR1 Capital, LLC, General Partner</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Oleg Nodelman, Manager</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20" w:top="118"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87978U108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2024</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4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Oleg Nodelman</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Oleg Nodelman</w:t>
            </w:r>
          </w:p>
        </w:tc>
      </w:tr>
      <w:tr>
        <w:trPr>
          <w:trHeight w:val="20"/>
        </w:trPr>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Oleg Nodelman, Manager</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Oleg Nodelman</w:t>
            </w:r>
          </w:p>
        </w:tc>
      </w:tr>
    </w:tbl>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EcoR1 Capital, LLC, General Partner</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Oleg Nodelman,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08689\007\10249556.v1</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2024-02-14T19:05:49Z</dcterms:created>
  <dcterms:modified xsi:type="dcterms:W3CDTF">2024-02-14T19:05:49Z</dcterms:modified>
</cp:coreProperties>
</file>