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4084"/>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798-8589</w:t>
      </w:r>
    </w:p>
    <w:p>
      <w:pPr>
        <w:spacing w:after="0" w:line="1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Open Market Sale Agreement</w:t>
      </w:r>
      <w:r>
        <w:rPr>
          <w:rFonts w:ascii="Times New Roman" w:cs="Times New Roman" w:eastAsia="Times New Roman" w:hAnsi="Times New Roman"/>
          <w:sz w:val="26"/>
          <w:szCs w:val="26"/>
          <w:color w:val="auto"/>
          <w:vertAlign w:val="superscript"/>
        </w:rPr>
        <w:t>SM</w:t>
      </w:r>
    </w:p>
    <w:p>
      <w:pPr>
        <w:spacing w:after="0" w:line="47" w:lineRule="exact"/>
        <w:rPr>
          <w:sz w:val="20"/>
          <w:szCs w:val="20"/>
          <w:color w:val="auto"/>
        </w:rPr>
      </w:pPr>
    </w:p>
    <w:p>
      <w:pPr>
        <w:ind w:left="4" w:right="120"/>
        <w:spacing w:after="0" w:line="252" w:lineRule="auto"/>
        <w:rPr>
          <w:sz w:val="20"/>
          <w:szCs w:val="20"/>
          <w:color w:val="auto"/>
        </w:rPr>
      </w:pPr>
      <w:r>
        <w:rPr>
          <w:rFonts w:ascii="Times New Roman" w:cs="Times New Roman" w:eastAsia="Times New Roman" w:hAnsi="Times New Roman"/>
          <w:sz w:val="18"/>
          <w:szCs w:val="18"/>
          <w:color w:val="auto"/>
        </w:rPr>
        <w:t>As previously reported, on July 23, 2021, Tempest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sales agreement with Jefferies LLC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to sell shares of the Company’s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from time to time through Agent acting as sales agent, having a maximum aggregate offering price of $100,000,000 (the “</w:t>
      </w:r>
      <w:r>
        <w:rPr>
          <w:rFonts w:ascii="Times New Roman" w:cs="Times New Roman" w:eastAsia="Times New Roman" w:hAnsi="Times New Roman"/>
          <w:sz w:val="18"/>
          <w:szCs w:val="18"/>
          <w:b w:val="1"/>
          <w:bCs w:val="1"/>
          <w:i w:val="1"/>
          <w:iCs w:val="1"/>
          <w:color w:val="auto"/>
        </w:rPr>
        <w:t>Prior Sales Agreement</w:t>
      </w:r>
      <w:r>
        <w:rPr>
          <w:rFonts w:ascii="Times New Roman" w:cs="Times New Roman" w:eastAsia="Times New Roman" w:hAnsi="Times New Roman"/>
          <w:sz w:val="18"/>
          <w:szCs w:val="18"/>
          <w:color w:val="auto"/>
        </w:rPr>
        <w:t>”). The issuances and sales under the Prior Sales Agreement were made pursuant to the Company’s registration statement on Form S-3 (File No. 333-257990)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July 16, 2021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As of June 20, 2024, the Company had offered and sold shares of Common Stock pursuant to the Prior Sales Agreement for aggregate gross proceeds to the Company of $42,671,322.</w:t>
      </w:r>
    </w:p>
    <w:p>
      <w:pPr>
        <w:spacing w:after="0" w:line="1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June 20, 2024, the Company and Agent terminated the Prior Sales Agreement and entered a new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(the</w:t>
      </w: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Sales Agreement</w:t>
      </w:r>
      <w:r>
        <w:rPr>
          <w:rFonts w:ascii="Times New Roman" w:cs="Times New Roman" w:eastAsia="Times New Roman" w:hAnsi="Times New Roman"/>
          <w:sz w:val="18"/>
          <w:szCs w:val="18"/>
          <w:color w:val="auto"/>
        </w:rPr>
        <w:t>”) to sell shares of Common Stock from time to time through Agent acting as sales agent. Pursuant to the prospectus supplement dated June 20, 2024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filed by the Company with the SEC, the Company will be able to offer and sell up to $205,000,000 of its shares of Common Stock pursuant to the Sales Agreement.</w:t>
      </w:r>
    </w:p>
    <w:p>
      <w:pPr>
        <w:spacing w:after="0" w:line="187"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Sales Agreement is not complete and is qualified in its entirety by reference to the full text of such agreement, a copy of which is filed as Exhibit 1.1 to this Current Report on Form 8-K (the “</w:t>
      </w:r>
      <w:r>
        <w:rPr>
          <w:rFonts w:ascii="Times New Roman" w:cs="Times New Roman" w:eastAsia="Times New Roman" w:hAnsi="Times New Roman"/>
          <w:sz w:val="18"/>
          <w:szCs w:val="18"/>
          <w:b w:val="1"/>
          <w:bCs w:val="1"/>
          <w:i w:val="1"/>
          <w:iCs w:val="1"/>
          <w:color w:val="auto"/>
        </w:rPr>
        <w:t>Current Report</w:t>
      </w:r>
      <w:r>
        <w:rPr>
          <w:rFonts w:ascii="Times New Roman" w:cs="Times New Roman" w:eastAsia="Times New Roman" w:hAnsi="Times New Roman"/>
          <w:sz w:val="18"/>
          <w:szCs w:val="18"/>
          <w:color w:val="auto"/>
        </w:rPr>
        <w:t>”) and is incorporated herein by reference.</w:t>
      </w:r>
    </w:p>
    <w:p>
      <w:pPr>
        <w:spacing w:after="0" w:line="162"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The legal opinion of Cooley LLP relating to the shares of Common Stock being sold pursuant to the Sales Agreement is filed as Exhibit 5.1 to this Current Report.</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June 20, 2024, the Company issued a press release entitled “</w:t>
      </w:r>
      <w:r>
        <w:rPr>
          <w:rFonts w:ascii="Times New Roman" w:cs="Times New Roman" w:eastAsia="Times New Roman" w:hAnsi="Times New Roman"/>
          <w:sz w:val="18"/>
          <w:szCs w:val="18"/>
          <w:i w:val="1"/>
          <w:iCs w:val="1"/>
          <w:color w:val="auto"/>
        </w:rPr>
        <w:t>Tempest Unveils New Survival Data for Amezalpat (TPST-1120) in Randomized First-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Line HCC Study Demonstrating a Six-Month Improvement over Control Arm</w:t>
      </w:r>
      <w:r>
        <w:rPr>
          <w:rFonts w:ascii="Times New Roman" w:cs="Times New Roman" w:eastAsia="Times New Roman" w:hAnsi="Times New Roman"/>
          <w:sz w:val="18"/>
          <w:szCs w:val="18"/>
          <w:color w:val="auto"/>
        </w:rPr>
        <w:t>.” The full text of the press release is attached as Exhibit 99.1 to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Current Report on Form 8-K, and is incorporated herein by reference.</w:t>
      </w:r>
    </w:p>
    <w:p>
      <w:pPr>
        <w:spacing w:after="0" w:line="351"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7"/>
          <w:szCs w:val="17"/>
          <w:u w:val="single" w:color="auto"/>
          <w:color w:val="0000EE"/>
        </w:rPr>
        <w:t>Open Market Sale Agreement</w:t>
      </w:r>
      <w:r>
        <w:rPr>
          <w:rFonts w:ascii="Times New Roman" w:cs="Times New Roman" w:eastAsia="Times New Roman" w:hAnsi="Times New Roman"/>
          <w:sz w:val="25"/>
          <w:szCs w:val="25"/>
          <w:u w:val="single" w:color="auto"/>
          <w:color w:val="0000EE"/>
          <w:vertAlign w:val="superscript"/>
        </w:rPr>
        <w:t>SM</w:t>
      </w:r>
      <w:r>
        <w:rPr>
          <w:rFonts w:ascii="Times New Roman" w:cs="Times New Roman" w:eastAsia="Times New Roman" w:hAnsi="Times New Roman"/>
          <w:sz w:val="17"/>
          <w:szCs w:val="17"/>
          <w:u w:val="single" w:color="auto"/>
          <w:color w:val="0000EE"/>
        </w:rPr>
        <w:t xml:space="preserve"> </w:t>
      </w:r>
      <w:r>
        <w:rPr>
          <w:rFonts w:ascii="Times New Roman" w:cs="Times New Roman" w:eastAsia="Times New Roman" w:hAnsi="Times New Roman"/>
          <w:sz w:val="17"/>
          <w:szCs w:val="17"/>
          <w:color w:val="0000EE"/>
        </w:rPr>
        <w:t>by and among the Company and the Agent, dated June 20, 2024</w:t>
      </w:r>
    </w:p>
    <w:p>
      <w:pPr>
        <w:spacing w:after="0" w:line="56"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Cooley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-219075</wp:posOffset>
            </wp:positionV>
            <wp:extent cx="2957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8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Cooley LLP (included in Exhibit 5.1)</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Tempest Therapeutics, Inc., dated June 20, 2024</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20, 2024</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Brady</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OPEN MARKET SALE AGREEMENT</w:t>
      </w:r>
      <w:r>
        <w:rPr>
          <w:rFonts w:ascii="Times New Roman" w:cs="Times New Roman" w:eastAsia="Times New Roman" w:hAnsi="Times New Roman"/>
          <w:sz w:val="26"/>
          <w:szCs w:val="26"/>
          <w:b w:val="1"/>
          <w:bCs w:val="1"/>
          <w:color w:val="auto"/>
          <w:vertAlign w:val="superscript"/>
        </w:rPr>
        <w:t>SM</w:t>
      </w:r>
    </w:p>
    <w:p>
      <w:pPr>
        <w:spacing w:after="0" w:line="137"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June 20,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Tempest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shares of the Company’s common stock, par value $0.001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on the terms set forth in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229" w:lineRule="exact"/>
        <w:rPr>
          <w:sz w:val="20"/>
          <w:szCs w:val="20"/>
          <w:color w:val="auto"/>
        </w:rPr>
      </w:pPr>
    </w:p>
    <w:p>
      <w:pPr>
        <w:ind w:right="720" w:firstLine="436"/>
        <w:spacing w:after="0" w:line="282"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capitalized terms used herein and not otherwise defined shall have the following respective meanings:</w:t>
      </w:r>
    </w:p>
    <w:p>
      <w:pPr>
        <w:spacing w:after="0" w:line="50"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ind w:right="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Agency Period</w:t>
      </w:r>
      <w:r>
        <w:rPr>
          <w:rFonts w:ascii="Times New Roman" w:cs="Times New Roman" w:eastAsia="Times New Roman" w:hAnsi="Times New Roman"/>
          <w:sz w:val="17"/>
          <w:szCs w:val="17"/>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thereunder.</w:t>
      </w:r>
    </w:p>
    <w:p>
      <w:pPr>
        <w:spacing w:after="0" w:line="22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SM</w:t>
      </w:r>
      <w:r>
        <w:rPr>
          <w:sz w:val="20"/>
          <w:szCs w:val="20"/>
          <w:color w:val="auto"/>
        </w:rPr>
        <w:tab/>
      </w:r>
      <w:r>
        <w:rPr>
          <w:rFonts w:ascii="Times New Roman" w:cs="Times New Roman" w:eastAsia="Times New Roman" w:hAnsi="Times New Roman"/>
          <w:sz w:val="18"/>
          <w:szCs w:val="18"/>
          <w:color w:val="auto"/>
        </w:rPr>
        <w:t>“Open Market Sale Agreement” is a service mark of Jefferies LLC</w:t>
      </w:r>
    </w:p>
    <w:p>
      <w:pPr>
        <w:sectPr>
          <w:pgSz w:w="11900" w:h="16838" w:orient="portrait"/>
          <w:cols w:equalWidth="0" w:num="1">
            <w:col w:w="11020"/>
          </w:cols>
          <w:pgMar w:left="440" w:top="117" w:right="43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Issuance Amount</w:t>
      </w:r>
      <w:r>
        <w:rPr>
          <w:rFonts w:ascii="Times New Roman" w:cs="Times New Roman" w:eastAsia="Times New Roman" w:hAnsi="Times New Roman"/>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xml:space="preserve">” means a written notice delivered to the Agent by the Company in accordance with this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that is executed by its Chief Executive Officer, President or Chief Financial Officer.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 Date</w:t>
      </w:r>
      <w:r>
        <w:rPr>
          <w:rFonts w:ascii="Times New Roman" w:cs="Times New Roman" w:eastAsia="Times New Roman" w:hAnsi="Times New Roman"/>
          <w:sz w:val="18"/>
          <w:szCs w:val="18"/>
          <w:color w:val="auto"/>
        </w:rPr>
        <w:t xml:space="preserve">” means any Trading Day during the Agency Period that an Issuance Notice is delivered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Price</w:t>
      </w:r>
      <w:r>
        <w:rPr>
          <w:rFonts w:ascii="Times New Roman" w:cs="Times New Roman" w:eastAsia="Times New Roman" w:hAnsi="Times New Roman"/>
          <w:sz w:val="18"/>
          <w:szCs w:val="18"/>
          <w:color w:val="auto"/>
        </w:rPr>
        <w:t>” means the Sales Price less the Selling Commission.</w:t>
      </w:r>
    </w:p>
    <w:p>
      <w:pPr>
        <w:spacing w:after="0" w:line="22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Program Amount</w:t>
      </w:r>
      <w:r>
        <w:rPr>
          <w:rFonts w:ascii="Times New Roman" w:cs="Times New Roman" w:eastAsia="Times New Roman" w:hAnsi="Times New Roman"/>
          <w:sz w:val="18"/>
          <w:szCs w:val="18"/>
          <w:color w:val="auto"/>
        </w:rPr>
        <w:t>” means Common Shares with an aggregate Sales Price of the lesser of (a) the number or dollar amount of Common Shares registered under the effective Registration Statement (as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(as defined below).</w:t>
      </w:r>
    </w:p>
    <w:p>
      <w:pPr>
        <w:spacing w:after="0" w:line="182"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 or such other national securities exchange on which the Common Shares, including any Shares, are then listed.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Sales Price</w:t>
      </w:r>
      <w:r>
        <w:rPr>
          <w:rFonts w:ascii="Times New Roman" w:cs="Times New Roman" w:eastAsia="Times New Roman" w:hAnsi="Times New Roman"/>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Commission</w:t>
      </w:r>
      <w:r>
        <w:rPr>
          <w:rFonts w:ascii="Times New Roman" w:cs="Times New Roman" w:eastAsia="Times New Roman" w:hAnsi="Times New Roman"/>
          <w:sz w:val="18"/>
          <w:szCs w:val="18"/>
          <w:color w:val="auto"/>
        </w:rPr>
        <w:t>” means three percent (3%) of the gross proceeds of Shares sold pursuant to this Agreement, or as otherwise agreed between the Company and the Agent with respect to any Shares sold pursuant to this Agreement.</w:t>
      </w:r>
    </w:p>
    <w:p>
      <w:pPr>
        <w:spacing w:after="0" w:line="155"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means the first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5" w:name="page6"/>
    <w:bookmarkEnd w:id="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Company’s Common Shares issued or issuable pursuant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Principal Market is open for trading.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 REPRESENTATIONS AND WARRANTIES OF THE COMPANY</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represents and warrants to, and agrees with, the Agent that as of (1) the date of this Agreement, (2) each Issuance Notice Date,</w:t>
      </w:r>
    </w:p>
    <w:p>
      <w:pPr>
        <w:spacing w:after="0" w:line="27" w:lineRule="exact"/>
        <w:rPr>
          <w:sz w:val="20"/>
          <w:szCs w:val="20"/>
          <w:color w:val="auto"/>
        </w:rPr>
      </w:pPr>
    </w:p>
    <w:p>
      <w:pPr>
        <w:ind w:left="4" w:right="500" w:hanging="4"/>
        <w:spacing w:after="0" w:line="255"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Settlement Date, (4) each Triggering Event Date (as defined below) and (5) as of each Time of Sale (as defined below) (each of the times referenced above is referred to herein as a “</w:t>
      </w:r>
      <w:r>
        <w:rPr>
          <w:rFonts w:ascii="Times New Roman" w:cs="Times New Roman" w:eastAsia="Times New Roman" w:hAnsi="Times New Roman"/>
          <w:sz w:val="18"/>
          <w:szCs w:val="18"/>
          <w:b w:val="1"/>
          <w:bCs w:val="1"/>
          <w:color w:val="auto"/>
        </w:rPr>
        <w:t>Representation Date</w:t>
      </w:r>
      <w:r>
        <w:rPr>
          <w:rFonts w:ascii="Times New Roman" w:cs="Times New Roman" w:eastAsia="Times New Roman" w:hAnsi="Times New Roman"/>
          <w:sz w:val="18"/>
          <w:szCs w:val="18"/>
          <w:color w:val="auto"/>
        </w:rPr>
        <w:t>”), except as may be disclosed in the Prospectus (including any documents incorporated by reference therein and any supplements thereto) on or before a Representation Date:</w:t>
      </w:r>
    </w:p>
    <w:p>
      <w:pPr>
        <w:spacing w:after="0" w:line="77" w:lineRule="exact"/>
        <w:rPr>
          <w:rFonts w:ascii="Times New Roman" w:cs="Times New Roman" w:eastAsia="Times New Roman" w:hAnsi="Times New Roman"/>
          <w:sz w:val="18"/>
          <w:szCs w:val="18"/>
          <w:color w:val="auto"/>
        </w:rPr>
      </w:pPr>
    </w:p>
    <w:p>
      <w:pPr>
        <w:ind w:left="4" w:firstLine="436"/>
        <w:spacing w:after="0" w:line="252" w:lineRule="auto"/>
        <w:tabs>
          <w:tab w:leader="none" w:pos="68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Commission a shelf registration statement on Form S-3 that contains a base prospectus.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including pursuant to Rule 462(b) under the Securities Act (any such registration statement filed pursuant to Rule 462(b), a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refer to such revised prospectus from and after the time it is first provided to the Agent for such use. The Registration Statement at the time it originally became effective is herein called the “</w:t>
      </w:r>
      <w:r>
        <w:rPr>
          <w:rFonts w:ascii="Times New Roman" w:cs="Times New Roman" w:eastAsia="Times New Roman" w:hAnsi="Times New Roman"/>
          <w:sz w:val="18"/>
          <w:szCs w:val="18"/>
          <w:b w:val="1"/>
          <w:bCs w:val="1"/>
          <w:color w:val="auto"/>
        </w:rPr>
        <w:t>Original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As used in this Agreement, the terms “amendment” or “supplement” when applied to the Registration Statement or the Prospectus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include the filing by the Company with the Commission of any document under the Exchange Act after the date hereof that is or is deemed to be incorporated therein by reference.</w:t>
      </w:r>
    </w:p>
    <w:p>
      <w:pPr>
        <w:spacing w:after="0" w:line="193" w:lineRule="exact"/>
        <w:rPr>
          <w:sz w:val="20"/>
          <w:szCs w:val="20"/>
          <w:color w:val="auto"/>
        </w:rPr>
      </w:pPr>
    </w:p>
    <w:p>
      <w:pPr>
        <w:jc w:val="both"/>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6" w:name="page7"/>
    <w:bookmarkEnd w:id="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At the time the Registration Statement was originally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80" w:lineRule="exact"/>
        <w:rPr>
          <w:sz w:val="20"/>
          <w:szCs w:val="20"/>
          <w:color w:val="auto"/>
        </w:rPr>
      </w:pPr>
    </w:p>
    <w:p>
      <w:pPr>
        <w:ind w:right="240" w:firstLine="436"/>
        <w:spacing w:after="0" w:line="258"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The Original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Prospectus, when filed, complied in all material respects with the Securities Act and, if filed with the Commission through its EDGAR system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18"/>
          <w:szCs w:val="18"/>
          <w:b w:val="1"/>
          <w:bCs w:val="1"/>
          <w:u w:val="single" w:color="auto"/>
          <w:color w:val="auto"/>
        </w:rPr>
        <w:t>Time of Sale Information</w:t>
      </w:r>
      <w:r>
        <w:rPr>
          <w:rFonts w:ascii="Times New Roman" w:cs="Times New Roman" w:eastAsia="Times New Roman" w:hAnsi="Times New Roman"/>
          <w:sz w:val="18"/>
          <w:szCs w:val="18"/>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all subsequent times,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ind w:left="-20" w:firstLine="436"/>
        <w:spacing w:after="0" w:line="253" w:lineRule="auto"/>
        <w:tabs>
          <w:tab w:leader="none" w:pos="6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Ineligible Issuer Status</w:t>
      </w:r>
      <w:r>
        <w:rPr>
          <w:rFonts w:ascii="Times New Roman" w:cs="Times New Roman" w:eastAsia="Times New Roman" w:hAnsi="Times New Roman"/>
          <w:sz w:val="18"/>
          <w:szCs w:val="18"/>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prepare, use or refer to, any Free Writing Prospectus.</w:t>
      </w:r>
    </w:p>
    <w:p>
      <w:pPr>
        <w:spacing w:after="0" w:line="194" w:lineRule="exact"/>
        <w:rPr>
          <w:rFonts w:ascii="Times New Roman" w:cs="Times New Roman" w:eastAsia="Times New Roman" w:hAnsi="Times New Roman"/>
          <w:sz w:val="18"/>
          <w:szCs w:val="18"/>
          <w:color w:val="auto"/>
        </w:rPr>
      </w:pPr>
    </w:p>
    <w:p>
      <w:pPr>
        <w:ind w:left="-20" w:firstLine="436"/>
        <w:spacing w:after="0" w:line="261" w:lineRule="auto"/>
        <w:tabs>
          <w:tab w:leader="none" w:pos="6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left="-20" w:right="120" w:firstLine="436"/>
        <w:spacing w:after="0" w:line="261" w:lineRule="auto"/>
        <w:tabs>
          <w:tab w:leader="none" w:pos="6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 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(a “</w:t>
      </w:r>
      <w:r>
        <w:rPr>
          <w:rFonts w:ascii="Times New Roman" w:cs="Times New Roman" w:eastAsia="Times New Roman" w:hAnsi="Times New Roman"/>
          <w:sz w:val="18"/>
          <w:szCs w:val="18"/>
          <w:b w:val="1"/>
          <w:bCs w:val="1"/>
          <w:color w:val="auto"/>
        </w:rPr>
        <w:t>Forward-Looking Statement</w:t>
      </w:r>
      <w:r>
        <w:rPr>
          <w:rFonts w:ascii="Times New Roman" w:cs="Times New Roman" w:eastAsia="Times New Roman" w:hAnsi="Times New Roman"/>
          <w:sz w:val="18"/>
          <w:szCs w:val="18"/>
          <w:color w:val="auto"/>
        </w:rPr>
        <w:t>”) contained in the Registration Statement and the Prospectus has been made or reaffirmed without a reasonable basis or has been disclosed other than in good faith. The Forward-Looking Statements incorporated by reference in the Registration Statement and the Prospectus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8" w:name="page9"/>
    <w:bookmarkEnd w:id="8"/>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the Company’s Quarterly Report on Form 10-Q filed on May 9, 2024 or, if later, the Company’s Annual Report on Form 10-K for the fiscal year most recently ended (i) are within the coverage of the safe harbor for forward-looking statements set forth in Section 27A of the Securities Act, Rule 175(b) under the Securities Act or Rule 3b-6 under the Exchange Act, as applicable, and (ii) were made by the Company with a reasonable basis and in good faith and reflect the Company’s good faith commercially reasonable best estimate of the matters described therein.</w:t>
      </w:r>
    </w:p>
    <w:p>
      <w:pPr>
        <w:spacing w:after="0" w:line="180" w:lineRule="exact"/>
        <w:rPr>
          <w:sz w:val="20"/>
          <w:szCs w:val="20"/>
          <w:color w:val="auto"/>
        </w:rPr>
      </w:pPr>
    </w:p>
    <w:p>
      <w:pPr>
        <w:ind w:right="80" w:firstLine="436"/>
        <w:spacing w:after="0" w:line="266"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The statistical, demographic and market-related data included in the Registration Statement and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 Deficiencies in or Changes to Internal Control Over Financial Reporting</w:t>
      </w:r>
      <w:r>
        <w:rPr>
          <w:rFonts w:ascii="Times New Roman" w:cs="Times New Roman" w:eastAsia="Times New Roman" w:hAnsi="Times New Roman"/>
          <w:sz w:val="18"/>
          <w:szCs w:val="18"/>
          <w:color w:val="auto"/>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other than as otherwise disclosed in the Registration Statement or the Prospectus, are effective in all material respects to perform the functions for which they were established. Other than as otherwise disclosed in the Registration Statement or the Prospectus, since the end of the Company’s most recent audited fiscal year, the Company is not aware of any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This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right="240" w:firstLine="436"/>
        <w:spacing w:after="0" w:line="289"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of the Shares</w:t>
      </w:r>
      <w:r>
        <w:rPr>
          <w:rFonts w:ascii="Times New Roman" w:cs="Times New Roman" w:eastAsia="Times New Roman" w:hAnsi="Times New Roman"/>
          <w:sz w:val="17"/>
          <w:szCs w:val="17"/>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spacing w:after="0" w:line="157" w:lineRule="exact"/>
        <w:rPr>
          <w:rFonts w:ascii="Times New Roman" w:cs="Times New Roman" w:eastAsia="Times New Roman" w:hAnsi="Times New Roman"/>
          <w:sz w:val="17"/>
          <w:szCs w:val="17"/>
          <w:color w:val="auto"/>
        </w:rPr>
      </w:pPr>
    </w:p>
    <w:p>
      <w:pPr>
        <w:ind w:right="40" w:firstLine="436"/>
        <w:spacing w:after="0" w:line="266"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Applicable Registration or Other Similar Rights</w:t>
      </w:r>
      <w:r>
        <w:rPr>
          <w:rFonts w:ascii="Times New Roman" w:cs="Times New Roman" w:eastAsia="Times New Roman" w:hAnsi="Times New Roman"/>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ind w:right="80" w:firstLine="436"/>
        <w:spacing w:after="0" w:line="25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Material Adverse Change</w:t>
      </w:r>
      <w:r>
        <w:rPr>
          <w:rFonts w:ascii="Times New Roman" w:cs="Times New Roman" w:eastAsia="Times New Roman" w:hAnsi="Times New Roman"/>
          <w:sz w:val="18"/>
          <w:szCs w:val="18"/>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97" w:lineRule="exact"/>
        <w:rPr>
          <w:rFonts w:ascii="Times New Roman" w:cs="Times New Roman" w:eastAsia="Times New Roman" w:hAnsi="Times New Roman"/>
          <w:sz w:val="18"/>
          <w:szCs w:val="18"/>
          <w:color w:val="auto"/>
        </w:rPr>
      </w:pPr>
    </w:p>
    <w:p>
      <w:pPr>
        <w:ind w:firstLine="436"/>
        <w:spacing w:after="0" w:line="256" w:lineRule="auto"/>
        <w:tabs>
          <w:tab w:leader="none" w:pos="7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independent registered public accounting firms which have expressed their opinions with respect to the financial statements (which term as used in this Agreement includes the related notes thereto) filed with the Commission or incorporated by reference as a part of the Registration Statement and included in the Prospectus are (i) independent public or certified public accountants as required by the Securities Act and the Exchange Act, (ii) in compliance with the applicable requirements relating to the qualification of accountants under Rule 2-01 of Regulation S-X; and (iii) registered public accounting firms as defined by the Public Company Accounting Oversight Board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whose registration has not been suspended or revoked and who has not requested such registration to be withdrawn.</w:t>
      </w:r>
    </w:p>
    <w:p>
      <w:pPr>
        <w:spacing w:after="0" w:line="187" w:lineRule="exact"/>
        <w:rPr>
          <w:rFonts w:ascii="Times New Roman" w:cs="Times New Roman" w:eastAsia="Times New Roman" w:hAnsi="Times New Roman"/>
          <w:sz w:val="18"/>
          <w:szCs w:val="18"/>
          <w:color w:val="auto"/>
        </w:rPr>
      </w:pPr>
    </w:p>
    <w:p>
      <w:pPr>
        <w:ind w:right="80" w:firstLine="436"/>
        <w:spacing w:after="0" w:line="271" w:lineRule="auto"/>
        <w:tabs>
          <w:tab w:leader="none" w:pos="69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The financial statements filed with the Commission as a part of the Registration Statement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pro forma consolidated financial statements of the Company and its subsidiaries and the related notes thereto, if any, included in the Registration Statement or the Prospectus present fairly, in all material respects, the information contained therein, have been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0" w:name="page11"/>
    <w:bookmarkEnd w:id="1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prepared in accordance with the Commission’s rules and guidelines with respect to pro forma financial statements and have been properly presented on the bases described therein, and the assumptions used in the preparation thereof are reasonable and the adjustments used therein are appropriate to give effect to the transactions and circumstances referred to therein. The financial data set forth in each of the Registration Statement and the Prospectus present fairly, in all materials respects, the information set forth therein on a basis consistent with that of the audited financial statements contained in the Registration Statement and the Prospectus. All disclosures contained in the Registration Statement and the Prospectus that constitute non-GAAP financial measures (as defined by the rules and regulations under the Securities Act and the Exchange Act), if any,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94" w:lineRule="exact"/>
        <w:rPr>
          <w:sz w:val="20"/>
          <w:szCs w:val="20"/>
          <w:color w:val="auto"/>
        </w:rPr>
      </w:pPr>
    </w:p>
    <w:p>
      <w:pPr>
        <w:ind w:right="20" w:firstLine="436"/>
        <w:spacing w:after="0" w:line="254"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Accounting System</w:t>
      </w:r>
      <w:r>
        <w:rPr>
          <w:rFonts w:ascii="Times New Roman" w:cs="Times New Roman" w:eastAsia="Times New Roman" w:hAnsi="Times New Roman"/>
          <w:sz w:val="18"/>
          <w:szCs w:val="18"/>
          <w:color w:val="auto"/>
        </w:rPr>
        <w:t>.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89" w:lineRule="exact"/>
        <w:rPr>
          <w:rFonts w:ascii="Times New Roman" w:cs="Times New Roman" w:eastAsia="Times New Roman" w:hAnsi="Times New Roman"/>
          <w:sz w:val="18"/>
          <w:szCs w:val="18"/>
          <w:color w:val="auto"/>
        </w:rPr>
      </w:pPr>
    </w:p>
    <w:p>
      <w:pPr>
        <w:jc w:val="both"/>
        <w:ind w:right="100" w:firstLine="436"/>
        <w:spacing w:after="0" w:line="273" w:lineRule="auto"/>
        <w:tabs>
          <w:tab w:leader="none" w:pos="69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Incorporation and Good Standing of the Company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w:t>
      </w:r>
    </w:p>
    <w:p>
      <w:pPr>
        <w:spacing w:after="0" w:line="1" w:lineRule="exact"/>
        <w:rPr>
          <w:rFonts w:ascii="Times New Roman" w:cs="Times New Roman" w:eastAsia="Times New Roman" w:hAnsi="Times New Roman"/>
          <w:sz w:val="17"/>
          <w:szCs w:val="17"/>
          <w:color w:val="auto"/>
        </w:rPr>
      </w:pPr>
    </w:p>
    <w:p>
      <w:pPr>
        <w:jc w:val="both"/>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Company is duly qualified as a foreign corporation to transact business and is in good standing in the State of California and each other jurisdiction in which such qualification is required, whether by reason of the ownership or leasing of property or the conduct of business, except where the failure to so qualify or to be in good standing, individually or in the aggregate, would not reasonably be expected to result in a Material Adverse Change.</w:t>
      </w:r>
    </w:p>
    <w:p>
      <w:pPr>
        <w:spacing w:after="0" w:line="185" w:lineRule="exact"/>
        <w:rPr>
          <w:rFonts w:ascii="Times New Roman" w:cs="Times New Roman" w:eastAsia="Times New Roman" w:hAnsi="Times New Roman"/>
          <w:sz w:val="17"/>
          <w:szCs w:val="17"/>
          <w:color w:val="auto"/>
        </w:rPr>
      </w:pPr>
    </w:p>
    <w:p>
      <w:pPr>
        <w:ind w:right="20" w:firstLine="436"/>
        <w:spacing w:after="0" w:line="289" w:lineRule="auto"/>
        <w:tabs>
          <w:tab w:leader="none" w:pos="69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 xml:space="preserve">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1" w:name="page12"/>
    <w:bookmarkEnd w:id="11"/>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operate its properties and to conduct its business as described in the Registration Statement and the Prospectus in all material respects.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be in good standing would not reasonably be expected, individually or in the aggregate,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w:t>
      </w:r>
    </w:p>
    <w:p>
      <w:pPr>
        <w:spacing w:after="0" w:line="4" w:lineRule="exact"/>
        <w:rPr>
          <w:sz w:val="20"/>
          <w:szCs w:val="20"/>
          <w:color w:val="auto"/>
        </w:rPr>
      </w:pPr>
    </w:p>
    <w:p>
      <w:pPr>
        <w:ind w:left="4" w:right="200" w:hanging="4"/>
        <w:spacing w:after="0" w:line="255" w:lineRule="auto"/>
        <w:tabs>
          <w:tab w:leader="none" w:pos="2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TempestTx, Inc., (ii) the subsidiaries listed on Exhibit 21.1 to the Company’s most recent annual report on Form 10-K and (iii) such other entities omitted from Exhibit 21.1 which, when such omitted entities are considered in the aggregate as a single subsidiary, would not constitute a “significant subsidiary” within the meaning of Rule 1-02(w) of Regulation S-X.</w:t>
      </w:r>
    </w:p>
    <w:p>
      <w:pPr>
        <w:spacing w:after="0" w:line="185" w:lineRule="exact"/>
        <w:rPr>
          <w:rFonts w:ascii="Times New Roman" w:cs="Times New Roman" w:eastAsia="Times New Roman" w:hAnsi="Times New Roman"/>
          <w:sz w:val="18"/>
          <w:szCs w:val="18"/>
          <w:color w:val="auto"/>
        </w:rPr>
      </w:pPr>
    </w:p>
    <w:p>
      <w:pPr>
        <w:ind w:left="4" w:firstLine="436"/>
        <w:spacing w:after="0" w:line="253" w:lineRule="auto"/>
        <w:tabs>
          <w:tab w:leader="none" w:pos="66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and Other Capital Stock Matters</w:t>
      </w:r>
      <w:r>
        <w:rPr>
          <w:rFonts w:ascii="Times New Roman" w:cs="Times New Roman" w:eastAsia="Times New Roman" w:hAnsi="Times New Roman"/>
          <w:sz w:val="18"/>
          <w:szCs w:val="18"/>
          <w:color w:val="auto"/>
        </w:rPr>
        <w:t>. The authorized, issued and outstanding capital stock of the Company is as set forth in the Registration Statement and the Prospectus (other than for subsequent issuances, if any, pursuant to employee benefit plans described in the Prospectus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None of the outstanding Common Shares was issued in violation of any preemptive rights, rights of first refusal or other similar rights to subscribe for or purchase securities of the Company that have not been duly waived or satisfied.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w:t>
      </w:r>
    </w:p>
    <w:p>
      <w:pPr>
        <w:spacing w:after="0" w:line="189"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Common Shares are registered pursuant to Section 12(b) or 12(g) of the Exchange Act and are listed on the Principal Market, and the Company has taken no action designed to, or reasonably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2" w:name="page13"/>
    <w:bookmarkEnd w:id="12"/>
    <w:p>
      <w:pPr>
        <w:ind w:firstLine="436"/>
        <w:spacing w:after="0" w:line="25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Non-Contravention of Existing Instruments; No Further Authorizations or Approvals Required</w:t>
      </w:r>
      <w:r>
        <w:rPr>
          <w:rFonts w:ascii="Times New Roman" w:cs="Times New Roman" w:eastAsia="Times New Roman" w:hAnsi="Times New Roman"/>
          <w:sz w:val="18"/>
          <w:szCs w:val="18"/>
          <w:color w:val="auto"/>
        </w:rPr>
        <w:t>. 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8"/>
          <w:szCs w:val="18"/>
          <w:b w:val="1"/>
          <w:bCs w:val="1"/>
          <w:color w:val="auto"/>
        </w:rPr>
        <w:t>Existing Instrument</w:t>
      </w:r>
      <w:r>
        <w:rPr>
          <w:rFonts w:ascii="Times New Roman" w:cs="Times New Roman" w:eastAsia="Times New Roman" w:hAnsi="Times New Roman"/>
          <w:sz w:val="18"/>
          <w:szCs w:val="18"/>
          <w:color w:val="auto"/>
        </w:rPr>
        <w:t>”), except for such Defaults as would not reasonably be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Actions or Proceedings</w:t>
      </w:r>
      <w:r>
        <w:rPr>
          <w:rFonts w:ascii="Times New Roman" w:cs="Times New Roman" w:eastAsia="Times New Roman" w:hAnsi="Times New Roman"/>
          <w:sz w:val="18"/>
          <w:szCs w:val="18"/>
          <w:color w:val="auto"/>
        </w:rPr>
        <w:t>. Except as otherwise disclosed in the Prospectus, there is no action, suit, proceeding, inquiry or</w:t>
      </w:r>
    </w:p>
    <w:p>
      <w:pPr>
        <w:spacing w:after="0" w:line="27" w:lineRule="exact"/>
        <w:rPr>
          <w:rFonts w:ascii="Times New Roman" w:cs="Times New Roman" w:eastAsia="Times New Roman" w:hAnsi="Times New Roman"/>
          <w:sz w:val="18"/>
          <w:szCs w:val="18"/>
          <w:color w:val="auto"/>
        </w:rPr>
      </w:pPr>
    </w:p>
    <w:p>
      <w:pPr>
        <w:ind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 brought by or before any legal or governmental entity now pending or, to the knowledge of the Company, threatened, against or affecting the Company or any of its subsidiaries, which would reasonably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 w:name="page14"/>
    <w:bookmarkEnd w:id="13"/>
    <w:p>
      <w:pPr>
        <w:ind w:firstLine="436"/>
        <w:spacing w:after="0" w:line="251"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 Rights</w:t>
      </w:r>
      <w:r>
        <w:rPr>
          <w:rFonts w:ascii="Times New Roman" w:cs="Times New Roman" w:eastAsia="Times New Roman" w:hAnsi="Times New Roman"/>
          <w:sz w:val="18"/>
          <w:szCs w:val="18"/>
          <w:color w:val="auto"/>
        </w:rPr>
        <w:t>. Except as otherwise disclosed in the Registration Statement or the Prospectus, the Company and its subsidiaries own, or have obtained valid and enforceable licenses for, the inventions, patent applications, patents, trademarks, trade names, service names, copyrights, trade secrets and other intellectual property described in the Registration Statement and the Prospectus as being owned or licensed by them or which are necessary for the conduct of their respective businesses as currently conducted or as currently proposed to be conducted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and the conduct of their respective businesses does not and will not infringe, misappropriate or otherwise conflict in any material respect with any such rights of others. The Intellectual Property of the Company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except for customary reversionary rights of third-party licensors with respect to Intellectual Property that is disclosed in the Registration Statement and the Prospectus as licensed to the Company or one or more of its subsidiaries;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with the 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The product candidates described in the Registration Statement and the Prospectus as under development by the Company or any subsidiary fall within the scope of the claims of one or more patents owned by, or exclusively licensed to, the Company or any subsidiary.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4" w:name="page15"/>
    <w:bookmarkEnd w:id="14"/>
    <w:p>
      <w:pPr>
        <w:ind w:right="140" w:firstLine="436"/>
        <w:spacing w:after="0" w:line="255"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Necessary Permits, etc</w:t>
      </w:r>
      <w:r>
        <w:rPr>
          <w:rFonts w:ascii="Times New Roman" w:cs="Times New Roman" w:eastAsia="Times New Roman" w:hAnsi="Times New Roman"/>
          <w:sz w:val="18"/>
          <w:szCs w:val="18"/>
          <w:color w:val="auto"/>
        </w:rPr>
        <w:t>. The Company and each subsidiary possess such valid and current certificates, authorizations, approvals, clearances, licenses, registrations, exemptions, or permits required by state, federal or foreign regulatory agencies or bodies to conduct, in all material respects, their respective businesses as currently conducted and as described in the Registration Statement or the Prospectus (collectively,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Neither the Company nor any of its subsidiaries is in violation of, or in default under, any Permit or has received any notice of proceedings relating to the revocation or modification of, or non-compliance with, any such Permit. The Company and its subsidiaries have fulfilled and performed all of their material obligations with respect to such Permits, and no event has occurred which allows, or after notice or lapse of time would allow, revocation or termination thereof or results in any other material impairment of the rights of the holder of any such Permit.</w:t>
      </w:r>
    </w:p>
    <w:p>
      <w:pPr>
        <w:spacing w:after="0" w:line="188"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xml:space="preserve">. Except as otherwise disclosed in the Prospectus, the Company and its subsidiaries has good and marketable title to all of the real and personal property and other assets reflected as owned in the financial statements referred to in </w:t>
      </w:r>
      <w:r>
        <w:rPr>
          <w:rFonts w:ascii="Times New Roman" w:cs="Times New Roman" w:eastAsia="Times New Roman" w:hAnsi="Times New Roman"/>
          <w:sz w:val="18"/>
          <w:szCs w:val="18"/>
          <w:u w:val="single" w:color="auto"/>
          <w:color w:val="auto"/>
        </w:rPr>
        <w:t>Section 2(n)</w:t>
      </w:r>
      <w:r>
        <w:rPr>
          <w:rFonts w:ascii="Times New Roman" w:cs="Times New Roman" w:eastAsia="Times New Roman" w:hAnsi="Times New Roman"/>
          <w:sz w:val="18"/>
          <w:szCs w:val="18"/>
          <w:color w:val="auto"/>
        </w:rPr>
        <w:t xml:space="preserve"> above (or elsewhere in the Registration Statement or the Prospectus), in each case free and clear of any security interests, mortgages, liens, encumbrances, equities, adverse claims and other defects, except such as would not reasonably be expected, individually or in the aggregate, to have a Material Adverse Change. The real property, improvements, equipment and personal property held under lease by the Company or of its subsidiary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88" w:lineRule="exact"/>
        <w:rPr>
          <w:rFonts w:ascii="Times New Roman" w:cs="Times New Roman" w:eastAsia="Times New Roman" w:hAnsi="Times New Roman"/>
          <w:sz w:val="18"/>
          <w:szCs w:val="18"/>
          <w:color w:val="auto"/>
        </w:rPr>
      </w:pPr>
    </w:p>
    <w:p>
      <w:pPr>
        <w:ind w:firstLine="436"/>
        <w:spacing w:after="0" w:line="277" w:lineRule="auto"/>
        <w:tabs>
          <w:tab w:leader="none" w:pos="6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Law Compliance</w:t>
      </w:r>
      <w:r>
        <w:rPr>
          <w:rFonts w:ascii="Times New Roman" w:cs="Times New Roman" w:eastAsia="Times New Roman" w:hAnsi="Times New Roman"/>
          <w:sz w:val="17"/>
          <w:szCs w:val="17"/>
          <w:color w:val="auto"/>
        </w:rPr>
        <w:t xml:space="preserve">.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w:t>
      </w:r>
      <w:r>
        <w:rPr>
          <w:rFonts w:ascii="Times New Roman" w:cs="Times New Roman" w:eastAsia="Times New Roman" w:hAnsi="Times New Roman"/>
          <w:sz w:val="17"/>
          <w:szCs w:val="17"/>
          <w:u w:val="single" w:color="auto"/>
          <w:color w:val="auto"/>
        </w:rPr>
        <w:t>Section 2(n)</w:t>
      </w:r>
      <w:r>
        <w:rPr>
          <w:rFonts w:ascii="Times New Roman" w:cs="Times New Roman" w:eastAsia="Times New Roman" w:hAnsi="Times New Roman"/>
          <w:sz w:val="17"/>
          <w:szCs w:val="17"/>
          <w:color w:val="auto"/>
        </w:rPr>
        <w:t xml:space="preserve"> above in respect of all federal, state and foreign income and franchise taxes for all periods as to which the tax liability of the Company or any of its subsidiaries has not been finally determined.</w:t>
      </w:r>
    </w:p>
    <w:p>
      <w:pPr>
        <w:spacing w:after="0" w:line="167" w:lineRule="exact"/>
        <w:rPr>
          <w:rFonts w:ascii="Times New Roman" w:cs="Times New Roman" w:eastAsia="Times New Roman" w:hAnsi="Times New Roman"/>
          <w:sz w:val="17"/>
          <w:szCs w:val="17"/>
          <w:color w:val="auto"/>
        </w:rPr>
      </w:pPr>
    </w:p>
    <w:p>
      <w:pPr>
        <w:ind w:right="260" w:firstLine="436"/>
        <w:spacing w:after="0" w:line="266"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an “Investment Company.”</w:t>
      </w:r>
      <w:r>
        <w:rPr>
          <w:rFonts w:ascii="Times New Roman" w:cs="Times New Roman" w:eastAsia="Times New Roman" w:hAnsi="Times New Roman"/>
          <w:sz w:val="18"/>
          <w:szCs w:val="18"/>
          <w:color w:val="auto"/>
        </w:rPr>
        <w:t xml:space="preserve">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36"/>
        <w:spacing w:after="0" w:line="261" w:lineRule="auto"/>
        <w:tabs>
          <w:tab w:leader="none" w:pos="7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5" w:name="page16"/>
    <w:bookmarkEnd w:id="15"/>
    <w:p>
      <w:pPr>
        <w:ind w:left="4" w:right="1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w:t>
      </w:r>
    </w:p>
    <w:p>
      <w:pPr>
        <w:spacing w:after="0" w:line="1" w:lineRule="exact"/>
        <w:rPr>
          <w:sz w:val="20"/>
          <w:szCs w:val="20"/>
          <w:color w:val="auto"/>
        </w:rPr>
      </w:pPr>
    </w:p>
    <w:p>
      <w:pPr>
        <w:ind w:left="4" w:right="220" w:hanging="4"/>
        <w:spacing w:after="0" w:line="255" w:lineRule="auto"/>
        <w:tabs>
          <w:tab w:leader="none" w:pos="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w:t>
      </w:r>
    </w:p>
    <w:p>
      <w:pPr>
        <w:spacing w:after="0" w:line="185"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7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Price Stabilization or Manipulation; Compliance with Regulation M</w:t>
      </w:r>
      <w:r>
        <w:rPr>
          <w:rFonts w:ascii="Times New Roman" w:cs="Times New Roman" w:eastAsia="Times New Roman" w:hAnsi="Times New Roman"/>
          <w:sz w:val="18"/>
          <w:szCs w:val="18"/>
          <w:color w:val="auto"/>
        </w:rPr>
        <w:t>. Neither the Company nor any of its subsidiaries has taken, directly or indirectly, any action designed to or that would reasonably be expected to cause or result in stabilization or manipulation of the price of the Common Shares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with respect to the Common Shares, whether to facilitate the sale or resale of the Shares or otherwise, and has taken no action which would directly or indirectly violate Regulation M.</w:t>
      </w:r>
    </w:p>
    <w:p>
      <w:pPr>
        <w:spacing w:after="0" w:line="183"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76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61" w:lineRule="exact"/>
        <w:rPr>
          <w:rFonts w:ascii="Times New Roman" w:cs="Times New Roman" w:eastAsia="Times New Roman" w:hAnsi="Times New Roman"/>
          <w:sz w:val="18"/>
          <w:szCs w:val="18"/>
          <w:color w:val="auto"/>
        </w:rPr>
      </w:pPr>
    </w:p>
    <w:p>
      <w:pPr>
        <w:ind w:left="4" w:right="280" w:firstLine="436"/>
        <w:spacing w:after="0" w:line="261" w:lineRule="auto"/>
        <w:tabs>
          <w:tab w:leader="none" w:pos="7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rules and any letters, filings or other supplemental information provided to FINRA pursuant to FINRA Rules is true, complete and correct.</w:t>
      </w:r>
    </w:p>
    <w:p>
      <w:pPr>
        <w:spacing w:after="0" w:line="179" w:lineRule="exact"/>
        <w:rPr>
          <w:rFonts w:ascii="Times New Roman" w:cs="Times New Roman" w:eastAsia="Times New Roman" w:hAnsi="Times New Roman"/>
          <w:sz w:val="18"/>
          <w:szCs w:val="18"/>
          <w:color w:val="auto"/>
        </w:rPr>
      </w:pPr>
    </w:p>
    <w:p>
      <w:pPr>
        <w:ind w:left="4" w:firstLine="436"/>
        <w:spacing w:after="0" w:line="261" w:lineRule="auto"/>
        <w:tabs>
          <w:tab w:leader="none" w:pos="76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Contributions or Other Payments</w:t>
      </w:r>
      <w:r>
        <w:rPr>
          <w:rFonts w:ascii="Times New Roman" w:cs="Times New Roman" w:eastAsia="Times New Roman" w:hAnsi="Times New Roman"/>
          <w:sz w:val="18"/>
          <w:szCs w:val="18"/>
          <w:color w:val="auto"/>
        </w:rPr>
        <w:t>. Except as otherwise disclosed in the Prospectus, 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spacing w:after="0" w:line="179"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72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as described in the Prospectus and except as would not reasonably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the Company and its subsidiaries have all permits, authorizations and approvals required under any applicable</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16" w:name="page17"/>
    <w:bookmarkEnd w:id="16"/>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Environmental Laws and are each in compliance with their requirements, (iii) there are no pending or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83" w:lineRule="exact"/>
        <w:rPr>
          <w:sz w:val="20"/>
          <w:szCs w:val="20"/>
          <w:color w:val="auto"/>
        </w:rPr>
      </w:pPr>
    </w:p>
    <w:p>
      <w:pPr>
        <w:ind w:left="4" w:right="20" w:firstLine="436"/>
        <w:spacing w:after="0" w:line="252" w:lineRule="auto"/>
        <w:tabs>
          <w:tab w:leader="none" w:pos="7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Except as otherwise disclosed in the Registration Statement or the Prospectus, 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w:t>
      </w:r>
    </w:p>
    <w:p>
      <w:pPr>
        <w:spacing w:after="0" w:line="5" w:lineRule="exact"/>
        <w:rPr>
          <w:rFonts w:ascii="Times New Roman" w:cs="Times New Roman" w:eastAsia="Times New Roman" w:hAnsi="Times New Roman"/>
          <w:sz w:val="18"/>
          <w:szCs w:val="18"/>
          <w:color w:val="auto"/>
        </w:rPr>
      </w:pPr>
    </w:p>
    <w:p>
      <w:pPr>
        <w:ind w:left="4" w:right="120" w:hanging="4"/>
        <w:spacing w:after="0" w:line="253" w:lineRule="auto"/>
        <w:tabs>
          <w:tab w:leader="none" w:pos="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88" w:lineRule="exact"/>
        <w:rPr>
          <w:rFonts w:ascii="Times New Roman" w:cs="Times New Roman" w:eastAsia="Times New Roman" w:hAnsi="Times New Roman"/>
          <w:sz w:val="18"/>
          <w:szCs w:val="18"/>
          <w:color w:val="auto"/>
        </w:rPr>
      </w:pPr>
    </w:p>
    <w:p>
      <w:pPr>
        <w:ind w:left="4" w:firstLine="436"/>
        <w:spacing w:after="0" w:line="312" w:lineRule="auto"/>
        <w:tabs>
          <w:tab w:leader="none" w:pos="78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Brokers</w:t>
      </w:r>
      <w:r>
        <w:rPr>
          <w:rFonts w:ascii="Times New Roman" w:cs="Times New Roman" w:eastAsia="Times New Roman" w:hAnsi="Times New Roman"/>
          <w:sz w:val="17"/>
          <w:szCs w:val="17"/>
          <w:color w:val="auto"/>
        </w:rPr>
        <w:t>. Except as otherwise disclosed in the Registration Statement or the Prospectus, there is no broker, finder or other party that is entitled to receive from the Company any brokerage or finder’s fee or other fee or commission as a result of any transactions contemplated by this Agreement.</w:t>
      </w:r>
    </w:p>
    <w:p>
      <w:pPr>
        <w:spacing w:after="0" w:line="139" w:lineRule="exact"/>
        <w:rPr>
          <w:rFonts w:ascii="Times New Roman" w:cs="Times New Roman" w:eastAsia="Times New Roman" w:hAnsi="Times New Roman"/>
          <w:sz w:val="17"/>
          <w:szCs w:val="17"/>
          <w:color w:val="auto"/>
        </w:rPr>
      </w:pPr>
    </w:p>
    <w:p>
      <w:pPr>
        <w:ind w:left="4" w:right="340" w:firstLine="436"/>
        <w:spacing w:after="0" w:line="266" w:lineRule="auto"/>
        <w:tabs>
          <w:tab w:leader="none" w:pos="70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Outstanding Loans or Other Extensions of Credit</w:t>
      </w:r>
      <w:r>
        <w:rPr>
          <w:rFonts w:ascii="Times New Roman" w:cs="Times New Roman" w:eastAsia="Times New Roman" w:hAnsi="Times New Roman"/>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75" w:lineRule="exact"/>
        <w:rPr>
          <w:rFonts w:ascii="Times New Roman" w:cs="Times New Roman" w:eastAsia="Times New Roman" w:hAnsi="Times New Roman"/>
          <w:sz w:val="18"/>
          <w:szCs w:val="18"/>
          <w:color w:val="auto"/>
        </w:rPr>
      </w:pPr>
    </w:p>
    <w:p>
      <w:pPr>
        <w:ind w:left="4" w:right="300" w:firstLine="436"/>
        <w:spacing w:after="0" w:line="312" w:lineRule="auto"/>
        <w:tabs>
          <w:tab w:leader="none" w:pos="70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Company and its subsidiaries have been and are in compliance with all applicable laws, rules and regulations, except where failure to be so in compliance could not be expected, individually or in the aggregate, to result in a Material Adverse Change.</w:t>
      </w:r>
    </w:p>
    <w:p>
      <w:pPr>
        <w:spacing w:after="0" w:line="7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17" w:name="page18"/>
    <w:bookmarkEnd w:id="17"/>
    <w:p>
      <w:pPr>
        <w:ind w:left="4" w:right="40" w:firstLine="436"/>
        <w:spacing w:after="0" w:line="261" w:lineRule="auto"/>
        <w:tabs>
          <w:tab w:leader="none" w:pos="7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Restrictions</w:t>
      </w:r>
      <w:r>
        <w:rPr>
          <w:rFonts w:ascii="Times New Roman" w:cs="Times New Roman" w:eastAsia="Times New Roman" w:hAnsi="Times New Roman"/>
          <w:sz w:val="18"/>
          <w:szCs w:val="18"/>
          <w:color w:val="auto"/>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79"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70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and Anti-Bribery Laws</w:t>
      </w:r>
      <w:r>
        <w:rPr>
          <w:rFonts w:ascii="Times New Roman" w:cs="Times New Roman" w:eastAsia="Times New Roman" w:hAnsi="Times New Roman"/>
          <w:sz w:val="18"/>
          <w:szCs w:val="18"/>
          <w:color w:val="auto"/>
        </w:rPr>
        <w:t>.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w:t>
      </w:r>
    </w:p>
    <w:p>
      <w:pPr>
        <w:spacing w:after="0" w:line="5" w:lineRule="exact"/>
        <w:rPr>
          <w:rFonts w:ascii="Times New Roman" w:cs="Times New Roman" w:eastAsia="Times New Roman" w:hAnsi="Times New Roman"/>
          <w:sz w:val="18"/>
          <w:szCs w:val="18"/>
          <w:color w:val="auto"/>
        </w:rPr>
      </w:pPr>
    </w:p>
    <w:p>
      <w:pPr>
        <w:ind w:left="4" w:right="40" w:hanging="4"/>
        <w:spacing w:after="0" w:line="253" w:lineRule="auto"/>
        <w:tabs>
          <w:tab w:leader="none" w:pos="3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86"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8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7" w:lineRule="exact"/>
        <w:rPr>
          <w:rFonts w:ascii="Times New Roman" w:cs="Times New Roman" w:eastAsia="Times New Roman" w:hAnsi="Times New Roman"/>
          <w:sz w:val="18"/>
          <w:szCs w:val="18"/>
          <w:color w:val="auto"/>
        </w:rPr>
      </w:pPr>
    </w:p>
    <w:p>
      <w:pPr>
        <w:ind w:left="4" w:firstLine="436"/>
        <w:spacing w:after="0" w:line="254" w:lineRule="auto"/>
        <w:tabs>
          <w:tab w:leader="none" w:pos="7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Data and Regulatory Compliance</w:t>
      </w:r>
      <w:r>
        <w:rPr>
          <w:rFonts w:ascii="Times New Roman" w:cs="Times New Roman" w:eastAsia="Times New Roman" w:hAnsi="Times New Roman"/>
          <w:sz w:val="18"/>
          <w:szCs w:val="18"/>
          <w:color w:val="auto"/>
        </w:rPr>
        <w:t>. The preclinical tests and clinical trials, and other studies (collectively, “studies”) that are described in, or the results of which are referred to in, the Registration Statement or the Prospectus were and, if still pending, are being conducted in all material respects in accordance with all applicable laws and regulations, including, without limitation, the Federal Food, Drug and Cosmetic Act and its implementing regulations at 21 C.F.R. Parts 50, 54, 56, 58, and 312,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or the Prospectus; the Company and its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18" w:name="page19"/>
    <w:bookmarkEnd w:id="18"/>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have made all such filings and obtained all such approvals or exemptions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neither the Company nor any of its subsidiaries has received any notice of, or correspondence from, any Regulatory Agency requiring the termination, suspension or modification of any clinical trials that are described or referred to in the Registration Statement or the Prospectus; and the Company and its subsidiaries have each operated and currently are in compliance in all material respects with all applicable rules, regulations and policies of the Regulatory Agencies.</w:t>
      </w:r>
    </w:p>
    <w:p>
      <w:pPr>
        <w:spacing w:after="0" w:line="187" w:lineRule="exact"/>
        <w:rPr>
          <w:sz w:val="20"/>
          <w:szCs w:val="20"/>
          <w:color w:val="auto"/>
        </w:rPr>
      </w:pPr>
    </w:p>
    <w:p>
      <w:pPr>
        <w:ind w:firstLine="436"/>
        <w:spacing w:after="0" w:line="253" w:lineRule="auto"/>
        <w:tabs>
          <w:tab w:leader="none" w:pos="7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Sanctions, including, without limitation, the so-called Donetsk People’s Republic, the so-called Luhansk People’s Republic, the Crimea region of Ukraine, Cuba, Iran, North Korea, and Syria (collectively, “</w:t>
      </w:r>
      <w:r>
        <w:rPr>
          <w:rFonts w:ascii="Times New Roman" w:cs="Times New Roman" w:eastAsia="Times New Roman" w:hAnsi="Times New Roman"/>
          <w:sz w:val="18"/>
          <w:szCs w:val="18"/>
          <w:b w:val="1"/>
          <w:bCs w:val="1"/>
          <w:color w:val="auto"/>
        </w:rPr>
        <w:t>Sanctioned Countries</w:t>
      </w:r>
      <w:r>
        <w:rPr>
          <w:rFonts w:ascii="Times New Roman" w:cs="Times New Roman" w:eastAsia="Times New Roman" w:hAnsi="Times New Roman"/>
          <w:sz w:val="18"/>
          <w:szCs w:val="18"/>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ten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87" w:lineRule="exact"/>
        <w:rPr>
          <w:rFonts w:ascii="Times New Roman" w:cs="Times New Roman" w:eastAsia="Times New Roman" w:hAnsi="Times New Roman"/>
          <w:sz w:val="18"/>
          <w:szCs w:val="18"/>
          <w:color w:val="auto"/>
        </w:rPr>
      </w:pPr>
    </w:p>
    <w:p>
      <w:pPr>
        <w:ind w:right="240" w:firstLine="436"/>
        <w:spacing w:after="0" w:line="282" w:lineRule="auto"/>
        <w:tabs>
          <w:tab w:leader="none" w:pos="7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is in compliance, in all material respects, with all applicable provisions of the Sarbanes-Oxley Act of 2002 and the rules and regulations promulgated thereunder.</w:t>
      </w:r>
    </w:p>
    <w:p>
      <w:pPr>
        <w:spacing w:after="0" w:line="161" w:lineRule="exact"/>
        <w:rPr>
          <w:rFonts w:ascii="Times New Roman" w:cs="Times New Roman" w:eastAsia="Times New Roman" w:hAnsi="Times New Roman"/>
          <w:sz w:val="18"/>
          <w:szCs w:val="18"/>
          <w:color w:val="auto"/>
        </w:rPr>
      </w:pPr>
    </w:p>
    <w:p>
      <w:pPr>
        <w:jc w:val="both"/>
        <w:ind w:firstLine="436"/>
        <w:spacing w:after="0" w:line="266" w:lineRule="auto"/>
        <w:tabs>
          <w:tab w:leader="none" w:pos="7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Transfer Taxes, Etc</w:t>
      </w:r>
      <w:r>
        <w:rPr>
          <w:rFonts w:ascii="Times New Roman" w:cs="Times New Roman" w:eastAsia="Times New Roman" w:hAnsi="Times New Roman"/>
          <w:sz w:val="18"/>
          <w:szCs w:val="18"/>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75" w:lineRule="exact"/>
        <w:rPr>
          <w:rFonts w:ascii="Times New Roman" w:cs="Times New Roman" w:eastAsia="Times New Roman" w:hAnsi="Times New Roman"/>
          <w:sz w:val="18"/>
          <w:szCs w:val="18"/>
          <w:color w:val="auto"/>
        </w:rPr>
      </w:pPr>
    </w:p>
    <w:p>
      <w:pPr>
        <w:ind w:right="60" w:firstLine="436"/>
        <w:spacing w:after="0" w:line="261" w:lineRule="auto"/>
        <w:tabs>
          <w:tab w:leader="none" w:pos="7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to the knowledge of the Company, free and clear of all material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9" w:name="page20"/>
    <w:bookmarkEnd w:id="19"/>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 analysis of any data related to an identified person’s health or sexual orientation. To the knowledge of the Company,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96" w:lineRule="exact"/>
        <w:rPr>
          <w:sz w:val="20"/>
          <w:szCs w:val="20"/>
          <w:color w:val="auto"/>
        </w:rPr>
      </w:pPr>
    </w:p>
    <w:p>
      <w:pPr>
        <w:ind w:firstLine="436"/>
        <w:spacing w:after="0" w:line="252" w:lineRule="auto"/>
        <w:tabs>
          <w:tab w:leader="none" w:pos="7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Privacy Laws</w:t>
      </w:r>
      <w:r>
        <w:rPr>
          <w:rFonts w:ascii="Times New Roman" w:cs="Times New Roman" w:eastAsia="Times New Roman" w:hAnsi="Times New Roman"/>
          <w:sz w:val="18"/>
          <w:szCs w:val="18"/>
          <w:color w:val="auto"/>
        </w:rPr>
        <w:t>.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if and to the extent applicable,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in all material respects (collectively, the “</w:t>
      </w:r>
      <w:r>
        <w:rPr>
          <w:rFonts w:ascii="Times New Roman" w:cs="Times New Roman" w:eastAsia="Times New Roman" w:hAnsi="Times New Roman"/>
          <w:sz w:val="18"/>
          <w:szCs w:val="18"/>
          <w:b w:val="1"/>
          <w:bCs w:val="1"/>
          <w:color w:val="auto"/>
        </w:rPr>
        <w:t>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To ensure compliance with the Privacy Laws, the Company and its subsidiaries have in place, comply with, and take appropriate steps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by any governmental or regulatory authority under any Privacy Law.</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0" w:name="page21"/>
    <w:bookmarkEnd w:id="20"/>
    <w:p>
      <w:pPr>
        <w:ind w:right="740" w:firstLine="436"/>
        <w:spacing w:after="0" w:line="282" w:lineRule="auto"/>
        <w:tabs>
          <w:tab w:leader="none" w:pos="7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Sales Agreements</w:t>
      </w:r>
      <w:r>
        <w:rPr>
          <w:rFonts w:ascii="Times New Roman" w:cs="Times New Roman" w:eastAsia="Times New Roman" w:hAnsi="Times New Roman"/>
          <w:sz w:val="18"/>
          <w:szCs w:val="18"/>
          <w:color w:val="auto"/>
        </w:rPr>
        <w:t>. The Company is not a party to any agreement with an agent or underwriter for any other “at the market” or continuous equity transaction.</w:t>
      </w:r>
    </w:p>
    <w:p>
      <w:pPr>
        <w:spacing w:after="0" w:line="161" w:lineRule="exact"/>
        <w:rPr>
          <w:rFonts w:ascii="Times New Roman" w:cs="Times New Roman" w:eastAsia="Times New Roman" w:hAnsi="Times New Roman"/>
          <w:sz w:val="18"/>
          <w:szCs w:val="18"/>
          <w:color w:val="auto"/>
        </w:rPr>
      </w:pPr>
    </w:p>
    <w:p>
      <w:pPr>
        <w:ind w:firstLine="436"/>
        <w:spacing w:after="0" w:line="251" w:lineRule="auto"/>
        <w:tabs>
          <w:tab w:leader="none" w:pos="7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The Company and its subsidiaries are, and at all times have been, in compliance with all Health Care Laws. For purposes of this Agreement, “Health Care Laws” means: (i) the Federal Food, Drug, and Cosmetic Act (21 U.S.C. Section 301 et seq.), the Public Health Service Act (42 U.S.C. Section 201 et seq.), and the regulations promulgated thereunder; (ii) all applicable federal and state health care fraud and abuse laws, including, without limitation, the federal Anti-Kickback Statute (42 U.S.C. Section 1320a-7b(b)), the federal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(42 U.S.C. Section 1320d et seq.), the civil monetary penalties law (42 U.S.C. Section 1320a-7a), the exclusion law (42 U.S.C. Section 1320a-7), the Physician Payments Sunshine Act (42 U.S.C. Section 1320-7h), and the rules and regulations promulgated thereunder by the Food and Drug Administration; (iii) HIPAA, as amended by the Health Information Technology for Economic and Clinical Health Act (42 U.S.C. Section 17921 et seq.); (iv) licensure, quality, safety and accreditation requirements under applicable federal, state, local or foreign laws or regulatory bodies; and (v) all other local, state, federal, national, supranational and foreign laws, relating to the regulation of the Company or its subsidiaries, and (vi)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related to any Health Care Laws.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related to a violation of Health Care Laws. Additionally, neither the Company, any of its subsidiaries nor, to its knowledge,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20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1" w:name="page22"/>
    <w:bookmarkEnd w:id="21"/>
    <w:p>
      <w:pPr>
        <w:ind w:left="4" w:right="14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acknowledges that the Agent and, for purposes of the opinions to be delivered pursuant to </w:t>
      </w:r>
      <w:r>
        <w:rPr>
          <w:rFonts w:ascii="Times New Roman" w:cs="Times New Roman" w:eastAsia="Times New Roman" w:hAnsi="Times New Roman"/>
          <w:sz w:val="17"/>
          <w:szCs w:val="17"/>
          <w:u w:val="single" w:color="auto"/>
          <w:color w:val="auto"/>
        </w:rPr>
        <w:t>Section 4(o)</w:t>
      </w:r>
      <w:r>
        <w:rPr>
          <w:rFonts w:ascii="Times New Roman" w:cs="Times New Roman" w:eastAsia="Times New Roman" w:hAnsi="Times New Roman"/>
          <w:sz w:val="17"/>
          <w:szCs w:val="17"/>
          <w:color w:val="auto"/>
        </w:rPr>
        <w:t xml:space="preserve"> hereof, counsel to the Company and counsel to the Agent, will rely upon the accuracy and truthfulness of the foregoing representations and hereby consents to such reliance.</w:t>
      </w:r>
    </w:p>
    <w:p>
      <w:pPr>
        <w:spacing w:after="0" w:line="1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 ISSUANCE AND SALE OF COMMON SHARES</w:t>
      </w:r>
    </w:p>
    <w:p>
      <w:pPr>
        <w:spacing w:after="0" w:line="229" w:lineRule="exact"/>
        <w:rPr>
          <w:sz w:val="20"/>
          <w:szCs w:val="20"/>
          <w:color w:val="auto"/>
        </w:rPr>
      </w:pPr>
    </w:p>
    <w:p>
      <w:pPr>
        <w:ind w:left="4" w:right="40" w:firstLine="436"/>
        <w:spacing w:after="0" w:line="261" w:lineRule="auto"/>
        <w:tabs>
          <w:tab w:leader="none" w:pos="6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Securities</w:t>
      </w:r>
      <w:r>
        <w:rPr>
          <w:rFonts w:ascii="Times New Roman" w:cs="Times New Roman" w:eastAsia="Times New Roman" w:hAnsi="Times New Roman"/>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Issuances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436"/>
        <w:spacing w:after="0" w:line="272" w:lineRule="auto"/>
        <w:tabs>
          <w:tab w:leader="none" w:pos="659"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Notice</w:t>
      </w:r>
      <w:r>
        <w:rPr>
          <w:rFonts w:ascii="Times New Roman" w:cs="Times New Roman" w:eastAsia="Times New Roman" w:hAnsi="Times New Roman"/>
          <w:sz w:val="17"/>
          <w:szCs w:val="17"/>
          <w:color w:val="auto"/>
        </w:rPr>
        <w:t xml:space="preserve">. Upon the terms and subject to the conditions set forth herein, on any Trading Day during the Agency Period on which the conditions set forth in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shall have been satisfied, the Company may exercise its right to request an issuance of Shares by delivering to the Agent an Issuance Notice;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in no event may the Company deliver an Issuance Notice to the extent that</w:t>
      </w:r>
    </w:p>
    <w:p>
      <w:pPr>
        <w:spacing w:after="0" w:line="1" w:lineRule="exact"/>
        <w:rPr>
          <w:rFonts w:ascii="Times New Roman" w:cs="Times New Roman" w:eastAsia="Times New Roman" w:hAnsi="Times New Roman"/>
          <w:sz w:val="17"/>
          <w:szCs w:val="17"/>
          <w:color w:val="auto"/>
        </w:rPr>
      </w:pPr>
    </w:p>
    <w:p>
      <w:pPr>
        <w:ind w:left="4" w:right="120" w:hanging="4"/>
        <w:spacing w:after="0" w:line="252" w:lineRule="auto"/>
        <w:tabs>
          <w:tab w:leader="none" w:pos="2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89" w:lineRule="exact"/>
        <w:rPr>
          <w:rFonts w:ascii="Times New Roman" w:cs="Times New Roman" w:eastAsia="Times New Roman" w:hAnsi="Times New Roman"/>
          <w:sz w:val="18"/>
          <w:szCs w:val="18"/>
          <w:color w:val="auto"/>
        </w:rPr>
      </w:pPr>
    </w:p>
    <w:p>
      <w:pPr>
        <w:ind w:left="4" w:firstLine="436"/>
        <w:spacing w:after="0" w:line="258" w:lineRule="auto"/>
        <w:tabs>
          <w:tab w:leader="none" w:pos="70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Efforts</w:t>
      </w:r>
      <w:r>
        <w:rPr>
          <w:rFonts w:ascii="Times New Roman" w:cs="Times New Roman" w:eastAsia="Times New Roman" w:hAnsi="Times New Roman"/>
          <w:sz w:val="18"/>
          <w:szCs w:val="18"/>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83"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Offer and Sale</w:t>
      </w:r>
      <w:r>
        <w:rPr>
          <w:rFonts w:ascii="Times New Roman" w:cs="Times New Roman" w:eastAsia="Times New Roman" w:hAnsi="Times New Roman"/>
          <w:sz w:val="18"/>
          <w:szCs w:val="18"/>
          <w:color w:val="auto"/>
        </w:rPr>
        <w:t>. The Shares may be offered and sold (A) in privately negotiated transactions with the consent of the Company;</w:t>
      </w:r>
    </w:p>
    <w:p>
      <w:pPr>
        <w:spacing w:after="0" w:line="27" w:lineRule="exact"/>
        <w:rPr>
          <w:sz w:val="20"/>
          <w:szCs w:val="20"/>
          <w:color w:val="auto"/>
        </w:rPr>
      </w:pPr>
    </w:p>
    <w:p>
      <w:pPr>
        <w:ind w:left="4" w:right="100" w:hanging="4"/>
        <w:spacing w:after="0" w:line="253" w:lineRule="auto"/>
        <w:tabs>
          <w:tab w:leader="none" w:pos="2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22" w:name="page23"/>
    <w:bookmarkEnd w:id="22"/>
    <w:p>
      <w:pPr>
        <w:ind w:left="-20" w:right="60" w:firstLine="436"/>
        <w:spacing w:after="0" w:line="266" w:lineRule="auto"/>
        <w:tabs>
          <w:tab w:leader="none" w:pos="7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Confirmation to the Company</w:t>
      </w:r>
      <w:r>
        <w:rPr>
          <w:rFonts w:ascii="Times New Roman" w:cs="Times New Roman" w:eastAsia="Times New Roman" w:hAnsi="Times New Roman"/>
          <w:sz w:val="18"/>
          <w:szCs w:val="18"/>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75" w:lineRule="exact"/>
        <w:rPr>
          <w:rFonts w:ascii="Times New Roman" w:cs="Times New Roman" w:eastAsia="Times New Roman" w:hAnsi="Times New Roman"/>
          <w:sz w:val="18"/>
          <w:szCs w:val="18"/>
          <w:color w:val="auto"/>
        </w:rPr>
      </w:pPr>
    </w:p>
    <w:p>
      <w:pPr>
        <w:ind w:left="-20" w:right="20" w:firstLine="436"/>
        <w:spacing w:after="0" w:line="255"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Each issuance of Shares will be settled on the applicable Settlement Date for such issuance of Shares and, subject to 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20" w:firstLine="436"/>
        <w:spacing w:after="0" w:line="253" w:lineRule="auto"/>
        <w:tabs>
          <w:tab w:leader="none" w:pos="7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or Termination of Sales</w:t>
      </w:r>
      <w:r>
        <w:rPr>
          <w:rFonts w:ascii="Times New Roman" w:cs="Times New Roman" w:eastAsia="Times New Roman" w:hAnsi="Times New Roman"/>
          <w:sz w:val="18"/>
          <w:szCs w:val="18"/>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cs="Times New Roman" w:eastAsia="Times New Roman" w:hAnsi="Times New Roman"/>
          <w:sz w:val="18"/>
          <w:szCs w:val="18"/>
          <w:u w:val="single" w:color="auto"/>
          <w:color w:val="auto"/>
        </w:rPr>
        <w:t>Section 3(b)(v)</w:t>
      </w:r>
      <w:r>
        <w:rPr>
          <w:rFonts w:ascii="Times New Roman" w:cs="Times New Roman" w:eastAsia="Times New Roman" w:hAnsi="Times New Roman"/>
          <w:sz w:val="18"/>
          <w:szCs w:val="18"/>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20" w:firstLine="436"/>
        <w:spacing w:after="0" w:line="261" w:lineRule="auto"/>
        <w:tabs>
          <w:tab w:leader="none" w:pos="7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Placement, Etc.</w:t>
      </w:r>
      <w:r>
        <w:rPr>
          <w:rFonts w:ascii="Times New Roman" w:cs="Times New Roman" w:eastAsia="Times New Roman" w:hAnsi="Times New Roman"/>
          <w:sz w:val="18"/>
          <w:szCs w:val="18"/>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79" w:lineRule="exact"/>
        <w:rPr>
          <w:rFonts w:ascii="Times New Roman" w:cs="Times New Roman" w:eastAsia="Times New Roman" w:hAnsi="Times New Roman"/>
          <w:sz w:val="18"/>
          <w:szCs w:val="18"/>
          <w:color w:val="auto"/>
        </w:rPr>
      </w:pPr>
    </w:p>
    <w:p>
      <w:pPr>
        <w:ind w:left="-20" w:right="220" w:firstLine="436"/>
        <w:spacing w:after="0" w:line="266" w:lineRule="auto"/>
        <w:tabs>
          <w:tab w:leader="none" w:pos="8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60" w:top="270" w:right="479" w:bottom="1440" w:gutter="0" w:footer="0" w:header="0"/>
        </w:sectPr>
      </w:pPr>
    </w:p>
    <w:bookmarkStart w:id="23" w:name="page24"/>
    <w:bookmarkEnd w:id="23"/>
    <w:p>
      <w:pPr>
        <w:jc w:val="both"/>
        <w:ind w:right="60" w:firstLine="436"/>
        <w:spacing w:after="0" w:line="266"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w:t>
      </w:r>
      <w:r>
        <w:rPr>
          <w:rFonts w:ascii="Times New Roman" w:cs="Times New Roman" w:eastAsia="Times New Roman" w:hAnsi="Times New Roman"/>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18"/>
          <w:szCs w:val="18"/>
          <w:u w:val="single" w:color="auto"/>
          <w:color w:val="auto"/>
        </w:rPr>
        <w:t>Section 3(b)(vi))</w:t>
      </w:r>
      <w:r>
        <w:rPr>
          <w:rFonts w:ascii="Times New Roman" w:cs="Times New Roman" w:eastAsia="Times New Roman" w:hAnsi="Times New Roman"/>
          <w:sz w:val="18"/>
          <w:szCs w:val="18"/>
          <w:color w:val="auto"/>
        </w:rPr>
        <w:t xml:space="preserve"> by the Agent deducting the Selling Commission from the applicable Issuance Amount.</w:t>
      </w:r>
    </w:p>
    <w:p>
      <w:pPr>
        <w:spacing w:after="0" w:line="175" w:lineRule="exact"/>
        <w:rPr>
          <w:rFonts w:ascii="Times New Roman" w:cs="Times New Roman" w:eastAsia="Times New Roman" w:hAnsi="Times New Roman"/>
          <w:sz w:val="18"/>
          <w:szCs w:val="18"/>
          <w:color w:val="auto"/>
        </w:rPr>
      </w:pPr>
    </w:p>
    <w:p>
      <w:pPr>
        <w:ind w:firstLine="436"/>
        <w:spacing w:after="0" w:line="251"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cs="Times New Roman" w:eastAsia="Times New Roman" w:hAnsi="Times New Roman"/>
          <w:sz w:val="18"/>
          <w:szCs w:val="18"/>
          <w:b w:val="1"/>
          <w:bCs w:val="1"/>
          <w:color w:val="auto"/>
        </w:rPr>
        <w:t>Blue Sky Survey</w:t>
      </w:r>
      <w:r>
        <w:rPr>
          <w:rFonts w:ascii="Times New Roman" w:cs="Times New Roman" w:eastAsia="Times New Roman" w:hAnsi="Times New Roman"/>
          <w:sz w:val="18"/>
          <w:szCs w:val="18"/>
          <w:color w:val="auto"/>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all fees, expenses and disbursements relating to background checks of the Company’s directors, director nominees and executive officers (x)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(xi) the fees and expenses associated with listing the Shares on the Principal Market. The fees and disbursements of Agent’s counsel pursuant to subsections (vi) and (vii) above shall not exceed (A) $75,000 in connection with entering into this Agreement, (B) $25,000 in connection with each Triggering Event Date (as defined below) involving the filing of a Form 10-K on which the Company is required to provide a certificate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(C) $15,000 in connection with each other Triggering Event Date on which the Company is required to provide a certificate pursuant to </w:t>
      </w:r>
      <w:r>
        <w:rPr>
          <w:rFonts w:ascii="Times New Roman" w:cs="Times New Roman" w:eastAsia="Times New Roman" w:hAnsi="Times New Roman"/>
          <w:sz w:val="18"/>
          <w:szCs w:val="18"/>
          <w:u w:val="single" w:color="auto"/>
          <w:color w:val="auto"/>
        </w:rPr>
        <w:t>Section 4(o) and (D)</w:t>
      </w:r>
      <w:r>
        <w:rPr>
          <w:rFonts w:ascii="Times New Roman" w:cs="Times New Roman" w:eastAsia="Times New Roman" w:hAnsi="Times New Roman"/>
          <w:sz w:val="18"/>
          <w:szCs w:val="18"/>
          <w:color w:val="auto"/>
        </w:rPr>
        <w:t xml:space="preserve"> $40,000 for each program “refresh” (i.e. filing of a new registration statement, prospectus or prospectus supplement relating to the Shares and/or an amendment of this Agreement) executed pursuant to this Agreement.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 ADDITIONAL COVENANTS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covenants and agrees with the Agent as follows, in addition to any other covenants and agreements made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ind w:right="20" w:firstLine="436"/>
        <w:spacing w:after="0" w:line="273" w:lineRule="auto"/>
        <w:tabs>
          <w:tab w:leader="none" w:pos="68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Act Compliance</w:t>
      </w:r>
      <w:r>
        <w:rPr>
          <w:rFonts w:ascii="Times New Roman" w:cs="Times New Roman" w:eastAsia="Times New Roman" w:hAnsi="Times New Roman"/>
          <w:sz w:val="17"/>
          <w:szCs w:val="17"/>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 w:cs="Times New Roman" w:eastAsia="Times New Roman" w:hAnsi="Times New Roman"/>
          <w:sz w:val="17"/>
          <w:szCs w:val="17"/>
          <w:b w:val="1"/>
          <w:bCs w:val="1"/>
          <w:color w:val="auto"/>
        </w:rPr>
        <w:t>Interim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Prospectus Supplement</w:t>
      </w:r>
      <w:r>
        <w:rPr>
          <w:rFonts w:ascii="Times New Roman" w:cs="Times New Roman" w:eastAsia="Times New Roman" w:hAnsi="Times New Roman"/>
          <w:sz w:val="17"/>
          <w:szCs w:val="17"/>
          <w:color w:val="auto"/>
        </w:rPr>
        <w:t>”), such summary information and, at least once a quarter and subject to this Section 4, file such Interim Prospectus Supplement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Rule 424(b) under the Securities Act (and within the time periods required by Rule 424(b) and Rule 430B under the Securities Act).</w:t>
      </w:r>
    </w:p>
    <w:p>
      <w:pPr>
        <w:spacing w:after="0" w:line="171" w:lineRule="exact"/>
        <w:rPr>
          <w:rFonts w:ascii="Times New Roman" w:cs="Times New Roman" w:eastAsia="Times New Roman" w:hAnsi="Times New Roman"/>
          <w:sz w:val="17"/>
          <w:szCs w:val="17"/>
          <w:color w:val="auto"/>
        </w:rPr>
      </w:pPr>
    </w:p>
    <w:p>
      <w:pPr>
        <w:ind w:firstLine="436"/>
        <w:spacing w:after="0" w:line="253"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Compliance</w:t>
      </w:r>
      <w:r>
        <w:rPr>
          <w:rFonts w:ascii="Times New Roman" w:cs="Times New Roman" w:eastAsia="Times New Roman" w:hAnsi="Times New Roman"/>
          <w:sz w:val="18"/>
          <w:szCs w:val="18"/>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89" w:lineRule="exact"/>
        <w:rPr>
          <w:rFonts w:ascii="Times New Roman" w:cs="Times New Roman" w:eastAsia="Times New Roman" w:hAnsi="Times New Roman"/>
          <w:sz w:val="18"/>
          <w:szCs w:val="18"/>
          <w:color w:val="auto"/>
        </w:rPr>
      </w:pPr>
    </w:p>
    <w:p>
      <w:pPr>
        <w:ind w:right="100" w:firstLine="436"/>
        <w:spacing w:after="0" w:line="255"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the Prospectus and Other Securities Act Matters</w:t>
      </w:r>
      <w:r>
        <w:rPr>
          <w:rFonts w:ascii="Times New Roman" w:cs="Times New Roman" w:eastAsia="Times New Roman" w:hAnsi="Times New Roman"/>
          <w:sz w:val="18"/>
          <w:szCs w:val="18"/>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so that the statements in the Prospectus as so amended or supplemented will not include an untrue statement of a material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66" w:right="439" w:bottom="1440" w:gutter="0" w:footer="0" w:header="0"/>
        </w:sectPr>
      </w:pPr>
    </w:p>
    <w:bookmarkStart w:id="25" w:name="page26"/>
    <w:bookmarkEnd w:id="25"/>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fact or omit to state a material fact necessary in order to make the statements therein, in the light of the circumstances when the Prospectus is delivered to a purchaser, not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spacing w:after="0" w:line="180" w:lineRule="exact"/>
        <w:rPr>
          <w:sz w:val="20"/>
          <w:szCs w:val="20"/>
          <w:color w:val="auto"/>
        </w:rPr>
      </w:pPr>
    </w:p>
    <w:p>
      <w:pPr>
        <w:ind w:right="60" w:firstLine="436"/>
        <w:spacing w:after="0" w:line="255"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Review of Proposed Amendments and Supplements</w:t>
      </w:r>
      <w:r>
        <w:rPr>
          <w:rFonts w:ascii="Times New Roman" w:cs="Times New Roman" w:eastAsia="Times New Roman" w:hAnsi="Times New Roman"/>
          <w:sz w:val="18"/>
          <w:szCs w:val="18"/>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if such proposed amendment or supplement relates to the matters contemplated by this Agreement,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188" w:lineRule="exact"/>
        <w:rPr>
          <w:rFonts w:ascii="Times New Roman" w:cs="Times New Roman" w:eastAsia="Times New Roman" w:hAnsi="Times New Roman"/>
          <w:sz w:val="18"/>
          <w:szCs w:val="18"/>
          <w:color w:val="auto"/>
        </w:rPr>
      </w:pPr>
    </w:p>
    <w:p>
      <w:pPr>
        <w:jc w:val="both"/>
        <w:ind w:right="60" w:firstLine="436"/>
        <w:spacing w:after="0" w:line="261"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Free Writing Prospectus</w:t>
      </w:r>
      <w:r>
        <w:rPr>
          <w:rFonts w:ascii="Times New Roman" w:cs="Times New Roman" w:eastAsia="Times New Roman" w:hAnsi="Times New Roman"/>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436"/>
        <w:spacing w:after="0" w:line="252" w:lineRule="auto"/>
        <w:tabs>
          <w:tab w:leader="none" w:pos="6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6" w:name="page27"/>
    <w:bookmarkEnd w:id="26"/>
    <w:p>
      <w:pPr>
        <w:ind w:right="160" w:firstLine="436"/>
        <w:spacing w:after="0" w:line="266"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Filing of Agent Free Writing Prospectuses</w:t>
      </w:r>
      <w:r>
        <w:rPr>
          <w:rFonts w:ascii="Times New Roman" w:cs="Times New Roman" w:eastAsia="Times New Roman" w:hAnsi="Times New Roman"/>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75" w:lineRule="exact"/>
        <w:rPr>
          <w:rFonts w:ascii="Times New Roman" w:cs="Times New Roman" w:eastAsia="Times New Roman" w:hAnsi="Times New Roman"/>
          <w:sz w:val="18"/>
          <w:szCs w:val="18"/>
          <w:color w:val="auto"/>
        </w:rPr>
      </w:pPr>
    </w:p>
    <w:p>
      <w:pPr>
        <w:jc w:val="both"/>
        <w:ind w:right="240" w:firstLine="436"/>
        <w:spacing w:after="0" w:line="270" w:lineRule="auto"/>
        <w:tabs>
          <w:tab w:leader="none" w:pos="69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Copies of Registration Statement and Prospectus</w:t>
      </w:r>
      <w:r>
        <w:rPr>
          <w:rFonts w:ascii="Times New Roman" w:cs="Times New Roman" w:eastAsia="Times New Roman" w:hAnsi="Times New Roman"/>
          <w:sz w:val="17"/>
          <w:szCs w:val="17"/>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w:t>
      </w:r>
    </w:p>
    <w:p>
      <w:pPr>
        <w:spacing w:after="0" w:line="2"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91" w:lineRule="exact"/>
        <w:rPr>
          <w:rFonts w:ascii="Times New Roman" w:cs="Times New Roman" w:eastAsia="Times New Roman" w:hAnsi="Times New Roman"/>
          <w:sz w:val="17"/>
          <w:szCs w:val="17"/>
          <w:color w:val="auto"/>
        </w:rPr>
      </w:pPr>
    </w:p>
    <w:p>
      <w:pPr>
        <w:ind w:right="60" w:firstLine="436"/>
        <w:spacing w:after="0" w:line="254"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reasonable efforts to obtain the withdrawal thereof as soon as practicable.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40" w:top="270" w:right="519" w:bottom="1440" w:gutter="0" w:footer="0" w:header="0"/>
        </w:sectPr>
      </w:pPr>
    </w:p>
    <w:bookmarkStart w:id="27" w:name="page28"/>
    <w:bookmarkEnd w:id="27"/>
    <w:p>
      <w:pPr>
        <w:ind w:left="-20" w:right="60" w:firstLine="436"/>
        <w:spacing w:after="0" w:line="266"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Earnings Statement</w:t>
      </w:r>
      <w:r>
        <w:rPr>
          <w:rFonts w:ascii="Times New Roman" w:cs="Times New Roman" w:eastAsia="Times New Roman" w:hAnsi="Times New Roman"/>
          <w:sz w:val="18"/>
          <w:szCs w:val="18"/>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75" w:lineRule="exact"/>
        <w:rPr>
          <w:rFonts w:ascii="Times New Roman" w:cs="Times New Roman" w:eastAsia="Times New Roman" w:hAnsi="Times New Roman"/>
          <w:sz w:val="18"/>
          <w:szCs w:val="18"/>
          <w:color w:val="auto"/>
        </w:rPr>
      </w:pPr>
    </w:p>
    <w:p>
      <w:pPr>
        <w:jc w:val="both"/>
        <w:ind w:left="-20" w:right="280" w:firstLine="436"/>
        <w:spacing w:after="0" w:line="266" w:lineRule="auto"/>
        <w:tabs>
          <w:tab w:leader="none" w:pos="6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Reservation of Shares</w:t>
      </w:r>
      <w:r>
        <w:rPr>
          <w:rFonts w:ascii="Times New Roman" w:cs="Times New Roman" w:eastAsia="Times New Roman" w:hAnsi="Times New Roman"/>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75"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engage and maintain, at its expense, a registrar and transfer agent for the Shares.</w:t>
      </w:r>
    </w:p>
    <w:p>
      <w:pPr>
        <w:spacing w:after="0" w:line="225" w:lineRule="exact"/>
        <w:rPr>
          <w:rFonts w:ascii="Times New Roman" w:cs="Times New Roman" w:eastAsia="Times New Roman" w:hAnsi="Times New Roman"/>
          <w:sz w:val="18"/>
          <w:szCs w:val="18"/>
          <w:color w:val="auto"/>
        </w:rPr>
      </w:pPr>
    </w:p>
    <w:p>
      <w:pPr>
        <w:ind w:left="-20" w:right="200" w:firstLine="436"/>
        <w:spacing w:after="0" w:line="261" w:lineRule="auto"/>
        <w:tabs>
          <w:tab w:leader="none" w:pos="7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79" w:lineRule="exact"/>
        <w:rPr>
          <w:rFonts w:ascii="Times New Roman" w:cs="Times New Roman" w:eastAsia="Times New Roman" w:hAnsi="Times New Roman"/>
          <w:sz w:val="18"/>
          <w:szCs w:val="18"/>
          <w:color w:val="auto"/>
        </w:rPr>
      </w:pPr>
    </w:p>
    <w:p>
      <w:pPr>
        <w:ind w:left="-20" w:right="20" w:firstLine="436"/>
        <w:spacing w:after="0" w:line="273" w:lineRule="auto"/>
        <w:tabs>
          <w:tab w:leader="none" w:pos="67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71" w:lineRule="exact"/>
        <w:rPr>
          <w:rFonts w:ascii="Times New Roman" w:cs="Times New Roman" w:eastAsia="Times New Roman" w:hAnsi="Times New Roman"/>
          <w:sz w:val="17"/>
          <w:szCs w:val="17"/>
          <w:color w:val="auto"/>
        </w:rPr>
      </w:pPr>
    </w:p>
    <w:p>
      <w:pPr>
        <w:ind w:left="-20" w:right="160" w:firstLine="436"/>
        <w:spacing w:after="0" w:line="282" w:lineRule="auto"/>
        <w:tabs>
          <w:tab w:leader="none" w:pos="6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at Triggering Event Dates; Certificates.</w:t>
      </w:r>
      <w:r>
        <w:rPr>
          <w:rFonts w:ascii="Times New Roman" w:cs="Times New Roman" w:eastAsia="Times New Roman" w:hAnsi="Times New Roman"/>
          <w:sz w:val="18"/>
          <w:szCs w:val="18"/>
          <w:color w:val="auto"/>
        </w:rPr>
        <w:t xml:space="preserve"> The Company agrees that on or prior to the date of the first Issuance Notice and, during the term of this Agreement after the date of the first Issuance Notice, upon:</w:t>
      </w:r>
    </w:p>
    <w:p>
      <w:pPr>
        <w:spacing w:after="0" w:line="53" w:lineRule="exact"/>
        <w:rPr>
          <w:rFonts w:ascii="Times New Roman" w:cs="Times New Roman" w:eastAsia="Times New Roman" w:hAnsi="Times New Roman"/>
          <w:sz w:val="18"/>
          <w:szCs w:val="18"/>
          <w:color w:val="auto"/>
        </w:rPr>
      </w:pPr>
    </w:p>
    <w:p>
      <w:pPr>
        <w:ind w:left="-20" w:firstLine="987"/>
        <w:spacing w:after="0" w:line="289" w:lineRule="auto"/>
        <w:tabs>
          <w:tab w:leader="none" w:pos="1266"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60" w:top="270" w:right="479" w:bottom="1440" w:gutter="0" w:footer="0" w:header="0"/>
        </w:sectPr>
      </w:pPr>
    </w:p>
    <w:bookmarkStart w:id="28" w:name="page29"/>
    <w:bookmarkEnd w:id="28"/>
    <w:p>
      <w:pPr>
        <w:ind w:left="4" w:right="40" w:firstLine="987"/>
        <w:spacing w:after="0" w:line="266" w:lineRule="auto"/>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75"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operations as discontinued operations) that is material to the offering of securities of the Company in the Agent’s reasonable discretion;</w:t>
      </w:r>
    </w:p>
    <w:p>
      <w:pPr>
        <w:spacing w:after="0" w:line="176"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(any such event, a “</w:t>
      </w:r>
      <w:r>
        <w:rPr>
          <w:rFonts w:ascii="Times New Roman" w:cs="Times New Roman" w:eastAsia="Times New Roman" w:hAnsi="Times New Roman"/>
          <w:sz w:val="18"/>
          <w:szCs w:val="18"/>
          <w:b w:val="1"/>
          <w:bCs w:val="1"/>
          <w:color w:val="auto"/>
        </w:rPr>
        <w:t>Triggering Event Date</w:t>
      </w:r>
      <w:r>
        <w:rPr>
          <w:rFonts w:ascii="Times New Roman" w:cs="Times New Roman" w:eastAsia="Times New Roman" w:hAnsi="Times New Roman"/>
          <w:sz w:val="18"/>
          <w:szCs w:val="18"/>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 w:cs="Times New Roman" w:eastAsia="Times New Roman" w:hAnsi="Times New Roman"/>
          <w:sz w:val="18"/>
          <w:szCs w:val="18"/>
          <w:u w:val="single" w:color="auto"/>
          <w:color w:val="auto"/>
        </w:rPr>
        <w:t>Section 5(a)(iii)</w:t>
      </w:r>
      <w:r>
        <w:rPr>
          <w:rFonts w:ascii="Times New Roman" w:cs="Times New Roman" w:eastAsia="Times New Roman" w:hAnsi="Times New Roman"/>
          <w:sz w:val="18"/>
          <w:szCs w:val="18"/>
          <w:color w:val="auto"/>
        </w:rPr>
        <w:t xml:space="preserve"> hereof, and</w:t>
      </w:r>
    </w:p>
    <w:p>
      <w:pPr>
        <w:spacing w:after="0" w:line="4" w:lineRule="exact"/>
        <w:rPr>
          <w:sz w:val="20"/>
          <w:szCs w:val="20"/>
          <w:color w:val="auto"/>
        </w:rPr>
      </w:pPr>
    </w:p>
    <w:p>
      <w:pPr>
        <w:ind w:left="4" w:hanging="4"/>
        <w:spacing w:after="0" w:line="251" w:lineRule="auto"/>
        <w:tabs>
          <w:tab w:leader="none" w:pos="2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containing any other certification that the Agent shall reasonably request. The requirement to provide a certificate under this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shall be automatically waived for any Triggering Event Date occurring at a time when no Issuance Notice is pending or a suspension is in effect, which automatic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193"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a negative assurances letter and the written legal opinion of Cooley LLP, counsel to the Company, Latham &amp; Watkins LLP, counsel to the Agent, and Wilson Sonsini Goodrich &amp; Rosati, intellectual property counsel to the Company, shall be delivered to the Agent,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Company shall be required to furnish no more than one legal opinion of each of Cooley LLP, counsel to the Company and Wilson Sonsini Goodrich &amp; Rosati, intellectual property counsel to the Company and negative assurance letter of Cooley LLP, counsel to the Company hereunder per each filing of an annual report on Form 10-K or a quarterly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29" w:name="page30"/>
    <w:bookmarkEnd w:id="29"/>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on Form 10-Q.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80" w:lineRule="exact"/>
        <w:rPr>
          <w:sz w:val="20"/>
          <w:szCs w:val="20"/>
          <w:color w:val="auto"/>
        </w:rPr>
      </w:pPr>
    </w:p>
    <w:p>
      <w:pPr>
        <w:ind w:firstLine="436"/>
        <w:spacing w:after="0" w:line="253"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the independent registered public accounting firms who have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the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annual report on Form 10-K or Form 10-K/A and quarterly report on Form 10-Q or Form 10-Q/A filed by the Company.</w:t>
      </w:r>
    </w:p>
    <w:p>
      <w:pPr>
        <w:spacing w:after="0" w:line="191" w:lineRule="exact"/>
        <w:rPr>
          <w:rFonts w:ascii="Times New Roman" w:cs="Times New Roman" w:eastAsia="Times New Roman" w:hAnsi="Times New Roman"/>
          <w:sz w:val="18"/>
          <w:szCs w:val="18"/>
          <w:color w:val="auto"/>
        </w:rPr>
      </w:pPr>
    </w:p>
    <w:p>
      <w:pPr>
        <w:ind w:firstLine="436"/>
        <w:spacing w:after="0" w:line="255" w:lineRule="auto"/>
        <w:tabs>
          <w:tab w:leader="none" w:pos="6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88" w:lineRule="exact"/>
        <w:rPr>
          <w:rFonts w:ascii="Times New Roman" w:cs="Times New Roman" w:eastAsia="Times New Roman" w:hAnsi="Times New Roman"/>
          <w:sz w:val="18"/>
          <w:szCs w:val="18"/>
          <w:color w:val="auto"/>
        </w:rPr>
      </w:pPr>
    </w:p>
    <w:p>
      <w:pPr>
        <w:ind w:right="340" w:firstLine="436"/>
        <w:spacing w:after="0" w:line="312" w:lineRule="auto"/>
        <w:tabs>
          <w:tab w:leader="none" w:pos="67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Agent’s Own Account; Clients’ Account</w:t>
      </w:r>
      <w:r>
        <w:rPr>
          <w:rFonts w:ascii="Times New Roman" w:cs="Times New Roman" w:eastAsia="Times New Roman" w:hAnsi="Times New Roman"/>
          <w:sz w:val="17"/>
          <w:szCs w:val="17"/>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39" w:lineRule="exact"/>
        <w:rPr>
          <w:rFonts w:ascii="Times New Roman" w:cs="Times New Roman" w:eastAsia="Times New Roman" w:hAnsi="Times New Roman"/>
          <w:sz w:val="17"/>
          <w:szCs w:val="17"/>
          <w:color w:val="auto"/>
        </w:rPr>
      </w:pPr>
    </w:p>
    <w:p>
      <w:pPr>
        <w:ind w:right="240" w:firstLine="436"/>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30" w:name="page31"/>
    <w:bookmarkEnd w:id="30"/>
    <w:p>
      <w:pPr>
        <w:ind w:right="140" w:firstLine="436"/>
        <w:spacing w:after="0" w:line="255"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Activities</w:t>
      </w:r>
      <w:r>
        <w:rPr>
          <w:rFonts w:ascii="Times New Roman" w:cs="Times New Roman" w:eastAsia="Times New Roman" w:hAnsi="Times New Roman"/>
          <w:sz w:val="18"/>
          <w:szCs w:val="18"/>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cs="Times New Roman" w:eastAsia="Times New Roman" w:hAnsi="Times New Roman"/>
          <w:sz w:val="18"/>
          <w:szCs w:val="18"/>
          <w:b w:val="1"/>
          <w:bCs w:val="1"/>
          <w:color w:val="auto"/>
        </w:rPr>
        <w:t>Rule 102</w:t>
      </w:r>
      <w:r>
        <w:rPr>
          <w:rFonts w:ascii="Times New Roman" w:cs="Times New Roman" w:eastAsia="Times New Roman" w:hAnsi="Times New Roman"/>
          <w:sz w:val="18"/>
          <w:szCs w:val="18"/>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w:t>
      </w:r>
      <w:r>
        <w:rPr>
          <w:rFonts w:ascii="Times New Roman" w:cs="Times New Roman" w:eastAsia="Times New Roman" w:hAnsi="Times New Roman"/>
          <w:sz w:val="18"/>
          <w:szCs w:val="18"/>
          <w:color w:val="auto"/>
        </w:rPr>
        <w:t>. Without the written consent of the Agent, the Company will not, directly or indirectly, (i)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(ii) effect a reverse stock split, recapitalization, share consolidation, reclassification or similar transaction affecting the outstanding Common Shares; or (iii)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the rules of the Principal Market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and (iii) modification of any outstanding options, warrants of any rights to purchase or acquire Common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CONDITIONS TO DELIVERY OF ISSUANCE NOTICES AND TO SETTLEMENT</w:t>
      </w:r>
    </w:p>
    <w:p>
      <w:pPr>
        <w:spacing w:after="0" w:line="229" w:lineRule="exact"/>
        <w:rPr>
          <w:sz w:val="20"/>
          <w:szCs w:val="20"/>
          <w:color w:val="auto"/>
        </w:rPr>
      </w:pPr>
    </w:p>
    <w:p>
      <w:pPr>
        <w:ind w:right="60" w:firstLine="436"/>
        <w:spacing w:after="0" w:line="261"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the Right of the Company to Deliver an Issuance Notice and the Obligation of the Agent to Sell Shares</w:t>
      </w:r>
      <w:r>
        <w:rPr>
          <w:rFonts w:ascii="Times New Roman" w:cs="Times New Roman" w:eastAsia="Times New Roman" w:hAnsi="Times New Roman"/>
          <w:sz w:val="18"/>
          <w:szCs w:val="18"/>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85"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Representations and Warranties; Performance by the Company</w:t>
      </w:r>
      <w:r>
        <w:rPr>
          <w:rFonts w:ascii="Times New Roman" w:cs="Times New Roman" w:eastAsia="Times New Roman" w:hAnsi="Times New Roman"/>
          <w:sz w:val="18"/>
          <w:szCs w:val="18"/>
          <w:color w:val="auto"/>
        </w:rPr>
        <w:t xml:space="preserve">. The Company shall have delivered the certificate required to be delivered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18"/>
          <w:szCs w:val="18"/>
          <w:u w:val="single" w:color="auto"/>
          <w:color w:val="auto"/>
        </w:rPr>
        <w:t>Section 4(m)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4(q)</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4(r)</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1" w:name="page32"/>
    <w:bookmarkEnd w:id="31"/>
    <w:p>
      <w:pPr>
        <w:ind w:left="540" w:right="60" w:hanging="532"/>
        <w:spacing w:after="0" w:line="258"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88" w:lineRule="exact"/>
        <w:rPr>
          <w:rFonts w:ascii="Times New Roman" w:cs="Times New Roman" w:eastAsia="Times New Roman" w:hAnsi="Times New Roman"/>
          <w:sz w:val="18"/>
          <w:szCs w:val="18"/>
          <w:color w:val="auto"/>
        </w:rPr>
      </w:pPr>
    </w:p>
    <w:p>
      <w:pPr>
        <w:ind w:left="540" w:right="80" w:hanging="532"/>
        <w:spacing w:after="0" w:line="258"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Changes</w:t>
      </w:r>
      <w:r>
        <w:rPr>
          <w:rFonts w:ascii="Times New Roman" w:cs="Times New Roman" w:eastAsia="Times New Roman" w:hAnsi="Times New Roman"/>
          <w:sz w:val="18"/>
          <w:szCs w:val="18"/>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88" w:lineRule="exact"/>
        <w:rPr>
          <w:rFonts w:ascii="Times New Roman" w:cs="Times New Roman" w:eastAsia="Times New Roman" w:hAnsi="Times New Roman"/>
          <w:sz w:val="18"/>
          <w:szCs w:val="18"/>
          <w:color w:val="auto"/>
        </w:rPr>
      </w:pPr>
    </w:p>
    <w:p>
      <w:pPr>
        <w:ind w:left="540" w:hanging="532"/>
        <w:spacing w:after="0" w:line="253"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Common Shares; Other Events</w:t>
      </w:r>
      <w:r>
        <w:rPr>
          <w:rFonts w:ascii="Times New Roman" w:cs="Times New Roman" w:eastAsia="Times New Roman" w:hAnsi="Times New Roman"/>
          <w:sz w:val="18"/>
          <w:szCs w:val="18"/>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Principal Market or any of its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80"/>
          </w:cols>
          <w:pgMar w:left="860" w:top="270" w:right="459" w:bottom="1440" w:gutter="0" w:footer="0" w:header="0"/>
        </w:sectPr>
      </w:pPr>
    </w:p>
    <w:bookmarkStart w:id="32" w:name="page33"/>
    <w:bookmarkEnd w:id="32"/>
    <w:p>
      <w:pPr>
        <w:ind w:left="4" w:right="20" w:firstLine="436"/>
        <w:spacing w:after="0" w:line="258" w:lineRule="auto"/>
        <w:tabs>
          <w:tab w:leader="none" w:pos="69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Required to be Delivered on each Issuance Notice Date</w:t>
      </w:r>
      <w:r>
        <w:rPr>
          <w:rFonts w:ascii="Times New Roman" w:cs="Times New Roman" w:eastAsia="Times New Roman" w:hAnsi="Times New Roman"/>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3"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8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 shall not have advised the Company that the Registration Statement, the Prospectus or the Time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 INDEMNIFICATION AND CONTRIBUTION</w:t>
      </w:r>
    </w:p>
    <w:p>
      <w:pPr>
        <w:spacing w:after="0" w:line="229" w:lineRule="exact"/>
        <w:rPr>
          <w:sz w:val="20"/>
          <w:szCs w:val="20"/>
          <w:color w:val="auto"/>
        </w:rPr>
      </w:pPr>
    </w:p>
    <w:p>
      <w:pPr>
        <w:ind w:left="4" w:right="80" w:firstLine="436"/>
        <w:spacing w:after="0" w:line="253" w:lineRule="auto"/>
        <w:tabs>
          <w:tab w:leader="none" w:pos="68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Agent</w:t>
      </w:r>
      <w:r>
        <w:rPr>
          <w:rFonts w:ascii="Times New Roman" w:cs="Times New Roman" w:eastAsia="Times New Roman" w:hAnsi="Times New Roman"/>
          <w:sz w:val="18"/>
          <w:szCs w:val="18"/>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w:t>
      </w:r>
    </w:p>
    <w:p>
      <w:pPr>
        <w:ind w:left="4" w:hanging="4"/>
        <w:spacing w:after="0" w:line="251" w:lineRule="auto"/>
        <w:tabs>
          <w:tab w:leader="none" w:pos="26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4"/>
          </w:cols>
          <w:pgMar w:left="436" w:top="270" w:right="499" w:bottom="1440" w:gutter="0" w:footer="0" w:header="0"/>
        </w:sectPr>
      </w:pPr>
    </w:p>
    <w:bookmarkStart w:id="33" w:name="page34"/>
    <w:bookmarkEnd w:id="3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such officer, employee and controlling person for any and all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The indemnity agreement set forth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shall be in addition to any liabilities that the Company may otherwise have.</w:t>
      </w:r>
    </w:p>
    <w:p>
      <w:pPr>
        <w:spacing w:after="0" w:line="188" w:lineRule="exact"/>
        <w:rPr>
          <w:sz w:val="20"/>
          <w:szCs w:val="20"/>
          <w:color w:val="auto"/>
        </w:rPr>
      </w:pPr>
    </w:p>
    <w:p>
      <w:pPr>
        <w:ind w:firstLine="436"/>
        <w:spacing w:after="0" w:line="252"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Company, its Directors and Officers</w:t>
      </w:r>
      <w:r>
        <w:rPr>
          <w:rFonts w:ascii="Times New Roman" w:cs="Times New Roman" w:eastAsia="Times New Roman" w:hAnsi="Times New Roman"/>
          <w:sz w:val="18"/>
          <w:szCs w:val="18"/>
          <w:color w:val="auto"/>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insofar as such loss, claim, damage, liability or expense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reasonable and documented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shall be in addition to any liabilities that the Agent may otherwise have.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4" w:name="page35"/>
    <w:bookmarkEnd w:id="34"/>
    <w:p>
      <w:pPr>
        <w:ind w:left="4" w:right="40" w:firstLine="436"/>
        <w:spacing w:after="0" w:line="251" w:lineRule="auto"/>
        <w:tabs>
          <w:tab w:leader="none" w:pos="68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Notifications and Other Indemnification Procedures</w:t>
      </w:r>
      <w:r>
        <w:rPr>
          <w:rFonts w:ascii="Times New Roman" w:cs="Times New Roman" w:eastAsia="Times New Roman" w:hAnsi="Times New Roman"/>
          <w:sz w:val="18"/>
          <w:szCs w:val="18"/>
          <w:color w:val="auto"/>
        </w:rPr>
        <w:t xml:space="preserve">. Promptly after receipt by an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5" w:lineRule="exact"/>
        <w:rPr>
          <w:rFonts w:ascii="Times New Roman" w:cs="Times New Roman" w:eastAsia="Times New Roman" w:hAnsi="Times New Roman"/>
          <w:sz w:val="18"/>
          <w:szCs w:val="18"/>
          <w:color w:val="auto"/>
        </w:rPr>
      </w:pPr>
    </w:p>
    <w:p>
      <w:pPr>
        <w:ind w:left="4" w:firstLine="436"/>
        <w:spacing w:after="0" w:line="269" w:lineRule="auto"/>
        <w:tabs>
          <w:tab w:leader="none" w:pos="699"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Settlements</w:t>
      </w:r>
      <w:r>
        <w:rPr>
          <w:rFonts w:ascii="Times New Roman" w:cs="Times New Roman" w:eastAsia="Times New Roman" w:hAnsi="Times New Roman"/>
          <w:sz w:val="17"/>
          <w:szCs w:val="17"/>
          <w:color w:val="auto"/>
        </w:rPr>
        <w:t xml:space="preserve">. The indemnifying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17"/>
          <w:szCs w:val="17"/>
          <w:u w:val="single" w:color="auto"/>
          <w:color w:val="auto"/>
        </w:rPr>
        <w:t>Section 6(c)</w:t>
      </w:r>
      <w:r>
        <w:rPr>
          <w:rFonts w:ascii="Times New Roman" w:cs="Times New Roman" w:eastAsia="Times New Roman" w:hAnsi="Times New Roman"/>
          <w:sz w:val="17"/>
          <w:szCs w:val="17"/>
          <w:color w:val="auto"/>
        </w:rPr>
        <w:t xml:space="preserve"> hereof, the indemnifying party agrees that it shall be liable for any settlement of any proceeding effected without its written consent if</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settlement is entered into more than 30 days after receipt by such indemnifying party of the aforesaid request;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4"/>
          </w:cols>
          <w:pgMar w:left="436" w:top="270" w:right="439" w:bottom="1440" w:gutter="0" w:footer="0" w:header="0"/>
        </w:sectPr>
      </w:pPr>
    </w:p>
    <w:bookmarkStart w:id="35" w:name="page36"/>
    <w:bookmarkEnd w:id="3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83" w:lineRule="exact"/>
        <w:rPr>
          <w:sz w:val="20"/>
          <w:szCs w:val="20"/>
          <w:color w:val="auto"/>
        </w:rPr>
      </w:pPr>
    </w:p>
    <w:p>
      <w:pPr>
        <w:ind w:firstLine="436"/>
        <w:spacing w:after="0" w:line="252"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9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any legal or other fees or expenses reasonably incurred by such party in connection with investigating or defending any action or claim. The provisions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with respect to notice of commencement of any action shall apply if a claim for contribution is to be made under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notice shall be required with respect to any action for which notice has been given under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for purposes of indemnification.</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Company and the Agent agree that it would not be just and equitable if contribution pursuant to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6" w:name="page37"/>
    <w:bookmarkEnd w:id="36"/>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TERMINATION &amp; SURVIVAL</w:t>
      </w:r>
    </w:p>
    <w:p>
      <w:pPr>
        <w:spacing w:after="0" w:line="229" w:lineRule="exact"/>
        <w:rPr>
          <w:sz w:val="20"/>
          <w:szCs w:val="20"/>
          <w:color w:val="auto"/>
        </w:rPr>
      </w:pPr>
    </w:p>
    <w:p>
      <w:pPr>
        <w:ind w:right="20" w:firstLine="436"/>
        <w:spacing w:after="0" w:line="282"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Survival Following Termination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right="20" w:hanging="439"/>
        <w:spacing w:after="0" w:line="256" w:lineRule="auto"/>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 w:cs="Times New Roman" w:eastAsia="Times New Roman" w:hAnsi="Times New Roman"/>
          <w:sz w:val="18"/>
          <w:szCs w:val="18"/>
          <w:u w:val="single" w:color="auto"/>
          <w:color w:val="auto"/>
        </w:rPr>
        <w:t>Section 3(b)(v)</w:t>
      </w:r>
      <w:r>
        <w:rPr>
          <w:rFonts w:ascii="Times New Roman" w:cs="Times New Roman" w:eastAsia="Times New Roman" w:hAnsi="Times New Roman"/>
          <w:sz w:val="18"/>
          <w:szCs w:val="18"/>
          <w:color w:val="auto"/>
        </w:rPr>
        <w:t xml:space="preserve"> with respect to such Shares and (B)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92" w:lineRule="exact"/>
        <w:rPr>
          <w:rFonts w:ascii="Times New Roman" w:cs="Times New Roman" w:eastAsia="Times New Roman" w:hAnsi="Times New Roman"/>
          <w:sz w:val="18"/>
          <w:szCs w:val="18"/>
          <w:color w:val="auto"/>
        </w:rPr>
      </w:pPr>
    </w:p>
    <w:p>
      <w:pPr>
        <w:ind w:left="1420" w:right="40" w:hanging="439"/>
        <w:spacing w:after="0" w:line="258" w:lineRule="auto"/>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survival provision of </w:t>
      </w:r>
      <w:r>
        <w:rPr>
          <w:rFonts w:ascii="Times New Roman" w:cs="Times New Roman" w:eastAsia="Times New Roman" w:hAnsi="Times New Roman"/>
          <w:sz w:val="18"/>
          <w:szCs w:val="18"/>
          <w:u w:val="single" w:color="auto"/>
          <w:color w:val="auto"/>
        </w:rPr>
        <w:t>Section 7(b)(i)</w:t>
      </w:r>
      <w:r>
        <w:rPr>
          <w:rFonts w:ascii="Times New Roman" w:cs="Times New Roman" w:eastAsia="Times New Roman" w:hAnsi="Times New Roman"/>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MISCELLANEOUS</w:t>
      </w:r>
    </w:p>
    <w:p>
      <w:pPr>
        <w:spacing w:after="0" w:line="229" w:lineRule="exact"/>
        <w:rPr>
          <w:sz w:val="20"/>
          <w:szCs w:val="20"/>
          <w:color w:val="auto"/>
        </w:rPr>
      </w:pPr>
    </w:p>
    <w:p>
      <w:pPr>
        <w:ind w:firstLine="436"/>
        <w:spacing w:after="0" w:line="258"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Releases and Disclosure</w:t>
      </w:r>
      <w:r>
        <w:rPr>
          <w:rFonts w:ascii="Times New Roman" w:cs="Times New Roman" w:eastAsia="Times New Roman" w:hAnsi="Times New Roman"/>
          <w:sz w:val="18"/>
          <w:szCs w:val="18"/>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7" w:name="page38"/>
    <w:bookmarkEnd w:id="37"/>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87" w:lineRule="exact"/>
        <w:rPr>
          <w:sz w:val="20"/>
          <w:szCs w:val="20"/>
          <w:color w:val="auto"/>
        </w:rPr>
      </w:pPr>
    </w:p>
    <w:p>
      <w:pPr>
        <w:ind w:left="4" w:right="40" w:firstLine="436"/>
        <w:spacing w:after="0" w:line="267" w:lineRule="auto"/>
        <w:tabs>
          <w:tab w:leader="none" w:pos="69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Advisory or Fiduciary Relationship</w:t>
      </w:r>
      <w:r>
        <w:rPr>
          <w:rFonts w:ascii="Times New Roman" w:cs="Times New Roman" w:eastAsia="Times New Roman" w:hAnsi="Times New Roman"/>
          <w:sz w:val="17"/>
          <w:szCs w:val="17"/>
          <w:color w:val="auto"/>
        </w:rPr>
        <w:t>. The Company acknowledges and agrees that (i) the transactions contemplated by this Agreement, including the determination of any fees, are arm’s-length commercial transactions between the Company and the Agent, and do not constitute a recommendation, investment advice, or solicitation of any action by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(v) the Agent has not provided any legal, accounting, financial, regulatory, investment or tax advice with respect to the transactions contemplated hereby and the Company has consulted its own legal, accounting, regulatory and tax advisors to the extent it deemed appropriate, and</w:t>
      </w:r>
    </w:p>
    <w:p>
      <w:pPr>
        <w:spacing w:after="0" w:line="3" w:lineRule="exact"/>
        <w:rPr>
          <w:rFonts w:ascii="Times New Roman" w:cs="Times New Roman" w:eastAsia="Times New Roman" w:hAnsi="Times New Roman"/>
          <w:sz w:val="17"/>
          <w:szCs w:val="17"/>
          <w:color w:val="auto"/>
        </w:rPr>
      </w:pPr>
    </w:p>
    <w:p>
      <w:pPr>
        <w:ind w:left="4" w:right="300" w:hanging="4"/>
        <w:spacing w:after="0" w:line="260" w:lineRule="auto"/>
        <w:tabs>
          <w:tab w:leader="none" w:pos="30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activities of the Agent in connection with the transactions contemplated herein constitutes a recommendation, investment advice or solicitation of any action by the Agent with respect to any entity or natural person.</w:t>
      </w:r>
    </w:p>
    <w:p>
      <w:pPr>
        <w:spacing w:after="0" w:line="181" w:lineRule="exact"/>
        <w:rPr>
          <w:rFonts w:ascii="Times New Roman" w:cs="Times New Roman" w:eastAsia="Times New Roman" w:hAnsi="Times New Roman"/>
          <w:sz w:val="18"/>
          <w:szCs w:val="18"/>
          <w:color w:val="auto"/>
        </w:rPr>
      </w:pPr>
    </w:p>
    <w:p>
      <w:pPr>
        <w:ind w:left="4" w:firstLine="436"/>
        <w:spacing w:after="0" w:line="255" w:lineRule="auto"/>
        <w:tabs>
          <w:tab w:leader="none" w:pos="68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Analyst Independence</w:t>
      </w:r>
      <w:r>
        <w:rPr>
          <w:rFonts w:ascii="Times New Roman" w:cs="Times New Roman" w:eastAsia="Times New Roman" w:hAnsi="Times New Roman"/>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8"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9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shall be in writing and shall be mailed, hand delivered or telecopied and confirmed to the parties hereto as follows:</w:t>
      </w:r>
    </w:p>
    <w:p>
      <w:pPr>
        <w:spacing w:after="0" w:line="9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04"/>
          </w:cols>
          <w:pgMar w:left="436" w:top="270" w:right="55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Agent: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(646) 619-4437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12670 High Bluff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(858) 523-5450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Michael E. Sullivan, Esq.</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Stephen Brady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2000 Sierra Point Parkway, Suite 400Brisbane, California 94005Phone: (415) 798-8589</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Stephen Brady.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1700 Seventh Avenue, Suite 1900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Seattle, Washington 91801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Laura Berezin and Jaime Chase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36"/>
        <w:spacing w:after="0" w:line="289" w:lineRule="auto"/>
        <w:tabs>
          <w:tab w:leader="none" w:pos="68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w:t>
      </w:r>
      <w:r>
        <w:rPr>
          <w:rFonts w:ascii="Times New Roman" w:cs="Times New Roman" w:eastAsia="Times New Roman" w:hAnsi="Times New Roman"/>
          <w:sz w:val="17"/>
          <w:szCs w:val="17"/>
          <w:color w:val="auto"/>
        </w:rPr>
        <w:t xml:space="preserve">. This Agreement will inure to the benefit of and be binding upon the parties hereto, and to the benefit of the employees, officers and directors and controlling persons referred to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57" w:lineRule="exact"/>
        <w:rPr>
          <w:rFonts w:ascii="Times New Roman" w:cs="Times New Roman" w:eastAsia="Times New Roman" w:hAnsi="Times New Roman"/>
          <w:sz w:val="17"/>
          <w:szCs w:val="17"/>
          <w:color w:val="auto"/>
        </w:rPr>
      </w:pPr>
    </w:p>
    <w:p>
      <w:pPr>
        <w:ind w:firstLine="436"/>
        <w:spacing w:after="0" w:line="261" w:lineRule="auto"/>
        <w:tabs>
          <w:tab w:leader="none" w:pos="6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80"/>
          </w:cols>
          <w:pgMar w:left="440" w:top="270" w:right="679" w:bottom="1440" w:gutter="0" w:footer="0" w:header="0"/>
        </w:sectPr>
      </w:pPr>
    </w:p>
    <w:bookmarkStart w:id="39" w:name="page40"/>
    <w:bookmarkEnd w:id="39"/>
    <w:p>
      <w:pPr>
        <w:ind w:firstLine="436"/>
        <w:spacing w:after="0" w:line="253"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Provisions</w:t>
      </w:r>
      <w:r>
        <w:rPr>
          <w:rFonts w:ascii="Times New Roman" w:cs="Times New Roman" w:eastAsia="Times New Roman" w:hAnsi="Times New Roman"/>
          <w:sz w:val="18"/>
          <w:szCs w:val="18"/>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94"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Immediately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0" w:name="page41"/>
    <w:bookmarkEnd w:id="4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Stephen Brady</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by the Agent in New York, New York as of the date first above written.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Michael Magarro</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700"/>
          </w:cols>
          <w:pgMar w:left="440" w:top="270" w:right="75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[__________]</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Reference is made to the Open Market Sale Agreement between Tempest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Jefferies LLC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dated as of June 20, 2024. The Company confirms that all conditions to the delivery of this Issuance Notice are satisfied as of the date hereof.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Delivery of Issuance Notice (determined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Amount (equal to the total Sales Price for such Shares):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17"/>
                <w:szCs w:val="17"/>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Number of days in selling period:</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spacing w:after="0"/>
              <w:rPr>
                <w:sz w:val="24"/>
                <w:szCs w:val="24"/>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30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First date of selling period:</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spacing w:after="0"/>
              <w:rPr>
                <w:sz w:val="24"/>
                <w:szCs w:val="24"/>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30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Last date of selling period:</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spacing w:after="0"/>
              <w:rPr>
                <w:sz w:val="24"/>
                <w:szCs w:val="24"/>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Date(s) if other than standard T+1 settlement:</w:t>
      </w:r>
    </w:p>
    <w:p>
      <w:pPr>
        <w:spacing w:after="0" w:line="11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-7620</wp:posOffset>
            </wp:positionV>
            <wp:extent cx="12566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0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Floor Price Limitation (in no event less than $1.00 without the prior written consent of the Agent, which consent may be withheld in the Agent’s sole discretion): $ ____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17145</wp:posOffset>
            </wp:positionV>
            <wp:extent cx="63607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60795" cy="8890"/>
                    </a:xfrm>
                    <a:prstGeom prst="rect">
                      <a:avLst/>
                    </a:prstGeom>
                    <a:noFill/>
                  </pic:spPr>
                </pic:pic>
              </a:graphicData>
            </a:graphic>
          </wp:anchor>
        </w:drawing>
      </w:r>
    </w:p>
    <w:p>
      <w:pPr>
        <w:spacing w:after="0" w:line="24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-7620</wp:posOffset>
            </wp:positionV>
            <wp:extent cx="12566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60"/>
          </w:cols>
          <w:pgMar w:left="440" w:top="266" w:right="499" w:bottom="1440" w:gutter="0" w:footer="0" w:header="0"/>
        </w:sectPr>
      </w:pPr>
    </w:p>
    <w:bookmarkStart w:id="42" w:name="page43"/>
    <w:bookmarkEnd w:id="42"/>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Brady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Dustin Tyner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Magarro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Lynaugh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Fabbri</w:t>
      </w:r>
    </w:p>
    <w:p>
      <w:pPr>
        <w:sectPr>
          <w:pgSz w:w="11900" w:h="16838" w:orient="portrait"/>
          <w:cols w:equalWidth="0" w:num="1">
            <w:col w:w="10019"/>
          </w:cols>
          <w:pgMar w:left="440" w:top="266"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Jaime L. 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+1 202 728 7096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jchase@cooley.com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Sierra Point Parkway,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Brisbane, California 94005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We have acted as counsel to Tempest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offering by the Company of shares of its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having an aggregate offering price of up to $205,000,000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pursuant to the Registration Statement on Form S-3 (File No. 333-257990)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prospectus supplement relating to the shares dated June 20, 2024 and filed with the Commission pursuant to Rule 424(b) under the Securities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Shares are to be sold by the Company in accordance with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dated June 20, 2024, by and between the Company and Jefferies LLC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as described in the Prospectus.</w:t>
      </w:r>
    </w:p>
    <w:p>
      <w:pPr>
        <w:spacing w:after="0" w:line="196"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 xml:space="preserve">Each share of Common Stock includes a preferred share purchase right (each, a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as set forth in Rights Agreement (the </w:t>
      </w:r>
      <w:r>
        <w:rPr>
          <w:rFonts w:ascii="Times New Roman" w:cs="Times New Roman" w:eastAsia="Times New Roman" w:hAnsi="Times New Roman"/>
          <w:sz w:val="18"/>
          <w:szCs w:val="18"/>
          <w:b w:val="1"/>
          <w:bCs w:val="1"/>
          <w:i w:val="1"/>
          <w:iCs w:val="1"/>
          <w:color w:val="auto"/>
        </w:rPr>
        <w:t>“Rights Plan”</w:t>
      </w:r>
      <w:r>
        <w:rPr>
          <w:rFonts w:ascii="Times New Roman" w:cs="Times New Roman" w:eastAsia="Times New Roman" w:hAnsi="Times New Roman"/>
          <w:sz w:val="18"/>
          <w:szCs w:val="18"/>
          <w:color w:val="auto"/>
        </w:rPr>
        <w:t xml:space="preserve">), dated as of October 10, 2023, between the Company and Computershare Trust Company, N.A., as rights agent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the Prospectus, the Company’s certificate of incorporation and bylaws, each as currently in effect, The Rights Plan, the Agreement and such other records, documents, opinions, certificates, memoranda and instruments as in our judgment are necessary or appropriate to enable us to render the opinion expressed below.</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rendering this opinion,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of such documents. As to certain factual matters, we have relied upon a certificate of an officer of the Company and have not independently verified such matters.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1299 Pennsylvania Avenue NW   Suite 700   Washington, DC   20004-2400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+1 202 842 7800 f: +1 202 842 7899 cooley.com</w:t>
      </w:r>
    </w:p>
    <w:p>
      <w:pPr>
        <w:sectPr>
          <w:pgSz w:w="11900" w:h="16838" w:orient="portrait"/>
          <w:cols w:equalWidth="0" w:num="1">
            <w:col w:w="11020"/>
          </w:cols>
          <w:pgMar w:left="440" w:top="117"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Tempest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assumed (i) that each sale of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(ii) that no more than 71,500,000 Shares will be sold pursuant to the Agreement for a consideration not less than the par value of the Common Stock.  We express no opinion to the extent that future issuances of securities of the Company, anti-dilution adjustments to outstanding securities of the Company or other matters cause the number of shares of Common Stock issuable under the Agreement to exceed the number of shares of common stock available for issuance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opinion concerning the Rights:</w:t>
      </w:r>
    </w:p>
    <w:p>
      <w:pPr>
        <w:spacing w:after="0" w:line="117" w:lineRule="exact"/>
        <w:rPr>
          <w:sz w:val="20"/>
          <w:szCs w:val="20"/>
          <w:color w:val="auto"/>
        </w:rPr>
      </w:pPr>
    </w:p>
    <w:p>
      <w:pPr>
        <w:ind w:right="40" w:firstLine="436"/>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does not address the determination a court of competent jurisdiction may make regarding whether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be required to redeem or terminate, or take other action with respect to, the Rights or Rights Plan in the future based on the facts and circumstances then existing.</w:t>
      </w:r>
    </w:p>
    <w:p>
      <w:pPr>
        <w:spacing w:after="0" w:line="175" w:lineRule="exact"/>
        <w:rPr>
          <w:rFonts w:ascii="Times New Roman" w:cs="Times New Roman" w:eastAsia="Times New Roman" w:hAnsi="Times New Roman"/>
          <w:sz w:val="18"/>
          <w:szCs w:val="18"/>
          <w:color w:val="auto"/>
        </w:rPr>
      </w:pPr>
    </w:p>
    <w:p>
      <w:pPr>
        <w:ind w:right="20" w:firstLine="436"/>
        <w:spacing w:after="0" w:line="258" w:lineRule="auto"/>
        <w:tabs>
          <w:tab w:leader="none" w:pos="7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assumes that the Rights Plan has been duly authorized, executed and delivered by the Rights Agent and that members of the Board have acted in a manner consistent with their fiduciary duties as required under applicable law in adopting the Rights Plan. With respect to Rights associated with Shares to be offered in the future under the Registration Statement, our opinion assumes the Rights Plan has not been terminated by the Company or expired by its terms and the Rights have not expired or been redeemed or exchanged by the Company, in each case, prior to the issuance of such Shares.</w:t>
      </w:r>
    </w:p>
    <w:p>
      <w:pPr>
        <w:spacing w:after="0" w:line="183" w:lineRule="exact"/>
        <w:rPr>
          <w:rFonts w:ascii="Times New Roman" w:cs="Times New Roman" w:eastAsia="Times New Roman" w:hAnsi="Times New Roman"/>
          <w:sz w:val="18"/>
          <w:szCs w:val="18"/>
          <w:color w:val="auto"/>
        </w:rPr>
      </w:pPr>
    </w:p>
    <w:p>
      <w:pPr>
        <w:ind w:right="40" w:firstLine="436"/>
        <w:spacing w:after="0" w:line="266" w:lineRule="auto"/>
        <w:tabs>
          <w:tab w:leader="none" w:pos="7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addresses corporate procedures in connection with the issuance of the Rights associated with the shares of Common Stock of the Company, and not any particular provision of the Rights or the Rights Plan. It should be understood that it is not settled whether the invalidity of any particular provision of a rights agreement or purchase rights issued thereunder would invalidate such rights in their entirety.</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opinion herein is expressed solely with respect to the DGCL. We express no opinion to the extent that any other laws are applicable to the subject matter hereof and express no opinion and provide no assurance as to compliance with any federal or state securities law, rule or regulation.</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qualifications herein stated, we are of the opinion that the Shares and associated Rights, when issued against payment therefor in accordance with the Agreement, the Registration Statement and the Prospectus, will be validly issued, and the Shares will be fully paid and nonassessable.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Cooley LLP   1299 Pennsylvania Avenue NW   Suite 700   Washington, DC   20004-2400</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 +1 202 842 7800 f: +1 202 842 7899 cooley.com</w:t>
      </w:r>
    </w:p>
    <w:p>
      <w:pPr>
        <w:sectPr>
          <w:pgSz w:w="11900" w:h="16838" w:orient="portrait"/>
          <w:cols w:equalWidth="0" w:num="1">
            <w:col w:w="10960"/>
          </w:cols>
          <w:pgMar w:left="440" w:top="1080"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Tempest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“Legal Matters” in the Prospectus and to the filing of this opinion as an exhibit to the Company’s Current Report on Form 8-K to be filed with the Commission for incorporation by reference into the Registration Statement. In giving such consents, we do not thereby admit that we are in the category of persons whose consent is required under Section 7 of the Securities Act of 1933, as amended, or the rules and regulations of the Securities Exchange Commission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Jaime L.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Jaime L. Chase</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Cooley LLP   1299 Pennsylvania Avenue NW   Suite 700   Washington, DC   20004-2400</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 +1 202 842 7800 f: +1 202 842 7899 cooley.com</w:t>
      </w:r>
    </w:p>
    <w:p>
      <w:pPr>
        <w:sectPr>
          <w:pgSz w:w="11900" w:h="16838" w:orient="portrait"/>
          <w:cols w:equalWidth="0" w:num="1">
            <w:col w:w="10900"/>
          </w:cols>
          <w:pgMar w:left="440" w:top="1093" w:right="5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1491615</wp:posOffset>
            </wp:positionH>
            <wp:positionV relativeFrom="paragraph">
              <wp:posOffset>173990</wp:posOffset>
            </wp:positionV>
            <wp:extent cx="4020185" cy="10801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2018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6"/>
        <w:spacing w:after="0" w:line="286" w:lineRule="auto"/>
        <w:rPr>
          <w:sz w:val="20"/>
          <w:szCs w:val="20"/>
          <w:color w:val="auto"/>
        </w:rPr>
      </w:pPr>
      <w:r>
        <w:rPr>
          <w:rFonts w:ascii="Times New Roman" w:cs="Times New Roman" w:eastAsia="Times New Roman" w:hAnsi="Times New Roman"/>
          <w:sz w:val="18"/>
          <w:szCs w:val="18"/>
          <w:b w:val="1"/>
          <w:bCs w:val="1"/>
          <w:color w:val="auto"/>
        </w:rPr>
        <w:t>Tempest Unveils New Survival Data for Amezalpat (TPST-1120) in Randomized First-Line HCC Study Demonstrating a Six-Month Improvement over Control Arm</w:t>
      </w:r>
    </w:p>
    <w:p>
      <w:pPr>
        <w:spacing w:after="0" w:line="62" w:lineRule="exact"/>
        <w:rPr>
          <w:sz w:val="20"/>
          <w:szCs w:val="20"/>
          <w:color w:val="auto"/>
        </w:rPr>
      </w:pPr>
    </w:p>
    <w:p>
      <w:pPr>
        <w:ind w:left="964" w:hanging="424"/>
        <w:spacing w:after="0"/>
        <w:tabs>
          <w:tab w:leader="none" w:pos="9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21 months median OS in amezalpat arm vs. 15 in control arm</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50% (20/40) of patients on amezalpat arm remain in survival follow up</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0.65 hazard ratio, maintained since 0.59 observed in primary analysis 10 months earlier</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Early and persistent separation of survival curves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OS is the primary regulatory endpoint for first-line HCC</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to host webcast conference call today at 8:30am ET</w:t>
      </w:r>
    </w:p>
    <w:p>
      <w:pPr>
        <w:spacing w:after="0" w:line="223" w:lineRule="exact"/>
        <w:rPr>
          <w:sz w:val="20"/>
          <w:szCs w:val="20"/>
          <w:color w:val="auto"/>
        </w:rPr>
      </w:pPr>
    </w:p>
    <w:p>
      <w:pPr>
        <w:ind w:left="4" w:right="220"/>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Brisbane, CA, </w:t>
      </w:r>
      <w:r>
        <w:rPr>
          <w:rFonts w:ascii="Times New Roman" w:cs="Times New Roman" w:eastAsia="Times New Roman" w:hAnsi="Times New Roman"/>
          <w:sz w:val="18"/>
          <w:szCs w:val="18"/>
          <w:color w:val="auto"/>
        </w:rPr>
        <w:t>June 20, 2024 –Tempest Therapeutics, Inc. (Nasdaq: TPST), a clinical-stage oncology company developing first-in-class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combine both targeted and immune-mediated mechanisms, today announced new positive data from the ongoing global randomized Phase 1b/2 clinical study in which amezalpat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(TPST-1120), Tempest’s PPARα antagonist, delivered a six-month improvement in median overall survival (“OS”) advantage when combined with atezolizumab and bevacizumab in a comparison to atezolizumab and bevacizumab alone in the first-line treatment of patients with unresectable or metastatic hepatocellular carcinoma (“HCC”).</w:t>
      </w:r>
    </w:p>
    <w:p>
      <w:pPr>
        <w:spacing w:after="0" w:line="198"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“We are thrilled by these new survival data that build on the already meaningful data released in the fall showing the improvement of the amezalpat arm over atezolizumab and bevacizumab control across all study endpoints,” said Stephen Brady, president and chief executive officer of Tempest. “These new data come after 10 more months of follow-up since the last data analysis and show not only a strong hazard ratio of 0.65 favoring the amezalpat arm, but also a six-month improvement in the median overall survival with half the patients still in survival follow up, as well as observation of a survival advantage across key populations – results that we believe put amezalpat in a strong position for a successful pivotal Phase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0" w:lineRule="exact"/>
        <w:rPr>
          <w:sz w:val="20"/>
          <w:szCs w:val="20"/>
          <w:color w:val="auto"/>
        </w:rPr>
      </w:pPr>
    </w:p>
    <w:p>
      <w:pPr>
        <w:ind w:left="424" w:hanging="424"/>
        <w:spacing w:after="0"/>
        <w:tabs>
          <w:tab w:leader="none" w:pos="424" w:val="left"/>
        </w:tabs>
        <w:numPr>
          <w:ilvl w:val="0"/>
          <w:numId w:val="5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approved by the FDA</w:t>
      </w:r>
    </w:p>
    <w:p>
      <w:pPr>
        <w:ind w:left="424" w:hanging="424"/>
        <w:spacing w:after="0" w:line="180" w:lineRule="auto"/>
        <w:tabs>
          <w:tab w:leader="none" w:pos="424" w:val="left"/>
        </w:tabs>
        <w:numPr>
          <w:ilvl w:val="0"/>
          <w:numId w:val="5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Recommended International Nonproprietary Name (INN), April 22, 2024</w:t>
      </w:r>
    </w:p>
    <w:p>
      <w:pPr>
        <w:sectPr>
          <w:pgSz w:w="11900" w:h="16838" w:orient="portrait"/>
          <w:cols w:equalWidth="0" w:num="1">
            <w:col w:w="11024"/>
          </w:cols>
          <w:pgMar w:left="436" w:top="117" w:right="439" w:bottom="1440" w:gutter="0" w:footer="0" w:header="0"/>
        </w:sectPr>
      </w:pPr>
    </w:p>
    <w:bookmarkStart w:id="47" w:name="page48"/>
    <w:bookmarkEnd w:id="47"/>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cutoff date of February 14, 2024, the new data from 40 patients randomized to the amezalpat arm and 30 patients randomized to the control arm show:</w:t>
      </w:r>
    </w:p>
    <w:p>
      <w:pPr>
        <w:spacing w:after="0" w:line="67" w:lineRule="exact"/>
        <w:rPr>
          <w:sz w:val="20"/>
          <w:szCs w:val="20"/>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month median OS for the amezalpat arm versus 15 month for the control arm, a six-month survival advantage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 patients remain in survival follow up in the amezalpat arm, compared to 9/30 patients in the control arm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0.65 hazard ratio (“HR”) for OS, revealing a stable HR since the top-line analysis 10 months earlier when the HR was 0.59</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Manageable safety profile consistent with Phase 1 data</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earlier top-line data analysis, dated April 20, 2023, had a median follow up of 9.2 and 9.9 months for the amezalpat and control arms, respectively, and showed:</w:t>
      </w:r>
    </w:p>
    <w:p>
      <w:pPr>
        <w:spacing w:after="0" w:line="67" w:lineRule="exact"/>
        <w:rPr>
          <w:sz w:val="20"/>
          <w:szCs w:val="20"/>
          <w:color w:val="auto"/>
        </w:rPr>
      </w:pPr>
    </w:p>
    <w:p>
      <w:pPr>
        <w:ind w:left="960" w:hanging="424"/>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objective response rate (“cORR” or “confirmed ORR”) of 30% for the amezalpat arm versus 13.3% for the control arm;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 subpopulation findings were consistent with the mechanism of action of amezalpat</w:t>
      </w:r>
    </w:p>
    <w:p>
      <w:pPr>
        <w:spacing w:after="0" w:line="130"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b-catenin activating mutations (21% in this study (n=7)) showed a cORR of 43% and a disease control rate (“DCR”) of 100% in the amezalpat arm</w:t>
      </w:r>
    </w:p>
    <w:p>
      <w:pPr>
        <w:spacing w:after="0" w:line="67" w:lineRule="exact"/>
        <w:rPr>
          <w:rFonts w:ascii="Times New Roman" w:cs="Times New Roman" w:eastAsia="Times New Roman" w:hAnsi="Times New Roman"/>
          <w:sz w:val="18"/>
          <w:szCs w:val="18"/>
          <w:color w:val="auto"/>
        </w:rPr>
      </w:pPr>
    </w:p>
    <w:p>
      <w:pPr>
        <w:ind w:left="1420" w:right="380" w:hanging="331"/>
        <w:spacing w:after="0" w:line="282" w:lineRule="auto"/>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amezalpat arm was consistently active across both PD-L1 positive and PD-L1 negative tumors, with a cORR of 27% in the amezalpat arm compared to 7% for the control arm in PD-L1 negative tumors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amezalpat remains well tolerated, with safety data comparable between the two arms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randomized arms were generally well balanced at baseline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ORR was determined by RECIST v1.1, and confirmed responses included at least two scans. Tempest retains all product rights to amezalpat.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&amp; Webcast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Tempest will host a webcast conference call today, June 20, 2024 at 8:30am ET.</w:t>
      </w:r>
    </w:p>
    <w:p>
      <w:pPr>
        <w:sectPr>
          <w:pgSz w:w="11900" w:h="16838" w:orient="portrait"/>
          <w:cols w:equalWidth="0" w:num="1">
            <w:col w:w="10980"/>
          </w:cols>
          <w:pgMar w:left="440" w:top="270" w:right="479" w:bottom="1440" w:gutter="0" w:footer="0" w:header="0"/>
        </w:sectPr>
      </w:pPr>
    </w:p>
    <w:bookmarkStart w:id="48" w:name="page49"/>
    <w:bookmarkEnd w:id="48"/>
    <w:p>
      <w:pPr>
        <w:ind w:left="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join the conference call via phone and participate in the live Q&amp;A session, please pre-register online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to receive a telephone number and unique passcode required to enter the call. The live webcast and audio archive of the presentation may be accessed on the investor section of the Tempest website at </w:t>
      </w:r>
      <w:r>
        <w:rPr>
          <w:rFonts w:ascii="Times New Roman" w:cs="Times New Roman" w:eastAsia="Times New Roman" w:hAnsi="Times New Roman"/>
          <w:sz w:val="18"/>
          <w:szCs w:val="18"/>
          <w:u w:val="single" w:color="auto"/>
          <w:color w:val="auto"/>
        </w:rPr>
        <w:t>https://ir.tempesttx.com/</w:t>
      </w:r>
      <w:r>
        <w:rPr>
          <w:rFonts w:ascii="Times New Roman" w:cs="Times New Roman" w:eastAsia="Times New Roman" w:hAnsi="Times New Roman"/>
          <w:sz w:val="18"/>
          <w:szCs w:val="18"/>
          <w:color w:val="auto"/>
        </w:rPr>
        <w:t>. The webcast will be available for replay for 30 days.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the Randomized Clinical Trial</w:t>
      </w:r>
    </w:p>
    <w:p>
      <w:pPr>
        <w:spacing w:after="0" w:line="121" w:lineRule="exact"/>
        <w:rPr>
          <w:sz w:val="20"/>
          <w:szCs w:val="20"/>
          <w:color w:val="auto"/>
        </w:rPr>
      </w:pPr>
    </w:p>
    <w:p>
      <w:pPr>
        <w:ind w:left="4" w:right="180"/>
        <w:spacing w:after="0" w:line="256" w:lineRule="auto"/>
        <w:rPr>
          <w:sz w:val="20"/>
          <w:szCs w:val="20"/>
          <w:color w:val="auto"/>
        </w:rPr>
      </w:pPr>
      <w:r>
        <w:rPr>
          <w:rFonts w:ascii="Times New Roman" w:cs="Times New Roman" w:eastAsia="Times New Roman" w:hAnsi="Times New Roman"/>
          <w:sz w:val="18"/>
          <w:szCs w:val="18"/>
          <w:color w:val="auto"/>
        </w:rPr>
        <w:t>The Phase 1b/2 global randomized HCC study is part of Roche’s Morpheus program and evaluates amezalpat in combination with atezolizumab and bevacizumab versus atezolizumab and bevacizumab, the standard of care, in patients with unresectable or metastatic HCC not previously treated with systemic therapy. The trial randomized 70 patients to receive either amezalpat with atezolizumab + bevacizumab or a contemporaneous control arm of atezolizumab + bevacizumab alone at approximately 25 sites worldwide, including in the United States, Europe, and Asia. The primary efficacy endpoint was confirmed objective response rate, and key secondary endpoints including PFS and OS. Under the terms of the clinical collaboration agreement, Roche is managing the study operations for this global, multicenter trial and Tempest retains all product rights.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Amezalpat (TPST-1120)</w:t>
      </w:r>
    </w:p>
    <w:p>
      <w:pPr>
        <w:spacing w:after="0" w:line="121"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Amezalpat is an oral, small molecule, selective PPARα antagonist. Tempest’s data suggest that amezalpat treats cancer by targeting tumor cells directly and by modulating immune suppressive cells and angiogenesis in the tumor microenvironment. In an ongoing global randomized phase 1b/2 study of amezalpat in combination with atezolizumab and bevacizumab in first-line patients with advanced HCC, the amezalpat arm showed clinical superiority across multiple study endpoints when compared to atezolizumab and bevacizumab alone, the standard of care. These randomized data were supported by positive results observed in the Phase 1 clinical trial in patients with heavily pretreated advanced solid tumors.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Hepatocellular Carcinoma</w:t>
      </w:r>
    </w:p>
    <w:p>
      <w:pPr>
        <w:spacing w:after="0" w:line="121" w:lineRule="exact"/>
        <w:rPr>
          <w:sz w:val="20"/>
          <w:szCs w:val="20"/>
          <w:color w:val="auto"/>
        </w:rPr>
      </w:pPr>
    </w:p>
    <w:p>
      <w:pPr>
        <w:ind w:left="4"/>
        <w:spacing w:after="0" w:line="211" w:lineRule="auto"/>
        <w:rPr>
          <w:sz w:val="20"/>
          <w:szCs w:val="20"/>
          <w:color w:val="auto"/>
        </w:rPr>
      </w:pPr>
      <w:r>
        <w:rPr>
          <w:rFonts w:ascii="Times New Roman" w:cs="Times New Roman" w:eastAsia="Times New Roman" w:hAnsi="Times New Roman"/>
          <w:sz w:val="18"/>
          <w:szCs w:val="18"/>
          <w:color w:val="auto"/>
        </w:rPr>
        <w:t>HCC is an aggressive cancer with rising mortality and is projected to become the third leading cause of cancer death by 2030.</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Every year, more than 900,000 people worldwide are diagnosed with HCC.</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Incidence and mortality are highest in East Asia and are increasing in parts of Europe and the US.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In the US, HCC represents the fastest-rising cause of cancer-related death.</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 w:lineRule="exact"/>
        <w:rPr>
          <w:sz w:val="20"/>
          <w:szCs w:val="20"/>
          <w:color w:val="auto"/>
        </w:rPr>
      </w:pPr>
    </w:p>
    <w:p>
      <w:pPr>
        <w:ind w:left="424" w:right="500" w:hanging="424"/>
        <w:spacing w:after="0" w:line="208" w:lineRule="auto"/>
        <w:tabs>
          <w:tab w:leader="none" w:pos="424"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Rahib, L. et al. Projecting cancer incidence and deaths to 2030: the undexpected burden of thyroid, liver, and pancreas cancers in the United States. </w:t>
      </w:r>
      <w:r>
        <w:rPr>
          <w:rFonts w:ascii="Times New Roman" w:cs="Times New Roman" w:eastAsia="Times New Roman" w:hAnsi="Times New Roman"/>
          <w:sz w:val="18"/>
          <w:szCs w:val="18"/>
          <w:i w:val="1"/>
          <w:iCs w:val="1"/>
          <w:color w:val="auto"/>
        </w:rPr>
        <w:t>Cancer Res.</w:t>
      </w:r>
      <w:r>
        <w:rPr>
          <w:rFonts w:ascii="Times New Roman" w:cs="Times New Roman" w:eastAsia="Times New Roman" w:hAnsi="Times New Roman"/>
          <w:sz w:val="18"/>
          <w:szCs w:val="18"/>
          <w:color w:val="auto"/>
        </w:rPr>
        <w:t xml:space="preserve"> 74, 2913-2921 (2014).</w:t>
      </w:r>
    </w:p>
    <w:p>
      <w:pPr>
        <w:spacing w:after="0" w:line="2" w:lineRule="exact"/>
        <w:rPr>
          <w:sz w:val="20"/>
          <w:szCs w:val="20"/>
          <w:color w:val="auto"/>
        </w:rPr>
      </w:pPr>
    </w:p>
    <w:p>
      <w:pPr>
        <w:ind w:left="424" w:right="3480" w:hanging="424"/>
        <w:spacing w:after="0" w:line="209" w:lineRule="auto"/>
        <w:tabs>
          <w:tab w:leader="none" w:pos="424" w:val="left"/>
        </w:tabs>
        <w:numPr>
          <w:ilvl w:val="0"/>
          <w:numId w:val="6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World Health Organization. Liver Cancer Factsheet. Globocan. 2020. Available at: https://gco.iarc.fr/today/data/factsheets/cancers/11-Liver-fact-sheet.pdf. Last accessed: April 2023.</w:t>
      </w:r>
    </w:p>
    <w:p>
      <w:pPr>
        <w:ind w:left="424" w:hanging="424"/>
        <w:spacing w:after="0" w:line="181" w:lineRule="auto"/>
        <w:tabs>
          <w:tab w:leader="none" w:pos="424" w:val="left"/>
        </w:tabs>
        <w:numPr>
          <w:ilvl w:val="0"/>
          <w:numId w:val="6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Llovet, J. M., Kelley, R. K., Villanueva, A., et al. Hepatocellular carcinoma. Nature Reviews Disease Primers. 2021, 7(1), 6.</w:t>
      </w:r>
    </w:p>
    <w:p>
      <w:pPr>
        <w:sectPr>
          <w:pgSz w:w="11900" w:h="16838" w:orient="portrait"/>
          <w:cols w:equalWidth="0" w:num="1">
            <w:col w:w="11004"/>
          </w:cols>
          <w:pgMar w:left="436" w:top="270" w:right="459" w:bottom="1440" w:gutter="0" w:footer="0" w:header="0"/>
        </w:sectPr>
      </w:pPr>
    </w:p>
    <w:bookmarkStart w:id="49" w:name="page50"/>
    <w:bookmarkEnd w:id="49"/>
    <w:p>
      <w:pPr>
        <w:ind w:left="4" w:right="80"/>
        <w:spacing w:after="0" w:line="29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Nine out of ten cases of HCC are caused by chronic liver disease, which includes chronic hepatitis B and C infection, non-alcoholic fatty liver disease (NAFLD), non-alcoholic steatohepatitis (NASH), alcohol-related liver disease (ALD) and cirrhosis resulting from these conditions.</w:t>
      </w:r>
      <w:r>
        <w:rPr>
          <w:rFonts w:ascii="Times New Roman" w:cs="Times New Roman" w:eastAsia="Times New Roman" w:hAnsi="Times New Roman"/>
          <w:sz w:val="26"/>
          <w:szCs w:val="26"/>
          <w:color w:val="auto"/>
          <w:vertAlign w:val="superscript"/>
        </w:rPr>
        <w:t>6</w:t>
      </w:r>
    </w:p>
    <w:p>
      <w:pPr>
        <w:spacing w:after="0" w:line="24" w:lineRule="exact"/>
        <w:rPr>
          <w:sz w:val="20"/>
          <w:szCs w:val="20"/>
          <w:color w:val="auto"/>
        </w:rPr>
      </w:pPr>
    </w:p>
    <w:p>
      <w:pPr>
        <w:ind w:left="4" w:right="160"/>
        <w:spacing w:after="0" w:line="211" w:lineRule="auto"/>
        <w:rPr>
          <w:sz w:val="20"/>
          <w:szCs w:val="20"/>
          <w:color w:val="auto"/>
        </w:rPr>
      </w:pPr>
      <w:r>
        <w:rPr>
          <w:rFonts w:ascii="Times New Roman" w:cs="Times New Roman" w:eastAsia="Times New Roman" w:hAnsi="Times New Roman"/>
          <w:sz w:val="18"/>
          <w:szCs w:val="18"/>
          <w:color w:val="auto"/>
        </w:rPr>
        <w:t>Even if diagnosed in the early stage, an estimated 70-80% of people with early-stage HCC experience disease recurrence following surgery.</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Early recurrence is associated with poorer prognosis and shorter survival.</w:t>
      </w:r>
      <w:r>
        <w:rPr>
          <w:rFonts w:ascii="Times New Roman" w:cs="Times New Roman" w:eastAsia="Times New Roman" w:hAnsi="Times New Roman"/>
          <w:sz w:val="26"/>
          <w:szCs w:val="26"/>
          <w:color w:val="auto"/>
          <w:vertAlign w:val="superscript"/>
        </w:rPr>
        <w:t>5,8</w:t>
      </w:r>
      <w:r>
        <w:rPr>
          <w:rFonts w:ascii="Times New Roman" w:cs="Times New Roman" w:eastAsia="Times New Roman" w:hAnsi="Times New Roman"/>
          <w:sz w:val="18"/>
          <w:szCs w:val="18"/>
          <w:color w:val="auto"/>
        </w:rPr>
        <w:t xml:space="preserve"> Tumor size, number of tumors, and portal vein invasion are associated with an increased risk of recurrence.</w:t>
      </w:r>
      <w:r>
        <w:rPr>
          <w:rFonts w:ascii="Times New Roman" w:cs="Times New Roman" w:eastAsia="Times New Roman" w:hAnsi="Times New Roman"/>
          <w:sz w:val="26"/>
          <w:szCs w:val="26"/>
          <w:color w:val="auto"/>
          <w:vertAlign w:val="superscript"/>
        </w:rPr>
        <w:t>6</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Tempest Therapeutics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Tempest Therapeutics is a clinical-stage biotechnology company advancing a diverse portfolio of small molecule product candidates containing tumor-targeted and/or immune-mediated mechanisms with the potential to treat a wide range of tumors. The company’s novel programs range from early research to later-stage investigation in a randomized global study in first-line cancer patients. Tempest is headquartered in Brisbane, California. More information about Tempest can be found on the company’s website at www.tempesttx.com.</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460"/>
        <w:spacing w:after="0" w:line="289" w:lineRule="auto"/>
        <w:rPr>
          <w:sz w:val="20"/>
          <w:szCs w:val="20"/>
          <w:color w:val="auto"/>
        </w:rPr>
      </w:pPr>
      <w:r>
        <w:rPr>
          <w:rFonts w:ascii="Times New Roman" w:cs="Times New Roman" w:eastAsia="Times New Roman" w:hAnsi="Times New Roman"/>
          <w:sz w:val="17"/>
          <w:szCs w:val="17"/>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(“Tempest Therapeutics”). These statements may discuss goals, intentions, and expectations as to future plans, trends, events, results of operations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1" w:lineRule="exact"/>
        <w:rPr>
          <w:sz w:val="20"/>
          <w:szCs w:val="20"/>
          <w:color w:val="auto"/>
        </w:rPr>
      </w:pPr>
    </w:p>
    <w:p>
      <w:pPr>
        <w:ind w:left="424" w:right="440" w:hanging="424"/>
        <w:spacing w:after="0" w:line="218" w:lineRule="auto"/>
        <w:tabs>
          <w:tab w:leader="none" w:pos="424"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Office for Health Improvement &amp; Disparities. Liver disease profiles: November 2021 update. Available at: https://www.gov.uk/government/statistics/liver-disease-profiles-november-2021-update/liver-disease-profiles-november-2021-update. Last</w:t>
      </w:r>
    </w:p>
    <w:p>
      <w:pPr>
        <w:spacing w:after="0" w:line="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accessed: April 2023.</w:t>
      </w:r>
    </w:p>
    <w:p>
      <w:pPr>
        <w:spacing w:after="0" w:line="9" w:lineRule="exact"/>
        <w:rPr>
          <w:sz w:val="20"/>
          <w:szCs w:val="20"/>
          <w:color w:val="auto"/>
        </w:rPr>
      </w:pPr>
    </w:p>
    <w:p>
      <w:pPr>
        <w:ind w:left="424" w:right="280" w:hanging="424"/>
        <w:spacing w:after="0" w:line="200" w:lineRule="auto"/>
        <w:tabs>
          <w:tab w:leader="none" w:pos="424"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Hack SP, Spahn J, Chen M et al. IMbrave 050: a Phase III trial of atezolizumab plus bevacizumab in high-risk hepatocellular carcinoma after curative resection or ablation. Future Oncology. 2020 May;16(15):975-989.</w:t>
      </w:r>
    </w:p>
    <w:p>
      <w:pPr>
        <w:spacing w:after="0" w:line="1" w:lineRule="exact"/>
        <w:rPr>
          <w:sz w:val="20"/>
          <w:szCs w:val="20"/>
          <w:color w:val="auto"/>
        </w:rPr>
      </w:pPr>
    </w:p>
    <w:p>
      <w:pPr>
        <w:ind w:left="424" w:right="60" w:hanging="424"/>
        <w:spacing w:after="0" w:line="200" w:lineRule="auto"/>
        <w:tabs>
          <w:tab w:leader="none" w:pos="424" w:val="left"/>
        </w:tabs>
        <w:numPr>
          <w:ilvl w:val="0"/>
          <w:numId w:val="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Saito A, Toyoda H, Kobayashi M et al. Prediction of early recurrence of hepatocellular carcinoma after resection using digital pathology images assessed by machine learning. Modern Pathology. 2021. 34, 417-425.</w:t>
      </w:r>
    </w:p>
    <w:p>
      <w:pPr>
        <w:sectPr>
          <w:pgSz w:w="11900" w:h="16838" w:orient="portrait"/>
          <w:cols w:equalWidth="0" w:num="1">
            <w:col w:w="10864"/>
          </w:cols>
          <w:pgMar w:left="436" w:top="270" w:right="599" w:bottom="1440" w:gutter="0" w:footer="0" w:header="0"/>
        </w:sectPr>
      </w:pPr>
    </w:p>
    <w:bookmarkStart w:id="50" w:name="page51"/>
    <w:bookmarkEnd w:id="5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in this release regarding the therapeutic benefit and regulatory development of amezalpat and the favorable results of clinical trials. Forward-looking statements are based on information available to Tempest Therapeutics as of the date hereof and are not guarantees of future performance. Actual results could differ materially from those contained in any forward-looking statement. These and other risks are described in greater detail in the Form 10-Q filed by Tempest Therapeutics with the Securities and Exchange Commission on May 9, 2024.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Sylvia Wheeler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swheeler@wheelhouselsa.com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Aljanae Reynolds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areynolds@wheelhouselsa.com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
      <w:numFmt w:val="bullet"/>
      <w:start w:val="1"/>
    </w:lvl>
  </w:abstractNum>
  <w:abstractNum w:abstractNumId="2">
    <w:nsid w:val="3006C83E"/>
    <w:multiLevelType w:val="hybridMultilevel"/>
    <w:lvl w:ilvl="0">
      <w:lvlJc w:val="left"/>
      <w:lvlText w:val="(%1)"/>
      <w:numFmt w:val="lowerLetter"/>
      <w:start w:val="1"/>
    </w:lvl>
  </w:abstractNum>
  <w:abstractNum w:abstractNumId="3">
    <w:nsid w:val="614FD4A1"/>
    <w:multiLevelType w:val="hybridMultilevel"/>
    <w:lvl w:ilvl="0">
      <w:lvlJc w:val="left"/>
      <w:lvlText w:val="(%1)"/>
      <w:numFmt w:val="decimal"/>
      <w:start w:val="3"/>
    </w:lvl>
    <w:lvl w:ilvl="1">
      <w:lvlJc w:val="left"/>
      <w:lvlText w:val="(%2)"/>
      <w:numFmt w:val="lowerLetter"/>
      <w:start w:val="1"/>
    </w:lvl>
  </w:abstractNum>
  <w:abstractNum w:abstractNumId="4">
    <w:nsid w:val="419AC241"/>
    <w:multiLevelType w:val="hybridMultilevel"/>
    <w:lvl w:ilvl="0">
      <w:lvlJc w:val="left"/>
      <w:lvlText w:val="(%1)"/>
      <w:numFmt w:val="lowerLetter"/>
      <w:start w:val="2"/>
    </w:lvl>
  </w:abstractNum>
  <w:abstractNum w:abstractNumId="5">
    <w:nsid w:val="5577F8E1"/>
    <w:multiLevelType w:val="hybridMultilevel"/>
    <w:lvl w:ilvl="0">
      <w:lvlJc w:val="left"/>
      <w:lvlText w:val="(%1)"/>
      <w:numFmt w:val="lowerLetter"/>
      <w:start w:val="3"/>
    </w:lvl>
  </w:abstractNum>
  <w:abstractNum w:abstractNumId="6">
    <w:nsid w:val="440BADFC"/>
    <w:multiLevelType w:val="hybridMultilevel"/>
    <w:lvl w:ilvl="0">
      <w:lvlJc w:val="left"/>
      <w:lvlText w:val="(%1)"/>
      <w:numFmt w:val="lowerLetter"/>
      <w:start w:val="7"/>
    </w:lvl>
  </w:abstractNum>
  <w:abstractNum w:abstractNumId="7">
    <w:nsid w:val="5072367"/>
    <w:multiLevelType w:val="hybridMultilevel"/>
    <w:lvl w:ilvl="0">
      <w:lvlJc w:val="left"/>
      <w:lvlText w:val="(%1)"/>
      <w:numFmt w:val="lowerLetter"/>
      <w:start w:val="12"/>
    </w:lvl>
  </w:abstractNum>
  <w:abstractNum w:abstractNumId="8">
    <w:nsid w:val="3804823E"/>
    <w:multiLevelType w:val="hybridMultilevel"/>
    <w:lvl w:ilvl="0">
      <w:lvlJc w:val="left"/>
      <w:lvlText w:val="(%1)"/>
      <w:numFmt w:val="lowerLetter"/>
      <w:start w:val="15"/>
    </w:lvl>
  </w:abstractNum>
  <w:abstractNum w:abstractNumId="9">
    <w:nsid w:val="77465F01"/>
    <w:multiLevelType w:val="hybridMultilevel"/>
    <w:lvl w:ilvl="0">
      <w:lvlJc w:val="left"/>
      <w:lvlText w:val="(%1)"/>
      <w:numFmt w:val="lowerLetter"/>
      <w:start w:val="9"/>
    </w:lvl>
    <w:lvl w:ilvl="1">
      <w:lvlJc w:val="left"/>
      <w:lvlText w:val="(%2)"/>
      <w:numFmt w:val="lowerLetter"/>
      <w:start w:val="18"/>
    </w:lvl>
  </w:abstractNum>
  <w:abstractNum w:abstractNumId="10">
    <w:nsid w:val="7724C67E"/>
    <w:multiLevelType w:val="hybridMultilevel"/>
    <w:lvl w:ilvl="0">
      <w:lvlJc w:val="left"/>
      <w:lvlText w:val="(%1)"/>
      <w:numFmt w:val="lowerLetter"/>
      <w:start w:val="20"/>
    </w:lvl>
  </w:abstractNum>
  <w:abstractNum w:abstractNumId="11">
    <w:nsid w:val="5C482A97"/>
    <w:multiLevelType w:val="hybridMultilevel"/>
    <w:lvl w:ilvl="0">
      <w:lvlJc w:val="left"/>
      <w:lvlText w:val="(%1)"/>
      <w:numFmt w:val="lowerRoman"/>
      <w:start w:val="5"/>
    </w:lvl>
  </w:abstractNum>
  <w:abstractNum w:abstractNumId="12">
    <w:nsid w:val="2463B9EA"/>
    <w:multiLevelType w:val="hybridMultilevel"/>
    <w:lvl w:ilvl="0">
      <w:lvlJc w:val="left"/>
      <w:lvlText w:val="(%1)"/>
      <w:numFmt w:val="lowerLetter"/>
      <w:start w:val="23"/>
    </w:lvl>
  </w:abstractNum>
  <w:abstractNum w:abstractNumId="13">
    <w:nsid w:val="5E884ADC"/>
    <w:multiLevelType w:val="hybridMultilevel"/>
    <w:lvl w:ilvl="0">
      <w:lvlJc w:val="left"/>
      <w:lvlText w:val="(%1)"/>
      <w:numFmt w:val="lowerLetter"/>
      <w:start w:val="27"/>
    </w:lvl>
  </w:abstractNum>
  <w:abstractNum w:abstractNumId="14">
    <w:nsid w:val="51EAD36B"/>
    <w:multiLevelType w:val="hybridMultilevel"/>
    <w:lvl w:ilvl="0">
      <w:lvlJc w:val="left"/>
      <w:lvlText w:val="(%1)"/>
      <w:numFmt w:val="lowerLetter"/>
      <w:start w:val="35"/>
    </w:lvl>
    <w:lvl w:ilvl="1">
      <w:lvlJc w:val="left"/>
      <w:lvlText w:val="(%2)"/>
      <w:numFmt w:val="lowerLetter"/>
      <w:start w:val="28"/>
    </w:lvl>
  </w:abstractNum>
  <w:abstractNum w:abstractNumId="15">
    <w:nsid w:val="2D517796"/>
    <w:multiLevelType w:val="hybridMultilevel"/>
    <w:lvl w:ilvl="0">
      <w:lvlJc w:val="left"/>
      <w:lvlText w:val="%1"/>
      <w:numFmt w:val="lowerLetter"/>
      <w:start w:val="1"/>
    </w:lvl>
    <w:lvl w:ilvl="1">
      <w:lvlJc w:val="left"/>
      <w:lvlText w:val="(%2)"/>
      <w:numFmt w:val="lowerLetter"/>
      <w:start w:val="33"/>
    </w:lvl>
  </w:abstractNum>
  <w:abstractNum w:abstractNumId="16">
    <w:nsid w:val="580BD78F"/>
    <w:multiLevelType w:val="hybridMultilevel"/>
    <w:lvl w:ilvl="0">
      <w:lvlJc w:val="left"/>
      <w:lvlText w:val="(%1)"/>
      <w:numFmt w:val="lowerLetter"/>
      <w:start w:val="9"/>
    </w:lvl>
    <w:lvl w:ilvl="1">
      <w:lvlJc w:val="left"/>
      <w:lvlText w:val="(%2)"/>
      <w:numFmt w:val="lowerLetter"/>
      <w:start w:val="34"/>
    </w:lvl>
  </w:abstractNum>
  <w:abstractNum w:abstractNumId="17">
    <w:nsid w:val="153EA438"/>
    <w:multiLevelType w:val="hybridMultilevel"/>
    <w:lvl w:ilvl="0">
      <w:lvlJc w:val="left"/>
      <w:lvlText w:val="%1"/>
      <w:numFmt w:val="lowerLetter"/>
      <w:start w:val="1"/>
    </w:lvl>
    <w:lvl w:ilvl="1">
      <w:lvlJc w:val="left"/>
      <w:lvlText w:val="(%2)"/>
      <w:numFmt w:val="lowerLetter"/>
      <w:start w:val="37"/>
    </w:lvl>
  </w:abstractNum>
  <w:abstractNum w:abstractNumId="18">
    <w:nsid w:val="3855585C"/>
    <w:multiLevelType w:val="hybridMultilevel"/>
    <w:lvl w:ilvl="0">
      <w:lvlJc w:val="left"/>
      <w:lvlText w:val="(%1)"/>
      <w:numFmt w:val="lowerLetter"/>
      <w:start w:val="61"/>
    </w:lvl>
    <w:lvl w:ilvl="1">
      <w:lvlJc w:val="left"/>
      <w:lvlText w:val="(%2)"/>
      <w:numFmt w:val="lowerLetter"/>
      <w:start w:val="39"/>
    </w:lvl>
  </w:abstractNum>
  <w:abstractNum w:abstractNumId="19">
    <w:nsid w:val="70A64E2A"/>
    <w:multiLevelType w:val="hybridMultilevel"/>
    <w:lvl w:ilvl="0">
      <w:lvlJc w:val="left"/>
      <w:lvlText w:val="(%1)"/>
      <w:numFmt w:val="lowerLetter"/>
      <w:start w:val="41"/>
    </w:lvl>
  </w:abstractNum>
  <w:abstractNum w:abstractNumId="20">
    <w:nsid w:val="6A2342EC"/>
    <w:multiLevelType w:val="hybridMultilevel"/>
    <w:lvl w:ilvl="0">
      <w:lvlJc w:val="left"/>
      <w:lvlText w:val="(%1)"/>
      <w:numFmt w:val="lowerLetter"/>
      <w:start w:val="45"/>
    </w:lvl>
  </w:abstractNum>
  <w:abstractNum w:abstractNumId="21">
    <w:nsid w:val="2A487CB0"/>
    <w:multiLevelType w:val="hybridMultilevel"/>
    <w:lvl w:ilvl="0">
      <w:lvlJc w:val="left"/>
      <w:lvlText w:val="(%1)"/>
      <w:numFmt w:val="lowerLetter"/>
      <w:start w:val="46"/>
    </w:lvl>
  </w:abstractNum>
  <w:abstractNum w:abstractNumId="22">
    <w:nsid w:val="1D4ED43B"/>
    <w:multiLevelType w:val="hybridMultilevel"/>
    <w:lvl w:ilvl="0">
      <w:lvlJc w:val="left"/>
      <w:lvlText w:val="(%1)"/>
      <w:numFmt w:val="lowerLetter"/>
      <w:start w:val="1"/>
    </w:lvl>
  </w:abstractNum>
  <w:abstractNum w:abstractNumId="23">
    <w:nsid w:val="725A06FB"/>
    <w:multiLevelType w:val="hybridMultilevel"/>
    <w:lvl w:ilvl="0">
      <w:lvlJc w:val="left"/>
      <w:lvlText w:val="%1"/>
      <w:numFmt w:val="upperLetter"/>
      <w:start w:val="1"/>
    </w:lvl>
    <w:lvl w:ilvl="1">
      <w:lvlJc w:val="left"/>
      <w:lvlText w:val="(%2)"/>
      <w:numFmt w:val="lowerRoman"/>
      <w:start w:val="1"/>
    </w:lvl>
  </w:abstractNum>
  <w:abstractNum w:abstractNumId="24">
    <w:nsid w:val="2CD89A32"/>
    <w:multiLevelType w:val="hybridMultilevel"/>
    <w:lvl w:ilvl="0">
      <w:lvlJc w:val="left"/>
      <w:lvlText w:val="(%1)"/>
      <w:numFmt w:val="upperLetter"/>
      <w:start w:val="9"/>
    </w:lvl>
    <w:lvl w:ilvl="1">
      <w:lvlJc w:val="left"/>
      <w:lvlText w:val="(%2)"/>
      <w:numFmt w:val="lowerRoman"/>
      <w:start w:val="2"/>
    </w:lvl>
  </w:abstractNum>
  <w:abstractNum w:abstractNumId="25">
    <w:nsid w:val="57E4CCAF"/>
    <w:multiLevelType w:val="hybridMultilevel"/>
    <w:lvl w:ilvl="0">
      <w:lvlJc w:val="left"/>
      <w:lvlText w:val="(%1)"/>
      <w:numFmt w:val="upperLetter"/>
      <w:start w:val="2"/>
    </w:lvl>
  </w:abstractNum>
  <w:abstractNum w:abstractNumId="26">
    <w:nsid w:val="7A6D8D3C"/>
    <w:multiLevelType w:val="hybridMultilevel"/>
    <w:lvl w:ilvl="0">
      <w:lvlJc w:val="left"/>
      <w:lvlText w:val="(%1)"/>
      <w:numFmt w:val="lowerRoman"/>
      <w:start w:val="4"/>
    </w:lvl>
  </w:abstractNum>
  <w:abstractNum w:abstractNumId="27">
    <w:nsid w:val="4B588F54"/>
    <w:multiLevelType w:val="hybridMultilevel"/>
    <w:lvl w:ilvl="0">
      <w:lvlJc w:val="left"/>
      <w:lvlText w:val="(%1)"/>
      <w:numFmt w:val="lowerLetter"/>
      <w:start w:val="3"/>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1)"/>
      <w:numFmt w:val="lowerLetter"/>
      <w:start w:val="4"/>
    </w:lvl>
  </w:abstractNum>
  <w:abstractNum w:abstractNumId="30">
    <w:nsid w:val="38437FDB"/>
    <w:multiLevelType w:val="hybridMultilevel"/>
    <w:lvl w:ilvl="0">
      <w:lvlJc w:val="left"/>
      <w:lvlText w:val="(%1)"/>
      <w:numFmt w:val="lowerLetter"/>
      <w:start w:val="7"/>
    </w:lvl>
  </w:abstractNum>
  <w:abstractNum w:abstractNumId="31">
    <w:nsid w:val="7644A45C"/>
    <w:multiLevelType w:val="hybridMultilevel"/>
    <w:lvl w:ilvl="0">
      <w:lvlJc w:val="left"/>
      <w:lvlText w:val="(%1)"/>
      <w:numFmt w:val="lowerLetter"/>
      <w:start w:val="10"/>
    </w:lvl>
    <w:lvl w:ilvl="1">
      <w:lvlJc w:val="left"/>
      <w:lvlText w:val="(%2)"/>
      <w:numFmt w:val="upperLetter"/>
      <w:start w:val="1"/>
    </w:lvl>
  </w:abstractNum>
  <w:abstractNum w:abstractNumId="32">
    <w:nsid w:val="32FFF902"/>
    <w:multiLevelType w:val="hybridMultilevel"/>
    <w:lvl w:ilvl="0">
      <w:lvlJc w:val="left"/>
      <w:lvlText w:val="(%1)"/>
      <w:numFmt w:val="upperLetter"/>
      <w:start w:val="2"/>
    </w:lvl>
  </w:abstractNum>
  <w:abstractNum w:abstractNumId="33">
    <w:nsid w:val="684A481A"/>
    <w:multiLevelType w:val="hybridMultilevel"/>
    <w:lvl w:ilvl="0">
      <w:lvlJc w:val="left"/>
      <w:lvlText w:val="(%1)"/>
      <w:numFmt w:val="upperLetter"/>
      <w:start w:val="3"/>
    </w:lvl>
    <w:lvl w:ilvl="1">
      <w:lvlJc w:val="left"/>
      <w:lvlText w:val="(%2)"/>
      <w:numFmt w:val="lowerLetter"/>
      <w:start w:val="16"/>
    </w:lvl>
  </w:abstractNum>
  <w:abstractNum w:abstractNumId="34">
    <w:nsid w:val="579478FE"/>
    <w:multiLevelType w:val="hybridMultilevel"/>
    <w:lvl w:ilvl="0">
      <w:lvlJc w:val="left"/>
      <w:lvlText w:val="(%1)"/>
      <w:numFmt w:val="lowerLetter"/>
      <w:start w:val="17"/>
    </w:lvl>
  </w:abstractNum>
  <w:abstractNum w:abstractNumId="35">
    <w:nsid w:val="749ABB43"/>
    <w:multiLevelType w:val="hybridMultilevel"/>
    <w:lvl w:ilvl="0">
      <w:lvlJc w:val="left"/>
      <w:lvlText w:val="(%1)"/>
      <w:numFmt w:val="lowerLetter"/>
      <w:start w:val="21"/>
    </w:lvl>
  </w:abstractNum>
  <w:abstractNum w:abstractNumId="36">
    <w:nsid w:val="3DC240FB"/>
    <w:multiLevelType w:val="hybridMultilevel"/>
    <w:lvl w:ilvl="0">
      <w:lvlJc w:val="left"/>
      <w:lvlText w:val="(%1)"/>
      <w:numFmt w:val="lowerLetter"/>
      <w:start w:val="1"/>
    </w:lvl>
    <w:lvl w:ilvl="1">
      <w:lvlJc w:val="left"/>
      <w:lvlText w:val="%2"/>
      <w:numFmt w:val="lowerLetter"/>
      <w:start w:val="1"/>
    </w:lvl>
  </w:abstractNum>
  <w:abstractNum w:abstractNumId="37">
    <w:nsid w:val="1BA026FA"/>
    <w:multiLevelType w:val="hybridMultilevel"/>
    <w:lvl w:ilvl="0">
      <w:lvlJc w:val="left"/>
      <w:lvlText w:val="(%1)"/>
      <w:numFmt w:val="lowerLetter"/>
      <w:start w:val="9"/>
    </w:lvl>
    <w:lvl w:ilvl="1">
      <w:lvlJc w:val="left"/>
      <w:lvlText w:val="%2"/>
      <w:numFmt w:val="lowerLetter"/>
      <w:start w:val="1"/>
    </w:lvl>
  </w:abstractNum>
  <w:abstractNum w:abstractNumId="38">
    <w:nsid w:val="79A1DEAA"/>
    <w:multiLevelType w:val="hybridMultilevel"/>
    <w:lvl w:ilvl="0">
      <w:lvlJc w:val="left"/>
      <w:lvlText w:val="(%1)"/>
      <w:numFmt w:val="lowerRoman"/>
      <w:start w:val="2"/>
    </w:lvl>
  </w:abstractNum>
  <w:abstractNum w:abstractNumId="39">
    <w:nsid w:val="75C6C33A"/>
    <w:multiLevelType w:val="hybridMultilevel"/>
    <w:lvl w:ilvl="0">
      <w:lvlJc w:val="left"/>
      <w:lvlText w:val="(%1)"/>
      <w:numFmt w:val="lowerLetter"/>
      <w:start w:val="2"/>
    </w:lvl>
  </w:abstractNum>
  <w:abstractNum w:abstractNumId="40">
    <w:nsid w:val="12E685FB"/>
    <w:multiLevelType w:val="hybridMultilevel"/>
    <w:lvl w:ilvl="0">
      <w:lvlJc w:val="left"/>
      <w:lvlText w:val="%1"/>
      <w:numFmt w:val="lowerLetter"/>
      <w:start w:val="1"/>
    </w:lvl>
    <w:lvl w:ilvl="1">
      <w:lvlJc w:val="left"/>
      <w:lvlText w:val="(%2)"/>
      <w:numFmt w:val="lowerLetter"/>
      <w:start w:val="1"/>
    </w:lvl>
  </w:abstractNum>
  <w:abstractNum w:abstractNumId="41">
    <w:nsid w:val="70C6A529"/>
    <w:multiLevelType w:val="hybridMultilevel"/>
    <w:lvl w:ilvl="0">
      <w:lvlJc w:val="left"/>
      <w:lvlText w:val="(%1)"/>
      <w:numFmt w:val="lowerLetter"/>
      <w:start w:val="35"/>
    </w:lvl>
    <w:lvl w:ilvl="1">
      <w:lvlJc w:val="left"/>
      <w:lvlText w:val="%2"/>
      <w:numFmt w:val="lowerLetter"/>
      <w:start w:val="1"/>
    </w:lvl>
  </w:abstractNum>
  <w:abstractNum w:abstractNumId="42">
    <w:nsid w:val="520EEDD1"/>
    <w:multiLevelType w:val="hybridMultilevel"/>
    <w:lvl w:ilvl="0">
      <w:lvlJc w:val="left"/>
      <w:lvlText w:val="(%1)"/>
      <w:numFmt w:val="lowerLetter"/>
      <w:start w:val="2"/>
    </w:lvl>
  </w:abstractNum>
  <w:abstractNum w:abstractNumId="43">
    <w:nsid w:val="374A3FE6"/>
    <w:multiLevelType w:val="hybridMultilevel"/>
    <w:lvl w:ilvl="0">
      <w:lvlJc w:val="left"/>
      <w:lvlText w:val="%1"/>
      <w:numFmt w:val="lowerLetter"/>
      <w:start w:val="1"/>
    </w:lvl>
    <w:lvl w:ilvl="1">
      <w:lvlJc w:val="left"/>
      <w:lvlText w:val="(%2)"/>
      <w:numFmt w:val="lowerLetter"/>
      <w:start w:val="3"/>
    </w:lvl>
  </w:abstractNum>
  <w:abstractNum w:abstractNumId="44">
    <w:nsid w:val="4F4EF005"/>
    <w:multiLevelType w:val="hybridMultilevel"/>
    <w:lvl w:ilvl="0">
      <w:lvlJc w:val="left"/>
      <w:lvlText w:val="(%1)"/>
      <w:numFmt w:val="lowerLetter"/>
      <w:start w:val="9"/>
    </w:lvl>
    <w:lvl w:ilvl="1">
      <w:lvlJc w:val="left"/>
      <w:lvlText w:val="%2"/>
      <w:numFmt w:val="lowerLetter"/>
      <w:start w:val="1"/>
    </w:lvl>
  </w:abstractNum>
  <w:abstractNum w:abstractNumId="45">
    <w:nsid w:val="23F9C13C"/>
    <w:multiLevelType w:val="hybridMultilevel"/>
    <w:lvl w:ilvl="0">
      <w:lvlJc w:val="left"/>
      <w:lvlText w:val="(%1)"/>
      <w:numFmt w:val="lowerLetter"/>
      <w:start w:val="4"/>
    </w:lvl>
  </w:abstractNum>
  <w:abstractNum w:abstractNumId="46">
    <w:nsid w:val="649BB77C"/>
    <w:multiLevelType w:val="hybridMultilevel"/>
    <w:lvl w:ilvl="0">
      <w:lvlJc w:val="left"/>
      <w:lvlText w:val="(%1)"/>
      <w:numFmt w:val="lowerLetter"/>
      <w:start w:val="1"/>
    </w:lvl>
    <w:lvl w:ilvl="1">
      <w:lvlJc w:val="left"/>
      <w:lvlText w:val="(%2)"/>
      <w:numFmt w:val="lowerRoman"/>
      <w:start w:val="1"/>
    </w:lvl>
  </w:abstractNum>
  <w:abstractNum w:abstractNumId="47">
    <w:nsid w:val="275AC794"/>
    <w:multiLevelType w:val="hybridMultilevel"/>
    <w:lvl w:ilvl="0">
      <w:lvlJc w:val="left"/>
      <w:lvlText w:val="(%1)"/>
      <w:numFmt w:val="lowerLetter"/>
      <w:start w:val="1"/>
    </w:lvl>
  </w:abstractNum>
  <w:abstractNum w:abstractNumId="48">
    <w:nsid w:val="39386575"/>
    <w:multiLevelType w:val="hybridMultilevel"/>
    <w:lvl w:ilvl="0">
      <w:lvlJc w:val="left"/>
      <w:lvlText w:val="%1"/>
      <w:numFmt w:val="lowerRoman"/>
      <w:start w:val="1"/>
    </w:lvl>
    <w:lvl w:ilvl="1">
      <w:lvlJc w:val="left"/>
      <w:lvlText w:val="(%2)"/>
      <w:numFmt w:val="lowerLetter"/>
      <w:start w:val="2"/>
    </w:lvl>
  </w:abstractNum>
  <w:abstractNum w:abstractNumId="49">
    <w:nsid w:val="1CF10FD8"/>
    <w:multiLevelType w:val="hybridMultilevel"/>
    <w:lvl w:ilvl="0">
      <w:lvlJc w:val="left"/>
      <w:lvlText w:val="(%1)"/>
      <w:numFmt w:val="lowerRoman"/>
      <w:start w:val="6"/>
    </w:lvl>
    <w:lvl w:ilvl="1">
      <w:lvlJc w:val="left"/>
      <w:lvlText w:val="(%2)"/>
      <w:numFmt w:val="lowerLetter"/>
      <w:start w:val="3"/>
    </w:lvl>
  </w:abstractNum>
  <w:abstractNum w:abstractNumId="50">
    <w:nsid w:val="180115BE"/>
    <w:multiLevelType w:val="hybridMultilevel"/>
    <w:lvl w:ilvl="0">
      <w:lvlJc w:val="left"/>
      <w:lvlText w:val="(%1)"/>
      <w:numFmt w:val="lowerLetter"/>
      <w:start w:val="5"/>
    </w:lvl>
  </w:abstractNum>
  <w:abstractNum w:abstractNumId="51">
    <w:nsid w:val="235BA861"/>
    <w:multiLevelType w:val="hybridMultilevel"/>
    <w:lvl w:ilvl="0">
      <w:lvlJc w:val="left"/>
      <w:lvlText w:val="(%1)"/>
      <w:numFmt w:val="lowerLetter"/>
      <w:start w:val="7"/>
    </w:lvl>
  </w:abstractNum>
  <w:abstractNum w:abstractNumId="52">
    <w:nsid w:val="47398C89"/>
    <w:multiLevelType w:val="hybridMultilevel"/>
    <w:lvl w:ilvl="0">
      <w:lvlJc w:val="left"/>
      <w:lvlText w:val="(%1)"/>
      <w:numFmt w:val="lowerRoman"/>
      <w:start w:val="1"/>
    </w:lvl>
  </w:abstractNum>
  <w:abstractNum w:abstractNumId="53">
    <w:nsid w:val="354FE9F9"/>
    <w:multiLevelType w:val="hybridMultilevel"/>
    <w:lvl w:ilvl="0">
      <w:lvlJc w:val="left"/>
      <w:lvlText w:val="•"/>
      <w:numFmt w:val="bullet"/>
      <w:start w:val="1"/>
    </w:lvl>
    <w:lvl w:ilvl="1">
      <w:lvlJc w:val="left"/>
      <w:lvlText w:val="•"/>
      <w:numFmt w:val="bullet"/>
      <w:start w:val="1"/>
    </w:lvl>
  </w:abstractNum>
  <w:abstractNum w:abstractNumId="54">
    <w:nsid w:val="15B5AF5C"/>
    <w:multiLevelType w:val="hybridMultilevel"/>
    <w:lvl w:ilvl="0">
      <w:lvlJc w:val="left"/>
      <w:lvlText w:val="1"/>
      <w:numFmt w:val="bullet"/>
      <w:start w:val="1"/>
    </w:lvl>
  </w:abstractNum>
  <w:abstractNum w:abstractNumId="55">
    <w:nsid w:val="741226BB"/>
    <w:multiLevelType w:val="hybridMultilevel"/>
    <w:lvl w:ilvl="0">
      <w:lvlJc w:val="left"/>
      <w:lvlText w:val="2"/>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lvl w:ilvl="1">
      <w:lvlJc w:val="left"/>
      <w:lvlText w:val="•"/>
      <w:numFmt w:val="bullet"/>
      <w:start w:val="1"/>
    </w:lvl>
  </w:abstractNum>
  <w:abstractNum w:abstractNumId="58">
    <w:nsid w:val="3F6AB60F"/>
    <w:multiLevelType w:val="hybridMultilevel"/>
    <w:lvl w:ilvl="0">
      <w:lvlJc w:val="left"/>
      <w:lvlText w:val="3"/>
      <w:numFmt w:val="bullet"/>
      <w:start w:val="1"/>
    </w:lvl>
  </w:abstractNum>
  <w:abstractNum w:abstractNumId="59">
    <w:nsid w:val="61574095"/>
    <w:multiLevelType w:val="hybridMultilevel"/>
    <w:lvl w:ilvl="0">
      <w:lvlJc w:val="left"/>
      <w:lvlText w:val="4"/>
      <w:numFmt w:val="bullet"/>
      <w:start w:val="1"/>
    </w:lvl>
  </w:abstractNum>
  <w:abstractNum w:abstractNumId="60">
    <w:nsid w:val="7E0C57B1"/>
    <w:multiLevelType w:val="hybridMultilevel"/>
    <w:lvl w:ilvl="0">
      <w:lvlJc w:val="left"/>
      <w:lvlText w:val="5"/>
      <w:numFmt w:val="bullet"/>
      <w:start w:val="1"/>
    </w:lvl>
  </w:abstractNum>
  <w:abstractNum w:abstractNumId="61">
    <w:nsid w:val="77AE35EB"/>
    <w:multiLevelType w:val="hybridMultilevel"/>
    <w:lvl w:ilvl="0">
      <w:lvlJc w:val="left"/>
      <w:lvlText w:val="6"/>
      <w:numFmt w:val="bullet"/>
      <w:start w:val="1"/>
    </w:lvl>
  </w:abstractNum>
  <w:abstractNum w:abstractNumId="62">
    <w:nsid w:val="579BE4F1"/>
    <w:multiLevelType w:val="hybridMultilevel"/>
    <w:lvl w:ilvl="0">
      <w:lvlJc w:val="left"/>
      <w:lvlText w:val="7"/>
      <w:numFmt w:val="bullet"/>
      <w:start w:val="1"/>
    </w:lvl>
  </w:abstractNum>
  <w:abstractNum w:abstractNumId="63">
    <w:nsid w:val="310C50B3"/>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2024-06-20T07:17:33Z</dcterms:created>
  <dcterms:modified xsi:type="dcterms:W3CDTF">2024-06-20T07:17:33Z</dcterms:modified>
</cp:coreProperties>
</file>