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784396ds8.htm"/>
      <w:bookmarkStart w:id="1" w:name="ksd784396ds8"/>
      <w:bookmarkEnd w:id="0"/>
      <w:bookmarkEnd w:id="1"/>
      <w:r>
        <w:rPr>
          <w:rFonts w:ascii="Times New Roman" w:hAnsi="Times New Roman"/>
          <w:b/>
          <w:sz w:val="20"/>
        </w:rPr>
        <w:t xml:space="preserve">As filed with the U.S. Securities and Exchange Commission on March 19, 2024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Tempest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45-1472564</w:t>
            </w:r>
          </w:p>
        </w:tc>
      </w:tr>
      <w:tr>
        <w:trPr/>
        <w:tc>
          <w:tcPr>
            <w:tcW w:w="5153" w:type="dxa"/>
            <w:tcBorders/>
          </w:tcPr>
          <w:p>
            <w:pPr>
              <w:pStyle w:val="TableContents"/>
              <w:bidi w:val="0"/>
              <w:spacing w:before="0" w:after="283"/>
              <w:jc w:val="center"/>
              <w:rPr>
                <w:b/>
              </w:rPr>
            </w:pPr>
            <w:r>
              <w:rPr>
                <w:b/>
              </w:rPr>
              <w:t>(State or other jurisdiction of</w:t>
              <w:b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2000 Sierra Point Parkway, 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Brisbane, California 94005 </w:t>
      </w:r>
    </w:p>
    <w:p>
      <w:pPr>
        <w:pStyle w:val="TextBody"/>
        <w:bidi w:val="0"/>
        <w:spacing w:before="0" w:after="0"/>
        <w:jc w:val="center"/>
        <w:rPr>
          <w:rFonts w:ascii="Times New Roman" w:hAnsi="Times New Roman"/>
          <w:b/>
          <w:sz w:val="20"/>
        </w:rPr>
      </w:pPr>
      <w:r>
        <w:rPr>
          <w:rFonts w:ascii="Times New Roman" w:hAnsi="Times New Roman"/>
          <w:b/>
          <w:sz w:val="20"/>
        </w:rPr>
        <w:t xml:space="preserve">(415) 798-8589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Tempest Therapeutics, Inc. Amended and Restated 2023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Tempest Therapeutics, Inc. Amended and Restated 2019 Employee Stock Purchase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titles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Stephen Brady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Tempest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2000 Sierra Point Parkway, 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Brisbane, California 94005 </w:t>
      </w:r>
    </w:p>
    <w:p>
      <w:pPr>
        <w:pStyle w:val="TextBody"/>
        <w:bidi w:val="0"/>
        <w:spacing w:before="0" w:after="0"/>
        <w:jc w:val="center"/>
        <w:rPr>
          <w:rFonts w:ascii="Times New Roman" w:hAnsi="Times New Roman"/>
          <w:b/>
          <w:sz w:val="20"/>
        </w:rPr>
      </w:pPr>
      <w:r>
        <w:rPr>
          <w:rFonts w:ascii="Times New Roman" w:hAnsi="Times New Roman"/>
          <w:b/>
          <w:sz w:val="20"/>
        </w:rPr>
        <w:t xml:space="preserve">(415) 798-8589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Laura Berezin </w:t>
      </w:r>
    </w:p>
    <w:p>
      <w:pPr>
        <w:pStyle w:val="TextBody"/>
        <w:bidi w:val="0"/>
        <w:spacing w:before="0" w:after="0"/>
        <w:jc w:val="center"/>
        <w:rPr>
          <w:rFonts w:ascii="Times New Roman" w:hAnsi="Times New Roman"/>
          <w:b/>
          <w:sz w:val="20"/>
        </w:rPr>
      </w:pPr>
      <w:r>
        <w:rPr>
          <w:rFonts w:ascii="Times New Roman" w:hAnsi="Times New Roman"/>
          <w:b/>
          <w:sz w:val="20"/>
        </w:rPr>
        <w:t xml:space="preserve">Jaime Chase </w:t>
      </w:r>
    </w:p>
    <w:p>
      <w:pPr>
        <w:pStyle w:val="TextBody"/>
        <w:bidi w:val="0"/>
        <w:spacing w:before="0" w:after="0"/>
        <w:jc w:val="center"/>
        <w:rPr>
          <w:rFonts w:ascii="Times New Roman" w:hAnsi="Times New Roman"/>
          <w:b/>
          <w:sz w:val="20"/>
        </w:rPr>
      </w:pPr>
      <w:r>
        <w:rPr>
          <w:rFonts w:ascii="Times New Roman" w:hAnsi="Times New Roman"/>
          <w:b/>
          <w:sz w:val="20"/>
        </w:rPr>
        <w:t xml:space="preserve">Cooley LLP </w:t>
      </w:r>
    </w:p>
    <w:p>
      <w:pPr>
        <w:pStyle w:val="TextBody"/>
        <w:bidi w:val="0"/>
        <w:spacing w:before="0" w:after="0"/>
        <w:jc w:val="center"/>
        <w:rPr>
          <w:rFonts w:ascii="Times New Roman" w:hAnsi="Times New Roman"/>
          <w:b/>
          <w:sz w:val="20"/>
        </w:rPr>
      </w:pPr>
      <w:r>
        <w:rPr>
          <w:rFonts w:ascii="Times New Roman" w:hAnsi="Times New Roman"/>
          <w:b/>
          <w:sz w:val="20"/>
        </w:rPr>
        <w:t xml:space="preserve">1700 Seventh Avenue, Suite 1900 </w:t>
      </w:r>
    </w:p>
    <w:p>
      <w:pPr>
        <w:pStyle w:val="TextBody"/>
        <w:bidi w:val="0"/>
        <w:spacing w:before="0" w:after="0"/>
        <w:jc w:val="center"/>
        <w:rPr>
          <w:rFonts w:ascii="Times New Roman" w:hAnsi="Times New Roman"/>
          <w:b/>
          <w:sz w:val="20"/>
        </w:rPr>
      </w:pPr>
      <w:r>
        <w:rPr>
          <w:rFonts w:ascii="Times New Roman" w:hAnsi="Times New Roman"/>
          <w:b/>
          <w:sz w:val="20"/>
        </w:rPr>
        <w:t xml:space="preserve">Seattle, Washington 98101 </w:t>
      </w:r>
    </w:p>
    <w:p>
      <w:pPr>
        <w:pStyle w:val="TextBody"/>
        <w:bidi w:val="0"/>
        <w:spacing w:before="0" w:after="0"/>
        <w:jc w:val="center"/>
        <w:rPr>
          <w:rFonts w:ascii="Times New Roman" w:hAnsi="Times New Roman"/>
          <w:b/>
          <w:sz w:val="20"/>
        </w:rPr>
      </w:pPr>
      <w:r>
        <w:rPr>
          <w:rFonts w:ascii="Times New Roman" w:hAnsi="Times New Roman"/>
          <w:b/>
          <w:sz w:val="20"/>
        </w:rPr>
        <w:t xml:space="preserve">(206) 452-8700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Tempest Therapeutics, Inc. (the Registrant) is filing this Registration Statement on Form S-8 for the purpose of registering an additional (a) 881,810 shares of its common stock, par value $0.001 per share (the Common Stock), issuable to eligible persons under the Registrants Amended and Restated 2023 Equity Incentive Plan (the 2023 Plan) pursuant to the provisions of the 2023 Plan providing for an automatic increase in the number of shares of Common Stock reserved and available for issuance under the 2023 Plan on January 1, 2024, and (b) an aggregate of 488,456 shares of Common Stock issuable to eligible persons under the Registrants Amended and Restated 2019 Employee Stock Purchase Plan (the 2019 ESPP) pursuant to the provisions of the 2019 ESPP providing for an automatic increase in the number of shares of Common Stock reserved and available for issuance under the 2019 ESPP on each of January 1, 2023 and January 1, 2024.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instructional note to Part I of Form S-8 as promulgated by the SEC, the information specified by Part I of the Form S-8 has been omitted from this Registration Statement.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Certain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filed by the Registrant with the SEC are incorporated by reference into this Registration Statement: </w:t>
      </w:r>
    </w:p>
    <w:p>
      <w:pPr>
        <w:pStyle w:val="TextBody"/>
        <w:bidi w:val="0"/>
        <w:spacing w:before="120" w:after="0"/>
        <w:jc w:val="left"/>
        <w:rPr/>
      </w:pPr>
      <w:r>
        <w:rPr>
          <w:rFonts w:ascii="Times New Roman" w:hAnsi="Times New Roman"/>
          <w:sz w:val="20"/>
        </w:rPr>
        <w:t xml:space="preserve">(a) the contents of the Registrants Registration Statements on Form S-8, previously filed with the SEC on December 16, 2019 (File No.  </w:t>
      </w:r>
      <w:hyperlink r:id="rId2">
        <w:r>
          <w:rPr>
            <w:rStyle w:val="InternetLink"/>
            <w:rFonts w:ascii="Times New Roman" w:hAnsi="Times New Roman"/>
            <w:sz w:val="20"/>
          </w:rPr>
          <w:t>333-235515</w:t>
        </w:r>
      </w:hyperlink>
      <w:r>
        <w:rPr>
          <w:rFonts w:ascii="Times New Roman" w:hAnsi="Times New Roman"/>
          <w:sz w:val="20"/>
        </w:rPr>
        <w:t xml:space="preserve">), November 10, 2020 (File No.  </w:t>
      </w:r>
      <w:hyperlink r:id="rId3">
        <w:r>
          <w:rPr>
            <w:rStyle w:val="InternetLink"/>
            <w:rFonts w:ascii="Times New Roman" w:hAnsi="Times New Roman"/>
            <w:sz w:val="20"/>
          </w:rPr>
          <w:t>333-249993</w:t>
        </w:r>
      </w:hyperlink>
      <w:r>
        <w:rPr>
          <w:rFonts w:ascii="Times New Roman" w:hAnsi="Times New Roman"/>
          <w:sz w:val="20"/>
        </w:rPr>
        <w:t xml:space="preserve">), April 15, 2021 (File No.  </w:t>
      </w:r>
      <w:hyperlink r:id="rId4">
        <w:r>
          <w:rPr>
            <w:rStyle w:val="InternetLink"/>
            <w:rFonts w:ascii="Times New Roman" w:hAnsi="Times New Roman"/>
            <w:sz w:val="20"/>
          </w:rPr>
          <w:t>333-255261</w:t>
        </w:r>
      </w:hyperlink>
      <w:r>
        <w:rPr>
          <w:rFonts w:ascii="Times New Roman" w:hAnsi="Times New Roman"/>
          <w:sz w:val="20"/>
        </w:rPr>
        <w:t xml:space="preserve">), May 13, 2022 (File No.  </w:t>
      </w:r>
      <w:hyperlink r:id="rId5">
        <w:r>
          <w:rPr>
            <w:rStyle w:val="InternetLink"/>
            <w:rFonts w:ascii="Times New Roman" w:hAnsi="Times New Roman"/>
            <w:sz w:val="20"/>
          </w:rPr>
          <w:t>333-264943</w:t>
        </w:r>
      </w:hyperlink>
      <w:r>
        <w:rPr>
          <w:rFonts w:ascii="Times New Roman" w:hAnsi="Times New Roman"/>
          <w:sz w:val="20"/>
        </w:rPr>
        <w:t xml:space="preserve">), June 21, 2022 (File No.  </w:t>
      </w:r>
      <w:hyperlink r:id="rId6">
        <w:r>
          <w:rPr>
            <w:rStyle w:val="InternetLink"/>
            <w:rFonts w:ascii="Times New Roman" w:hAnsi="Times New Roman"/>
            <w:sz w:val="20"/>
          </w:rPr>
          <w:t>333-265718</w:t>
        </w:r>
      </w:hyperlink>
      <w:r>
        <w:rPr>
          <w:rFonts w:ascii="Times New Roman" w:hAnsi="Times New Roman"/>
          <w:sz w:val="20"/>
        </w:rPr>
        <w:t xml:space="preserve">), each as amended by the Post-Effective Amendments to Form S-8 filed on November  17, 2023 (File Nos. </w:t>
      </w:r>
      <w:hyperlink r:id="rId7">
        <w:r>
          <w:rPr>
            <w:rStyle w:val="InternetLink"/>
            <w:rFonts w:ascii="Times New Roman" w:hAnsi="Times New Roman"/>
            <w:sz w:val="20"/>
          </w:rPr>
          <w:t>333-265718</w:t>
        </w:r>
      </w:hyperlink>
      <w:r>
        <w:rPr>
          <w:rFonts w:ascii="Times New Roman" w:hAnsi="Times New Roman"/>
          <w:sz w:val="20"/>
        </w:rPr>
        <w:t xml:space="preserve">, </w:t>
      </w:r>
      <w:hyperlink r:id="rId8">
        <w:r>
          <w:rPr>
            <w:rStyle w:val="InternetLink"/>
            <w:rFonts w:ascii="Times New Roman" w:hAnsi="Times New Roman"/>
            <w:sz w:val="20"/>
          </w:rPr>
          <w:t>333-264943</w:t>
        </w:r>
      </w:hyperlink>
      <w:r>
        <w:rPr>
          <w:rFonts w:ascii="Times New Roman" w:hAnsi="Times New Roman"/>
          <w:sz w:val="20"/>
        </w:rPr>
        <w:t xml:space="preserve">, </w:t>
      </w:r>
      <w:hyperlink r:id="rId9">
        <w:r>
          <w:rPr>
            <w:rStyle w:val="InternetLink"/>
            <w:rFonts w:ascii="Times New Roman" w:hAnsi="Times New Roman"/>
            <w:sz w:val="20"/>
          </w:rPr>
          <w:t>333-255261</w:t>
        </w:r>
      </w:hyperlink>
      <w:r>
        <w:rPr>
          <w:rFonts w:ascii="Times New Roman" w:hAnsi="Times New Roman"/>
          <w:sz w:val="20"/>
        </w:rPr>
        <w:t xml:space="preserve">, </w:t>
      </w:r>
      <w:hyperlink r:id="rId10">
        <w:r>
          <w:rPr>
            <w:rStyle w:val="InternetLink"/>
            <w:rFonts w:ascii="Times New Roman" w:hAnsi="Times New Roman"/>
            <w:sz w:val="20"/>
          </w:rPr>
          <w:t>333-249993</w:t>
        </w:r>
      </w:hyperlink>
      <w:r>
        <w:rPr>
          <w:rFonts w:ascii="Times New Roman" w:hAnsi="Times New Roman"/>
          <w:sz w:val="20"/>
        </w:rPr>
        <w:t xml:space="preserve"> and </w:t>
      </w:r>
      <w:hyperlink r:id="rId11">
        <w:r>
          <w:rPr>
            <w:rStyle w:val="InternetLink"/>
            <w:rFonts w:ascii="Times New Roman" w:hAnsi="Times New Roman"/>
            <w:sz w:val="20"/>
          </w:rPr>
          <w:t>333-235515</w:t>
        </w:r>
      </w:hyperlink>
      <w:r>
        <w:rPr>
          <w:rFonts w:ascii="Times New Roman" w:hAnsi="Times New Roman"/>
          <w:sz w:val="20"/>
        </w:rPr>
        <w:t>), and November 17, 2023 (File No. </w:t>
      </w:r>
      <w:hyperlink r:id="rId12">
        <w:r>
          <w:rPr>
            <w:rStyle w:val="InternetLink"/>
            <w:rFonts w:ascii="Times New Roman" w:hAnsi="Times New Roman"/>
            <w:sz w:val="20"/>
          </w:rPr>
          <w:t>333-275637</w:t>
        </w:r>
      </w:hyperlink>
      <w:r>
        <w:rPr>
          <w:rFonts w:ascii="Times New Roman" w:hAnsi="Times New Roman"/>
          <w:sz w:val="20"/>
        </w:rPr>
        <w:t xml:space="preserve">); </w:t>
      </w:r>
    </w:p>
    <w:p>
      <w:pPr>
        <w:pStyle w:val="TextBody"/>
        <w:bidi w:val="0"/>
        <w:spacing w:before="240" w:after="0"/>
        <w:jc w:val="left"/>
        <w:rPr/>
      </w:pPr>
      <w:r>
        <w:rPr>
          <w:rFonts w:ascii="Times New Roman" w:hAnsi="Times New Roman"/>
          <w:sz w:val="20"/>
        </w:rPr>
        <w:t xml:space="preserve">(b) the Registrants Annual Report on </w:t>
      </w:r>
      <w:hyperlink r:id="rId13">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March 19, 2024 (File No. 001-35890); and </w:t>
      </w:r>
    </w:p>
    <w:p>
      <w:pPr>
        <w:pStyle w:val="TextBody"/>
        <w:bidi w:val="0"/>
        <w:spacing w:before="240" w:after="0"/>
        <w:jc w:val="left"/>
        <w:rPr/>
      </w:pPr>
      <w:r>
        <w:rPr>
          <w:rFonts w:ascii="Times New Roman" w:hAnsi="Times New Roman"/>
          <w:sz w:val="20"/>
        </w:rPr>
        <w:t xml:space="preserve">(c) the description of the Common Stock set forth in the Registrants registration statement on </w:t>
      </w:r>
      <w:hyperlink r:id="rId14">
        <w:r>
          <w:rPr>
            <w:rStyle w:val="InternetLink"/>
            <w:rFonts w:ascii="Times New Roman" w:hAnsi="Times New Roman"/>
            <w:sz w:val="20"/>
          </w:rPr>
          <w:t>Form 8-A</w:t>
        </w:r>
      </w:hyperlink>
      <w:r>
        <w:rPr>
          <w:rFonts w:ascii="Times New Roman" w:hAnsi="Times New Roman"/>
          <w:sz w:val="20"/>
        </w:rPr>
        <w:t xml:space="preserve"> (File No. 001-35890), filed with the Commission on April 25, 2013, including any amendments thereto or reports filed for the purposes of updating this description, including </w:t>
      </w:r>
      <w:hyperlink r:id="rId15">
        <w:r>
          <w:rPr>
            <w:rStyle w:val="InternetLink"/>
            <w:rFonts w:ascii="Times New Roman" w:hAnsi="Times New Roman"/>
            <w:sz w:val="20"/>
          </w:rPr>
          <w:t>Exhibit 4.1</w:t>
        </w:r>
      </w:hyperlink>
      <w:r>
        <w:rPr>
          <w:rFonts w:ascii="Times New Roman" w:hAnsi="Times New Roman"/>
          <w:sz w:val="20"/>
        </w:rPr>
        <w:t xml:space="preserve"> to the Registrants Annual Report on Form 10-K for the fiscal year ended December 31, 2023 filed with the SEC on March 19, 2024. </w:t>
      </w:r>
    </w:p>
    <w:p>
      <w:pPr>
        <w:pStyle w:val="TextBody"/>
        <w:bidi w:val="0"/>
        <w:spacing w:before="240" w:after="0"/>
        <w:jc w:val="left"/>
        <w:rPr>
          <w:rFonts w:ascii="Times New Roman" w:hAnsi="Times New Roman"/>
          <w:sz w:val="20"/>
        </w:rPr>
      </w:pPr>
      <w:r>
        <w:rPr>
          <w:rFonts w:ascii="Times New Roman" w:hAnsi="Times New Roman"/>
          <w:sz w:val="20"/>
        </w:rPr>
        <w:t xml:space="preserve">All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4"/>
        <w:gridCol w:w="270"/>
        <w:gridCol w:w="4896"/>
        <w:gridCol w:w="207"/>
        <w:gridCol w:w="952"/>
        <w:gridCol w:w="207"/>
        <w:gridCol w:w="974"/>
        <w:gridCol w:w="207"/>
        <w:gridCol w:w="776"/>
        <w:gridCol w:w="207"/>
        <w:gridCol w:w="795"/>
      </w:tblGrid>
      <w:tr>
        <w:trPr/>
        <w:tc>
          <w:tcPr>
            <w:tcW w:w="714"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4896"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714"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489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116" w:type="dxa"/>
            <w:gridSpan w:val="5"/>
            <w:tcBorders>
              <w:bottom w:val="single" w:sz="8" w:space="0" w:color="000000"/>
            </w:tcBorders>
            <w:tcMar>
              <w:bottom w:w="28" w:type="dxa"/>
            </w:tcMar>
            <w:vAlign w:val="bottom"/>
          </w:tcPr>
          <w:p>
            <w:pPr>
              <w:pStyle w:val="TableContents"/>
              <w:bidi w:val="0"/>
              <w:spacing w:before="0" w:after="283"/>
              <w:jc w:val="center"/>
              <w:rPr>
                <w:b/>
              </w:rPr>
            </w:pPr>
            <w:r>
              <w:rPr>
                <w:b/>
              </w:rPr>
              <w:t>Incorporated by Reference</w:t>
            </w:r>
          </w:p>
        </w:tc>
        <w:tc>
          <w:tcPr>
            <w:tcW w:w="20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left"/>
              <w:rPr/>
            </w:pPr>
            <w:r>
              <w:rPr/>
              <w:t> </w:t>
            </w:r>
          </w:p>
        </w:tc>
      </w:tr>
      <w:tr>
        <w:trPr/>
        <w:tc>
          <w:tcPr>
            <w:tcW w:w="71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Exhibit </w:t>
              <w:br/>
              <w:t>Number</w:t>
            </w:r>
          </w:p>
        </w:tc>
        <w:tc>
          <w:tcPr>
            <w:tcW w:w="270" w:type="dxa"/>
            <w:tcBorders/>
            <w:vAlign w:val="bottom"/>
          </w:tcPr>
          <w:p>
            <w:pPr>
              <w:pStyle w:val="TableContents"/>
              <w:bidi w:val="0"/>
              <w:spacing w:before="0" w:after="283"/>
              <w:jc w:val="left"/>
              <w:rPr/>
            </w:pPr>
            <w:r>
              <w:rPr/>
              <w:t>  </w:t>
            </w:r>
          </w:p>
        </w:tc>
        <w:tc>
          <w:tcPr>
            <w:tcW w:w="489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c>
          <w:tcPr>
            <w:tcW w:w="207" w:type="dxa"/>
            <w:tcBorders/>
            <w:vAlign w:val="bottom"/>
          </w:tcPr>
          <w:p>
            <w:pPr>
              <w:pStyle w:val="TableContents"/>
              <w:bidi w:val="0"/>
              <w:spacing w:before="0" w:after="283"/>
              <w:jc w:val="left"/>
              <w:rPr/>
            </w:pPr>
            <w:r>
              <w:rPr/>
              <w:t>  </w:t>
            </w:r>
          </w:p>
        </w:tc>
        <w:tc>
          <w:tcPr>
            <w:tcW w:w="952" w:type="dxa"/>
            <w:tcBorders>
              <w:bottom w:val="single" w:sz="8" w:space="0" w:color="000000"/>
            </w:tcBorders>
            <w:tcMar>
              <w:bottom w:w="28" w:type="dxa"/>
            </w:tcMar>
            <w:vAlign w:val="bottom"/>
          </w:tcPr>
          <w:p>
            <w:pPr>
              <w:pStyle w:val="TableContents"/>
              <w:bidi w:val="0"/>
              <w:spacing w:before="0" w:after="283"/>
              <w:jc w:val="center"/>
              <w:rPr>
                <w:b/>
              </w:rPr>
            </w:pPr>
            <w:r>
              <w:rPr>
                <w:b/>
              </w:rPr>
              <w:t>Schedule</w:t>
              <w:br/>
              <w:t>Form</w:t>
            </w:r>
          </w:p>
        </w:tc>
        <w:tc>
          <w:tcPr>
            <w:tcW w:w="207" w:type="dxa"/>
            <w:tcBorders/>
            <w:vAlign w:val="bottom"/>
          </w:tcPr>
          <w:p>
            <w:pPr>
              <w:pStyle w:val="TableContents"/>
              <w:bidi w:val="0"/>
              <w:spacing w:before="0" w:after="283"/>
              <w:jc w:val="left"/>
              <w:rPr/>
            </w:pPr>
            <w:r>
              <w:rPr/>
              <w:t>  </w:t>
            </w:r>
          </w:p>
        </w:tc>
        <w:tc>
          <w:tcPr>
            <w:tcW w:w="974" w:type="dxa"/>
            <w:tcBorders>
              <w:bottom w:val="single" w:sz="8" w:space="0" w:color="000000"/>
            </w:tcBorders>
            <w:tcMar>
              <w:bottom w:w="28" w:type="dxa"/>
            </w:tcMar>
            <w:vAlign w:val="bottom"/>
          </w:tcPr>
          <w:p>
            <w:pPr>
              <w:pStyle w:val="TableContents"/>
              <w:bidi w:val="0"/>
              <w:spacing w:before="0" w:after="283"/>
              <w:jc w:val="center"/>
              <w:rPr>
                <w:b/>
              </w:rPr>
            </w:pPr>
            <w:r>
              <w:rPr>
                <w:b/>
              </w:rPr>
              <w:t>File</w:t>
              <w:br/>
              <w:t>Number</w:t>
            </w:r>
          </w:p>
        </w:tc>
        <w:tc>
          <w:tcPr>
            <w:tcW w:w="207" w:type="dxa"/>
            <w:tcBorders/>
            <w:vAlign w:val="bottom"/>
          </w:tcPr>
          <w:p>
            <w:pPr>
              <w:pStyle w:val="TableContents"/>
              <w:bidi w:val="0"/>
              <w:spacing w:before="0" w:after="283"/>
              <w:jc w:val="left"/>
              <w:rPr/>
            </w:pPr>
            <w:r>
              <w:rPr/>
              <w:t>  </w:t>
            </w:r>
          </w:p>
        </w:tc>
        <w:tc>
          <w:tcPr>
            <w:tcW w:w="776"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207" w:type="dxa"/>
            <w:tcBorders/>
            <w:vAlign w:val="bottom"/>
          </w:tcPr>
          <w:p>
            <w:pPr>
              <w:pStyle w:val="TableContents"/>
              <w:bidi w:val="0"/>
              <w:spacing w:before="0" w:after="283"/>
              <w:jc w:val="left"/>
              <w:rPr/>
            </w:pPr>
            <w:r>
              <w:rPr/>
              <w:t>  </w:t>
            </w:r>
          </w:p>
        </w:tc>
        <w:tc>
          <w:tcPr>
            <w:tcW w:w="795" w:type="dxa"/>
            <w:tcBorders>
              <w:bottom w:val="single" w:sz="8" w:space="0" w:color="000000"/>
            </w:tcBorders>
            <w:tcMar>
              <w:bottom w:w="28" w:type="dxa"/>
            </w:tcMar>
            <w:vAlign w:val="bottom"/>
          </w:tcPr>
          <w:p>
            <w:pPr>
              <w:pStyle w:val="TableContents"/>
              <w:bidi w:val="0"/>
              <w:spacing w:before="0" w:after="283"/>
              <w:jc w:val="center"/>
              <w:rPr>
                <w:b/>
              </w:rPr>
            </w:pPr>
            <w:r>
              <w:rPr>
                <w:b/>
              </w:rPr>
              <w:t>Filing</w:t>
              <w:br/>
              <w:t>Date</w:t>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1159"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pPr>
            <w:r>
              <w:rPr/>
              <w:t>  </w:t>
            </w:r>
            <w:r>
              <w:rPr/>
              <w:t>4.1</w:t>
            </w:r>
          </w:p>
        </w:tc>
        <w:tc>
          <w:tcPr>
            <w:tcW w:w="270"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hyperlink r:id="rId16">
              <w:r>
                <w:rPr>
                  <w:rStyle w:val="InternetLink"/>
                </w:rPr>
                <w:t>Restated Certificate of Incorporation of the Registrant, as amended</w:t>
              </w:r>
            </w:hyperlink>
          </w:p>
        </w:tc>
        <w:tc>
          <w:tcPr>
            <w:tcW w:w="207" w:type="dxa"/>
            <w:tcBorders/>
            <w:vAlign w:val="bottom"/>
          </w:tcPr>
          <w:p>
            <w:pPr>
              <w:pStyle w:val="TableContents"/>
              <w:bidi w:val="0"/>
              <w:spacing w:before="0" w:after="283"/>
              <w:jc w:val="left"/>
              <w:rPr/>
            </w:pPr>
            <w:r>
              <w:rPr/>
              <w:t>  </w:t>
            </w:r>
          </w:p>
        </w:tc>
        <w:tc>
          <w:tcPr>
            <w:tcW w:w="952" w:type="dxa"/>
            <w:tcBorders/>
          </w:tcPr>
          <w:p>
            <w:pPr>
              <w:pStyle w:val="TableContents"/>
              <w:bidi w:val="0"/>
              <w:spacing w:before="0" w:after="283"/>
              <w:jc w:val="center"/>
              <w:rPr/>
            </w:pPr>
            <w:r>
              <w:rPr/>
              <w:t>10-Q</w:t>
            </w:r>
          </w:p>
        </w:tc>
        <w:tc>
          <w:tcPr>
            <w:tcW w:w="207" w:type="dxa"/>
            <w:tcBorders/>
            <w:vAlign w:val="bottom"/>
          </w:tcPr>
          <w:p>
            <w:pPr>
              <w:pStyle w:val="TableContents"/>
              <w:bidi w:val="0"/>
              <w:spacing w:before="0" w:after="283"/>
              <w:jc w:val="left"/>
              <w:rPr/>
            </w:pPr>
            <w:r>
              <w:rPr/>
              <w:t>  </w:t>
            </w:r>
          </w:p>
        </w:tc>
        <w:tc>
          <w:tcPr>
            <w:tcW w:w="974" w:type="dxa"/>
            <w:tcBorders/>
          </w:tcPr>
          <w:p>
            <w:pPr>
              <w:pStyle w:val="TableContents"/>
              <w:bidi w:val="0"/>
              <w:spacing w:before="0" w:after="283"/>
              <w:jc w:val="center"/>
              <w:rPr/>
            </w:pPr>
            <w:r>
              <w:rPr/>
              <w:t>001-35890</w:t>
            </w:r>
          </w:p>
        </w:tc>
        <w:tc>
          <w:tcPr>
            <w:tcW w:w="207" w:type="dxa"/>
            <w:tcBorders/>
            <w:vAlign w:val="bottom"/>
          </w:tcPr>
          <w:p>
            <w:pPr>
              <w:pStyle w:val="TableContents"/>
              <w:bidi w:val="0"/>
              <w:spacing w:before="0" w:after="283"/>
              <w:jc w:val="left"/>
              <w:rPr/>
            </w:pPr>
            <w:r>
              <w:rPr/>
              <w:t>  </w:t>
            </w:r>
          </w:p>
        </w:tc>
        <w:tc>
          <w:tcPr>
            <w:tcW w:w="776" w:type="dxa"/>
            <w:tcBorders/>
          </w:tcPr>
          <w:p>
            <w:pPr>
              <w:pStyle w:val="TableContents"/>
              <w:bidi w:val="0"/>
              <w:spacing w:before="0" w:after="283"/>
              <w:jc w:val="center"/>
              <w:rPr/>
            </w:pPr>
            <w:r>
              <w:rPr/>
              <w:t>3.1</w:t>
            </w:r>
          </w:p>
        </w:tc>
        <w:tc>
          <w:tcPr>
            <w:tcW w:w="207" w:type="dxa"/>
            <w:tcBorders/>
            <w:vAlign w:val="bottom"/>
          </w:tcPr>
          <w:p>
            <w:pPr>
              <w:pStyle w:val="TableContents"/>
              <w:bidi w:val="0"/>
              <w:spacing w:before="0" w:after="283"/>
              <w:jc w:val="left"/>
              <w:rPr/>
            </w:pPr>
            <w:r>
              <w:rPr/>
              <w:t>  </w:t>
            </w:r>
          </w:p>
        </w:tc>
        <w:tc>
          <w:tcPr>
            <w:tcW w:w="795" w:type="dxa"/>
            <w:tcBorders/>
          </w:tcPr>
          <w:p>
            <w:pPr>
              <w:pStyle w:val="TableContents"/>
              <w:bidi w:val="0"/>
              <w:spacing w:before="0" w:after="283"/>
              <w:jc w:val="center"/>
              <w:rPr/>
            </w:pPr>
            <w:r>
              <w:rPr/>
              <w:t>5/15/2019</w:t>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1159"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pPr>
            <w:r>
              <w:rPr/>
              <w:t>  </w:t>
            </w:r>
            <w:r>
              <w:rPr/>
              <w:t>4.2</w:t>
            </w:r>
          </w:p>
        </w:tc>
        <w:tc>
          <w:tcPr>
            <w:tcW w:w="270"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hyperlink r:id="rId17">
              <w:r>
                <w:rPr>
                  <w:rStyle w:val="InternetLink"/>
                </w:rPr>
                <w:t>Certificate of Amendment to the Restated Certificate of Incorporation of the Company, as filed with the Secretary of State of the State of Delaware on June 24, 2021</w:t>
              </w:r>
            </w:hyperlink>
          </w:p>
        </w:tc>
        <w:tc>
          <w:tcPr>
            <w:tcW w:w="207" w:type="dxa"/>
            <w:tcBorders/>
            <w:vAlign w:val="bottom"/>
          </w:tcPr>
          <w:p>
            <w:pPr>
              <w:pStyle w:val="TableContents"/>
              <w:bidi w:val="0"/>
              <w:spacing w:before="0" w:after="283"/>
              <w:jc w:val="left"/>
              <w:rPr/>
            </w:pPr>
            <w:r>
              <w:rPr/>
              <w:t>  </w:t>
            </w:r>
          </w:p>
        </w:tc>
        <w:tc>
          <w:tcPr>
            <w:tcW w:w="952" w:type="dxa"/>
            <w:tcBorders/>
          </w:tcPr>
          <w:p>
            <w:pPr>
              <w:pStyle w:val="TableContents"/>
              <w:bidi w:val="0"/>
              <w:spacing w:before="0" w:after="283"/>
              <w:jc w:val="center"/>
              <w:rPr/>
            </w:pPr>
            <w:r>
              <w:rPr/>
              <w:t>8-K</w:t>
            </w:r>
          </w:p>
        </w:tc>
        <w:tc>
          <w:tcPr>
            <w:tcW w:w="207" w:type="dxa"/>
            <w:tcBorders/>
            <w:vAlign w:val="bottom"/>
          </w:tcPr>
          <w:p>
            <w:pPr>
              <w:pStyle w:val="TableContents"/>
              <w:bidi w:val="0"/>
              <w:spacing w:before="0" w:after="283"/>
              <w:jc w:val="left"/>
              <w:rPr/>
            </w:pPr>
            <w:r>
              <w:rPr/>
              <w:t>  </w:t>
            </w:r>
          </w:p>
        </w:tc>
        <w:tc>
          <w:tcPr>
            <w:tcW w:w="974" w:type="dxa"/>
            <w:tcBorders/>
          </w:tcPr>
          <w:p>
            <w:pPr>
              <w:pStyle w:val="TableContents"/>
              <w:bidi w:val="0"/>
              <w:spacing w:before="0" w:after="283"/>
              <w:jc w:val="center"/>
              <w:rPr/>
            </w:pPr>
            <w:r>
              <w:rPr/>
              <w:t>001-35890</w:t>
            </w:r>
          </w:p>
        </w:tc>
        <w:tc>
          <w:tcPr>
            <w:tcW w:w="207" w:type="dxa"/>
            <w:tcBorders/>
            <w:vAlign w:val="bottom"/>
          </w:tcPr>
          <w:p>
            <w:pPr>
              <w:pStyle w:val="TableContents"/>
              <w:bidi w:val="0"/>
              <w:spacing w:before="0" w:after="283"/>
              <w:jc w:val="left"/>
              <w:rPr/>
            </w:pPr>
            <w:r>
              <w:rPr/>
              <w:t>  </w:t>
            </w:r>
          </w:p>
        </w:tc>
        <w:tc>
          <w:tcPr>
            <w:tcW w:w="776" w:type="dxa"/>
            <w:tcBorders/>
          </w:tcPr>
          <w:p>
            <w:pPr>
              <w:pStyle w:val="TableContents"/>
              <w:bidi w:val="0"/>
              <w:spacing w:before="0" w:after="283"/>
              <w:jc w:val="center"/>
              <w:rPr/>
            </w:pPr>
            <w:r>
              <w:rPr/>
              <w:t>3.1</w:t>
            </w:r>
          </w:p>
        </w:tc>
        <w:tc>
          <w:tcPr>
            <w:tcW w:w="207" w:type="dxa"/>
            <w:tcBorders/>
            <w:vAlign w:val="bottom"/>
          </w:tcPr>
          <w:p>
            <w:pPr>
              <w:pStyle w:val="TableContents"/>
              <w:bidi w:val="0"/>
              <w:spacing w:before="0" w:after="283"/>
              <w:jc w:val="left"/>
              <w:rPr/>
            </w:pPr>
            <w:r>
              <w:rPr/>
              <w:t>  </w:t>
            </w:r>
          </w:p>
        </w:tc>
        <w:tc>
          <w:tcPr>
            <w:tcW w:w="795" w:type="dxa"/>
            <w:tcBorders/>
          </w:tcPr>
          <w:p>
            <w:pPr>
              <w:pStyle w:val="TableContents"/>
              <w:bidi w:val="0"/>
              <w:spacing w:before="0" w:after="283"/>
              <w:jc w:val="center"/>
              <w:rPr/>
            </w:pPr>
            <w:r>
              <w:rPr/>
              <w:t>6/28/2021</w:t>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1159"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pPr>
            <w:r>
              <w:rPr/>
              <w:t>  </w:t>
            </w:r>
            <w:r>
              <w:rPr/>
              <w:t>4.3</w:t>
            </w:r>
          </w:p>
        </w:tc>
        <w:tc>
          <w:tcPr>
            <w:tcW w:w="270"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hyperlink r:id="rId18">
              <w:r>
                <w:rPr>
                  <w:rStyle w:val="InternetLink"/>
                </w:rPr>
                <w:t>Certificate of Amendment to the Restated Certificate of Incorporation of the Company, as filed with the Secretary of State of the State of Delaware on June 25, 2021</w:t>
              </w:r>
            </w:hyperlink>
          </w:p>
        </w:tc>
        <w:tc>
          <w:tcPr>
            <w:tcW w:w="207" w:type="dxa"/>
            <w:tcBorders/>
            <w:vAlign w:val="bottom"/>
          </w:tcPr>
          <w:p>
            <w:pPr>
              <w:pStyle w:val="TableContents"/>
              <w:bidi w:val="0"/>
              <w:spacing w:before="0" w:after="283"/>
              <w:jc w:val="left"/>
              <w:rPr/>
            </w:pPr>
            <w:r>
              <w:rPr/>
              <w:t>  </w:t>
            </w:r>
          </w:p>
        </w:tc>
        <w:tc>
          <w:tcPr>
            <w:tcW w:w="952" w:type="dxa"/>
            <w:tcBorders/>
          </w:tcPr>
          <w:p>
            <w:pPr>
              <w:pStyle w:val="TableContents"/>
              <w:bidi w:val="0"/>
              <w:spacing w:before="0" w:after="283"/>
              <w:jc w:val="center"/>
              <w:rPr/>
            </w:pPr>
            <w:r>
              <w:rPr/>
              <w:t>8-K</w:t>
            </w:r>
          </w:p>
        </w:tc>
        <w:tc>
          <w:tcPr>
            <w:tcW w:w="207" w:type="dxa"/>
            <w:tcBorders/>
            <w:vAlign w:val="bottom"/>
          </w:tcPr>
          <w:p>
            <w:pPr>
              <w:pStyle w:val="TableContents"/>
              <w:bidi w:val="0"/>
              <w:spacing w:before="0" w:after="283"/>
              <w:jc w:val="left"/>
              <w:rPr/>
            </w:pPr>
            <w:r>
              <w:rPr/>
              <w:t>  </w:t>
            </w:r>
          </w:p>
        </w:tc>
        <w:tc>
          <w:tcPr>
            <w:tcW w:w="974" w:type="dxa"/>
            <w:tcBorders/>
          </w:tcPr>
          <w:p>
            <w:pPr>
              <w:pStyle w:val="TableContents"/>
              <w:bidi w:val="0"/>
              <w:spacing w:before="0" w:after="283"/>
              <w:jc w:val="center"/>
              <w:rPr/>
            </w:pPr>
            <w:r>
              <w:rPr/>
              <w:t>001-35890</w:t>
            </w:r>
          </w:p>
        </w:tc>
        <w:tc>
          <w:tcPr>
            <w:tcW w:w="207" w:type="dxa"/>
            <w:tcBorders/>
            <w:vAlign w:val="bottom"/>
          </w:tcPr>
          <w:p>
            <w:pPr>
              <w:pStyle w:val="TableContents"/>
              <w:bidi w:val="0"/>
              <w:spacing w:before="0" w:after="283"/>
              <w:jc w:val="left"/>
              <w:rPr/>
            </w:pPr>
            <w:r>
              <w:rPr/>
              <w:t>  </w:t>
            </w:r>
          </w:p>
        </w:tc>
        <w:tc>
          <w:tcPr>
            <w:tcW w:w="776" w:type="dxa"/>
            <w:tcBorders/>
          </w:tcPr>
          <w:p>
            <w:pPr>
              <w:pStyle w:val="TableContents"/>
              <w:bidi w:val="0"/>
              <w:spacing w:before="0" w:after="283"/>
              <w:jc w:val="center"/>
              <w:rPr/>
            </w:pPr>
            <w:r>
              <w:rPr/>
              <w:t>3.2</w:t>
            </w:r>
          </w:p>
        </w:tc>
        <w:tc>
          <w:tcPr>
            <w:tcW w:w="207" w:type="dxa"/>
            <w:tcBorders/>
            <w:vAlign w:val="bottom"/>
          </w:tcPr>
          <w:p>
            <w:pPr>
              <w:pStyle w:val="TableContents"/>
              <w:bidi w:val="0"/>
              <w:spacing w:before="0" w:after="283"/>
              <w:jc w:val="left"/>
              <w:rPr/>
            </w:pPr>
            <w:r>
              <w:rPr/>
              <w:t>  </w:t>
            </w:r>
          </w:p>
        </w:tc>
        <w:tc>
          <w:tcPr>
            <w:tcW w:w="795" w:type="dxa"/>
            <w:tcBorders/>
          </w:tcPr>
          <w:p>
            <w:pPr>
              <w:pStyle w:val="TableContents"/>
              <w:bidi w:val="0"/>
              <w:spacing w:before="0" w:after="283"/>
              <w:jc w:val="center"/>
              <w:rPr/>
            </w:pPr>
            <w:r>
              <w:rPr/>
              <w:t>6/28/2021</w:t>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1159"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pPr>
            <w:r>
              <w:rPr/>
              <w:t>  </w:t>
            </w:r>
            <w:r>
              <w:rPr/>
              <w:t>4.4</w:t>
            </w:r>
          </w:p>
        </w:tc>
        <w:tc>
          <w:tcPr>
            <w:tcW w:w="270"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hyperlink r:id="rId19">
              <w:r>
                <w:rPr>
                  <w:rStyle w:val="InternetLink"/>
                </w:rPr>
                <w:t>Certificate of Designation of Series A Junior Participating Preferred Stock, as filed with the Secretary of State of the State of Delaware on October 10, 2023</w:t>
              </w:r>
            </w:hyperlink>
          </w:p>
        </w:tc>
        <w:tc>
          <w:tcPr>
            <w:tcW w:w="207" w:type="dxa"/>
            <w:tcBorders/>
            <w:vAlign w:val="bottom"/>
          </w:tcPr>
          <w:p>
            <w:pPr>
              <w:pStyle w:val="TableContents"/>
              <w:bidi w:val="0"/>
              <w:spacing w:before="0" w:after="283"/>
              <w:jc w:val="left"/>
              <w:rPr/>
            </w:pPr>
            <w:r>
              <w:rPr/>
              <w:t>  </w:t>
            </w:r>
          </w:p>
        </w:tc>
        <w:tc>
          <w:tcPr>
            <w:tcW w:w="952" w:type="dxa"/>
            <w:tcBorders/>
          </w:tcPr>
          <w:p>
            <w:pPr>
              <w:pStyle w:val="TableContents"/>
              <w:bidi w:val="0"/>
              <w:spacing w:before="0" w:after="283"/>
              <w:jc w:val="center"/>
              <w:rPr/>
            </w:pPr>
            <w:r>
              <w:rPr/>
              <w:t>8-K</w:t>
            </w:r>
          </w:p>
        </w:tc>
        <w:tc>
          <w:tcPr>
            <w:tcW w:w="207" w:type="dxa"/>
            <w:tcBorders/>
            <w:vAlign w:val="bottom"/>
          </w:tcPr>
          <w:p>
            <w:pPr>
              <w:pStyle w:val="TableContents"/>
              <w:bidi w:val="0"/>
              <w:spacing w:before="0" w:after="283"/>
              <w:jc w:val="left"/>
              <w:rPr/>
            </w:pPr>
            <w:r>
              <w:rPr/>
              <w:t>  </w:t>
            </w:r>
          </w:p>
        </w:tc>
        <w:tc>
          <w:tcPr>
            <w:tcW w:w="974" w:type="dxa"/>
            <w:tcBorders/>
          </w:tcPr>
          <w:p>
            <w:pPr>
              <w:pStyle w:val="TableContents"/>
              <w:bidi w:val="0"/>
              <w:spacing w:before="0" w:after="283"/>
              <w:jc w:val="center"/>
              <w:rPr/>
            </w:pPr>
            <w:r>
              <w:rPr/>
              <w:t>001-35890</w:t>
            </w:r>
          </w:p>
        </w:tc>
        <w:tc>
          <w:tcPr>
            <w:tcW w:w="207" w:type="dxa"/>
            <w:tcBorders/>
            <w:vAlign w:val="bottom"/>
          </w:tcPr>
          <w:p>
            <w:pPr>
              <w:pStyle w:val="TableContents"/>
              <w:bidi w:val="0"/>
              <w:spacing w:before="0" w:after="283"/>
              <w:jc w:val="left"/>
              <w:rPr/>
            </w:pPr>
            <w:r>
              <w:rPr/>
              <w:t>  </w:t>
            </w:r>
          </w:p>
        </w:tc>
        <w:tc>
          <w:tcPr>
            <w:tcW w:w="776" w:type="dxa"/>
            <w:tcBorders/>
          </w:tcPr>
          <w:p>
            <w:pPr>
              <w:pStyle w:val="TableContents"/>
              <w:bidi w:val="0"/>
              <w:spacing w:before="0" w:after="283"/>
              <w:jc w:val="center"/>
              <w:rPr/>
            </w:pPr>
            <w:r>
              <w:rPr/>
              <w:t>3.1</w:t>
            </w:r>
          </w:p>
        </w:tc>
        <w:tc>
          <w:tcPr>
            <w:tcW w:w="207" w:type="dxa"/>
            <w:tcBorders/>
            <w:vAlign w:val="bottom"/>
          </w:tcPr>
          <w:p>
            <w:pPr>
              <w:pStyle w:val="TableContents"/>
              <w:bidi w:val="0"/>
              <w:spacing w:before="0" w:after="283"/>
              <w:jc w:val="left"/>
              <w:rPr/>
            </w:pPr>
            <w:r>
              <w:rPr/>
              <w:t>  </w:t>
            </w:r>
          </w:p>
        </w:tc>
        <w:tc>
          <w:tcPr>
            <w:tcW w:w="795" w:type="dxa"/>
            <w:tcBorders/>
          </w:tcPr>
          <w:p>
            <w:pPr>
              <w:pStyle w:val="TableContents"/>
              <w:bidi w:val="0"/>
              <w:spacing w:before="0" w:after="283"/>
              <w:jc w:val="center"/>
              <w:rPr/>
            </w:pPr>
            <w:r>
              <w:rPr/>
              <w:t>10/11/2023</w:t>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1159"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pPr>
            <w:r>
              <w:rPr/>
              <w:t>  </w:t>
            </w:r>
            <w:r>
              <w:rPr/>
              <w:t>4.5</w:t>
            </w:r>
          </w:p>
        </w:tc>
        <w:tc>
          <w:tcPr>
            <w:tcW w:w="270"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hyperlink r:id="rId20">
              <w:r>
                <w:rPr>
                  <w:rStyle w:val="InternetLink"/>
                </w:rPr>
                <w:t>Amended and Restated Bylaws of the Registrant</w:t>
              </w:r>
            </w:hyperlink>
          </w:p>
        </w:tc>
        <w:tc>
          <w:tcPr>
            <w:tcW w:w="207" w:type="dxa"/>
            <w:tcBorders/>
            <w:vAlign w:val="bottom"/>
          </w:tcPr>
          <w:p>
            <w:pPr>
              <w:pStyle w:val="TableContents"/>
              <w:bidi w:val="0"/>
              <w:spacing w:before="0" w:after="283"/>
              <w:jc w:val="left"/>
              <w:rPr/>
            </w:pPr>
            <w:r>
              <w:rPr/>
              <w:t>  </w:t>
            </w:r>
          </w:p>
        </w:tc>
        <w:tc>
          <w:tcPr>
            <w:tcW w:w="952" w:type="dxa"/>
            <w:tcBorders/>
          </w:tcPr>
          <w:p>
            <w:pPr>
              <w:pStyle w:val="TableContents"/>
              <w:bidi w:val="0"/>
              <w:spacing w:before="0" w:after="283"/>
              <w:jc w:val="center"/>
              <w:rPr/>
            </w:pPr>
            <w:r>
              <w:rPr/>
              <w:t>8-K</w:t>
            </w:r>
          </w:p>
        </w:tc>
        <w:tc>
          <w:tcPr>
            <w:tcW w:w="207" w:type="dxa"/>
            <w:tcBorders/>
            <w:vAlign w:val="bottom"/>
          </w:tcPr>
          <w:p>
            <w:pPr>
              <w:pStyle w:val="TableContents"/>
              <w:bidi w:val="0"/>
              <w:spacing w:before="0" w:after="283"/>
              <w:jc w:val="left"/>
              <w:rPr/>
            </w:pPr>
            <w:r>
              <w:rPr/>
              <w:t>  </w:t>
            </w:r>
          </w:p>
        </w:tc>
        <w:tc>
          <w:tcPr>
            <w:tcW w:w="974" w:type="dxa"/>
            <w:tcBorders/>
          </w:tcPr>
          <w:p>
            <w:pPr>
              <w:pStyle w:val="TableContents"/>
              <w:bidi w:val="0"/>
              <w:spacing w:before="0" w:after="283"/>
              <w:jc w:val="center"/>
              <w:rPr/>
            </w:pPr>
            <w:r>
              <w:rPr/>
              <w:t>001-35890</w:t>
            </w:r>
          </w:p>
        </w:tc>
        <w:tc>
          <w:tcPr>
            <w:tcW w:w="207" w:type="dxa"/>
            <w:tcBorders/>
            <w:vAlign w:val="bottom"/>
          </w:tcPr>
          <w:p>
            <w:pPr>
              <w:pStyle w:val="TableContents"/>
              <w:bidi w:val="0"/>
              <w:spacing w:before="0" w:after="283"/>
              <w:jc w:val="left"/>
              <w:rPr/>
            </w:pPr>
            <w:r>
              <w:rPr/>
              <w:t>  </w:t>
            </w:r>
          </w:p>
        </w:tc>
        <w:tc>
          <w:tcPr>
            <w:tcW w:w="776" w:type="dxa"/>
            <w:tcBorders/>
          </w:tcPr>
          <w:p>
            <w:pPr>
              <w:pStyle w:val="TableContents"/>
              <w:bidi w:val="0"/>
              <w:spacing w:before="0" w:after="283"/>
              <w:jc w:val="center"/>
              <w:rPr/>
            </w:pPr>
            <w:r>
              <w:rPr/>
              <w:t>3.1</w:t>
            </w:r>
          </w:p>
        </w:tc>
        <w:tc>
          <w:tcPr>
            <w:tcW w:w="207" w:type="dxa"/>
            <w:tcBorders/>
            <w:vAlign w:val="bottom"/>
          </w:tcPr>
          <w:p>
            <w:pPr>
              <w:pStyle w:val="TableContents"/>
              <w:bidi w:val="0"/>
              <w:spacing w:before="0" w:after="283"/>
              <w:jc w:val="left"/>
              <w:rPr/>
            </w:pPr>
            <w:r>
              <w:rPr/>
              <w:t>  </w:t>
            </w:r>
          </w:p>
        </w:tc>
        <w:tc>
          <w:tcPr>
            <w:tcW w:w="795" w:type="dxa"/>
            <w:tcBorders/>
          </w:tcPr>
          <w:p>
            <w:pPr>
              <w:pStyle w:val="TableContents"/>
              <w:bidi w:val="0"/>
              <w:spacing w:before="0" w:after="283"/>
              <w:jc w:val="center"/>
              <w:rPr/>
            </w:pPr>
            <w:r>
              <w:rPr/>
              <w:t>9/4/2021</w:t>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1159"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pPr>
            <w:r>
              <w:rPr/>
              <w:t>  </w:t>
            </w:r>
            <w:r>
              <w:rPr/>
              <w:t>4.6</w:t>
            </w:r>
          </w:p>
        </w:tc>
        <w:tc>
          <w:tcPr>
            <w:tcW w:w="270"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hyperlink r:id="rId21">
              <w:r>
                <w:rPr>
                  <w:rStyle w:val="InternetLink"/>
                </w:rPr>
                <w:t>Rights Agreement, dated as of October  10, 2023, between Tempest Therapeutics, Inc. and Computershare Trust Company, N.A., which includes the form of Certificate of Designation as Exhibit A, the form of Right Certificate as Exhibit B and the Summary of Rights to Purchase Preferred Shares as Exhibit C</w:t>
              </w:r>
            </w:hyperlink>
          </w:p>
        </w:tc>
        <w:tc>
          <w:tcPr>
            <w:tcW w:w="207" w:type="dxa"/>
            <w:tcBorders/>
            <w:vAlign w:val="bottom"/>
          </w:tcPr>
          <w:p>
            <w:pPr>
              <w:pStyle w:val="TableContents"/>
              <w:bidi w:val="0"/>
              <w:spacing w:before="0" w:after="283"/>
              <w:jc w:val="left"/>
              <w:rPr/>
            </w:pPr>
            <w:r>
              <w:rPr/>
              <w:t>  </w:t>
            </w:r>
          </w:p>
        </w:tc>
        <w:tc>
          <w:tcPr>
            <w:tcW w:w="952" w:type="dxa"/>
            <w:tcBorders/>
          </w:tcPr>
          <w:p>
            <w:pPr>
              <w:pStyle w:val="TableContents"/>
              <w:bidi w:val="0"/>
              <w:spacing w:before="0" w:after="283"/>
              <w:jc w:val="center"/>
              <w:rPr/>
            </w:pPr>
            <w:r>
              <w:rPr/>
              <w:t>8-K</w:t>
            </w:r>
          </w:p>
        </w:tc>
        <w:tc>
          <w:tcPr>
            <w:tcW w:w="207" w:type="dxa"/>
            <w:tcBorders/>
            <w:vAlign w:val="bottom"/>
          </w:tcPr>
          <w:p>
            <w:pPr>
              <w:pStyle w:val="TableContents"/>
              <w:bidi w:val="0"/>
              <w:spacing w:before="0" w:after="283"/>
              <w:jc w:val="left"/>
              <w:rPr/>
            </w:pPr>
            <w:r>
              <w:rPr/>
              <w:t>  </w:t>
            </w:r>
          </w:p>
        </w:tc>
        <w:tc>
          <w:tcPr>
            <w:tcW w:w="974" w:type="dxa"/>
            <w:tcBorders/>
          </w:tcPr>
          <w:p>
            <w:pPr>
              <w:pStyle w:val="TableContents"/>
              <w:bidi w:val="0"/>
              <w:spacing w:before="0" w:after="283"/>
              <w:jc w:val="center"/>
              <w:rPr/>
            </w:pPr>
            <w:r>
              <w:rPr/>
              <w:t>001-35890</w:t>
            </w:r>
          </w:p>
        </w:tc>
        <w:tc>
          <w:tcPr>
            <w:tcW w:w="207" w:type="dxa"/>
            <w:tcBorders/>
            <w:vAlign w:val="bottom"/>
          </w:tcPr>
          <w:p>
            <w:pPr>
              <w:pStyle w:val="TableContents"/>
              <w:bidi w:val="0"/>
              <w:spacing w:before="0" w:after="283"/>
              <w:jc w:val="left"/>
              <w:rPr/>
            </w:pPr>
            <w:r>
              <w:rPr/>
              <w:t>  </w:t>
            </w:r>
          </w:p>
        </w:tc>
        <w:tc>
          <w:tcPr>
            <w:tcW w:w="776" w:type="dxa"/>
            <w:tcBorders/>
          </w:tcPr>
          <w:p>
            <w:pPr>
              <w:pStyle w:val="TableContents"/>
              <w:bidi w:val="0"/>
              <w:spacing w:before="0" w:after="283"/>
              <w:jc w:val="center"/>
              <w:rPr/>
            </w:pPr>
            <w:r>
              <w:rPr/>
              <w:t>4.1</w:t>
            </w:r>
          </w:p>
        </w:tc>
        <w:tc>
          <w:tcPr>
            <w:tcW w:w="207" w:type="dxa"/>
            <w:tcBorders/>
            <w:vAlign w:val="bottom"/>
          </w:tcPr>
          <w:p>
            <w:pPr>
              <w:pStyle w:val="TableContents"/>
              <w:bidi w:val="0"/>
              <w:spacing w:before="0" w:after="283"/>
              <w:jc w:val="left"/>
              <w:rPr/>
            </w:pPr>
            <w:r>
              <w:rPr/>
              <w:t>  </w:t>
            </w:r>
          </w:p>
        </w:tc>
        <w:tc>
          <w:tcPr>
            <w:tcW w:w="795" w:type="dxa"/>
            <w:tcBorders/>
          </w:tcPr>
          <w:p>
            <w:pPr>
              <w:pStyle w:val="TableContents"/>
              <w:bidi w:val="0"/>
              <w:spacing w:before="0" w:after="283"/>
              <w:jc w:val="center"/>
              <w:rPr/>
            </w:pPr>
            <w:r>
              <w:rPr/>
              <w:t>10/11/2023</w:t>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1159"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pPr>
            <w:r>
              <w:rPr/>
              <w:t>  </w:t>
            </w:r>
            <w:r>
              <w:rPr/>
              <w:t>5.1*</w:t>
            </w:r>
          </w:p>
        </w:tc>
        <w:tc>
          <w:tcPr>
            <w:tcW w:w="270"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hyperlink w:anchor="d784396dex51.htm">
              <w:r>
                <w:rPr>
                  <w:rStyle w:val="InternetLink"/>
                </w:rPr>
                <w:t xml:space="preserve">Opinion of Cooley LLP </w:t>
              </w:r>
            </w:hyperlink>
          </w:p>
        </w:tc>
        <w:tc>
          <w:tcPr>
            <w:tcW w:w="207" w:type="dxa"/>
            <w:tcBorders/>
            <w:vAlign w:val="bottom"/>
          </w:tcPr>
          <w:p>
            <w:pPr>
              <w:pStyle w:val="TableContents"/>
              <w:bidi w:val="0"/>
              <w:spacing w:before="0" w:after="283"/>
              <w:jc w:val="left"/>
              <w:rPr/>
            </w:pPr>
            <w:r>
              <w:rPr/>
              <w:t>  </w:t>
            </w:r>
          </w:p>
        </w:tc>
        <w:tc>
          <w:tcPr>
            <w:tcW w:w="952" w:type="dxa"/>
            <w:tcBorders/>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974" w:type="dxa"/>
            <w:tcBorders/>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76" w:type="dxa"/>
            <w:tcBorders/>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95" w:type="dxa"/>
            <w:tcBorders/>
          </w:tcPr>
          <w:p>
            <w:pPr>
              <w:pStyle w:val="TableContents"/>
              <w:bidi w:val="0"/>
              <w:spacing w:before="0" w:after="283"/>
              <w:jc w:val="left"/>
              <w:rPr>
                <w:sz w:val="4"/>
                <w:szCs w:val="4"/>
              </w:rPr>
            </w:pPr>
            <w:r>
              <w:rPr>
                <w:sz w:val="4"/>
                <w:szCs w:val="4"/>
              </w:rPr>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1159"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pPr>
            <w:r>
              <w:rPr/>
              <w:t> </w:t>
            </w:r>
            <w:r>
              <w:rPr/>
              <w:t>23.1*</w:t>
            </w:r>
          </w:p>
        </w:tc>
        <w:tc>
          <w:tcPr>
            <w:tcW w:w="270"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hyperlink w:anchor="d784396dex51.htm">
              <w:r>
                <w:rPr>
                  <w:rStyle w:val="InternetLink"/>
                </w:rPr>
                <w:t xml:space="preserve">Consent of Cooley LLP (included in Exhibit 5.1). </w:t>
              </w:r>
            </w:hyperlink>
          </w:p>
        </w:tc>
        <w:tc>
          <w:tcPr>
            <w:tcW w:w="207" w:type="dxa"/>
            <w:tcBorders/>
            <w:vAlign w:val="bottom"/>
          </w:tcPr>
          <w:p>
            <w:pPr>
              <w:pStyle w:val="TableContents"/>
              <w:bidi w:val="0"/>
              <w:spacing w:before="0" w:after="283"/>
              <w:jc w:val="left"/>
              <w:rPr/>
            </w:pPr>
            <w:r>
              <w:rPr/>
              <w:t>  </w:t>
            </w:r>
          </w:p>
        </w:tc>
        <w:tc>
          <w:tcPr>
            <w:tcW w:w="952" w:type="dxa"/>
            <w:tcBorders/>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974" w:type="dxa"/>
            <w:tcBorders/>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76" w:type="dxa"/>
            <w:tcBorders/>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95" w:type="dxa"/>
            <w:tcBorders/>
          </w:tcPr>
          <w:p>
            <w:pPr>
              <w:pStyle w:val="TableContents"/>
              <w:bidi w:val="0"/>
              <w:spacing w:before="0" w:after="283"/>
              <w:jc w:val="left"/>
              <w:rPr>
                <w:sz w:val="4"/>
                <w:szCs w:val="4"/>
              </w:rPr>
            </w:pPr>
            <w:r>
              <w:rPr>
                <w:sz w:val="4"/>
                <w:szCs w:val="4"/>
              </w:rPr>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1159"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pPr>
            <w:r>
              <w:rPr/>
              <w:t> </w:t>
            </w:r>
            <w:r>
              <w:rPr/>
              <w:t>23.2*</w:t>
            </w:r>
          </w:p>
        </w:tc>
        <w:tc>
          <w:tcPr>
            <w:tcW w:w="270"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hyperlink w:anchor="d784396dex232.htm">
              <w:r>
                <w:rPr>
                  <w:rStyle w:val="InternetLink"/>
                </w:rPr>
                <w:t xml:space="preserve">Consent of Ernst &amp; Young LLP, independent registered public accounting firm. </w:t>
              </w:r>
            </w:hyperlink>
          </w:p>
        </w:tc>
        <w:tc>
          <w:tcPr>
            <w:tcW w:w="207" w:type="dxa"/>
            <w:tcBorders/>
            <w:vAlign w:val="bottom"/>
          </w:tcPr>
          <w:p>
            <w:pPr>
              <w:pStyle w:val="TableContents"/>
              <w:bidi w:val="0"/>
              <w:spacing w:before="0" w:after="283"/>
              <w:jc w:val="left"/>
              <w:rPr/>
            </w:pPr>
            <w:r>
              <w:rPr/>
              <w:t>  </w:t>
            </w:r>
          </w:p>
        </w:tc>
        <w:tc>
          <w:tcPr>
            <w:tcW w:w="952" w:type="dxa"/>
            <w:tcBorders/>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974" w:type="dxa"/>
            <w:tcBorders/>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76" w:type="dxa"/>
            <w:tcBorders/>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95" w:type="dxa"/>
            <w:tcBorders/>
          </w:tcPr>
          <w:p>
            <w:pPr>
              <w:pStyle w:val="TableContents"/>
              <w:bidi w:val="0"/>
              <w:spacing w:before="0" w:after="283"/>
              <w:jc w:val="left"/>
              <w:rPr>
                <w:sz w:val="4"/>
                <w:szCs w:val="4"/>
              </w:rPr>
            </w:pPr>
            <w:r>
              <w:rPr>
                <w:sz w:val="4"/>
                <w:szCs w:val="4"/>
              </w:rPr>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1159"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pPr>
            <w:r>
              <w:rPr/>
              <w:t> </w:t>
            </w:r>
            <w:r>
              <w:rPr/>
              <w:t>24.1*</w:t>
            </w:r>
          </w:p>
        </w:tc>
        <w:tc>
          <w:tcPr>
            <w:tcW w:w="270"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hyperlink w:anchor="sig">
              <w:r>
                <w:rPr>
                  <w:rStyle w:val="InternetLink"/>
                </w:rPr>
                <w:t xml:space="preserve">Power of Attorney (included on the signature page of this Form S-8). </w:t>
              </w:r>
            </w:hyperlink>
          </w:p>
        </w:tc>
        <w:tc>
          <w:tcPr>
            <w:tcW w:w="207" w:type="dxa"/>
            <w:tcBorders/>
            <w:vAlign w:val="bottom"/>
          </w:tcPr>
          <w:p>
            <w:pPr>
              <w:pStyle w:val="TableContents"/>
              <w:bidi w:val="0"/>
              <w:spacing w:before="0" w:after="283"/>
              <w:jc w:val="left"/>
              <w:rPr/>
            </w:pPr>
            <w:r>
              <w:rPr/>
              <w:t>  </w:t>
            </w:r>
          </w:p>
        </w:tc>
        <w:tc>
          <w:tcPr>
            <w:tcW w:w="952" w:type="dxa"/>
            <w:tcBorders/>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974" w:type="dxa"/>
            <w:tcBorders/>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76" w:type="dxa"/>
            <w:tcBorders/>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95" w:type="dxa"/>
            <w:tcBorders/>
          </w:tcPr>
          <w:p>
            <w:pPr>
              <w:pStyle w:val="TableContents"/>
              <w:bidi w:val="0"/>
              <w:spacing w:before="0" w:after="283"/>
              <w:jc w:val="left"/>
              <w:rPr>
                <w:sz w:val="4"/>
                <w:szCs w:val="4"/>
              </w:rPr>
            </w:pPr>
            <w:r>
              <w:rPr>
                <w:sz w:val="4"/>
                <w:szCs w:val="4"/>
              </w:rPr>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1159"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pPr>
            <w:r>
              <w:rPr/>
              <w:t> </w:t>
            </w:r>
            <w:r>
              <w:rPr/>
              <w:t>99.1</w:t>
            </w:r>
          </w:p>
        </w:tc>
        <w:tc>
          <w:tcPr>
            <w:tcW w:w="270"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hyperlink r:id="rId22">
              <w:r>
                <w:rPr>
                  <w:rStyle w:val="InternetLink"/>
                </w:rPr>
                <w:t>Tempest Therapeutics, Inc. Amended and Restated 2023 Equity Incentive Plan.</w:t>
              </w:r>
            </w:hyperlink>
          </w:p>
        </w:tc>
        <w:tc>
          <w:tcPr>
            <w:tcW w:w="207" w:type="dxa"/>
            <w:tcBorders/>
            <w:vAlign w:val="bottom"/>
          </w:tcPr>
          <w:p>
            <w:pPr>
              <w:pStyle w:val="TableContents"/>
              <w:bidi w:val="0"/>
              <w:spacing w:before="0" w:after="283"/>
              <w:jc w:val="left"/>
              <w:rPr/>
            </w:pPr>
            <w:r>
              <w:rPr/>
              <w:t>  </w:t>
            </w:r>
          </w:p>
        </w:tc>
        <w:tc>
          <w:tcPr>
            <w:tcW w:w="952" w:type="dxa"/>
            <w:tcBorders/>
          </w:tcPr>
          <w:p>
            <w:pPr>
              <w:pStyle w:val="TableContents"/>
              <w:bidi w:val="0"/>
              <w:spacing w:before="0" w:after="283"/>
              <w:jc w:val="center"/>
              <w:rPr/>
            </w:pPr>
            <w:r>
              <w:rPr/>
              <w:t>10-Q</w:t>
            </w:r>
          </w:p>
        </w:tc>
        <w:tc>
          <w:tcPr>
            <w:tcW w:w="207" w:type="dxa"/>
            <w:tcBorders/>
            <w:vAlign w:val="bottom"/>
          </w:tcPr>
          <w:p>
            <w:pPr>
              <w:pStyle w:val="TableContents"/>
              <w:bidi w:val="0"/>
              <w:spacing w:before="0" w:after="283"/>
              <w:jc w:val="left"/>
              <w:rPr/>
            </w:pPr>
            <w:r>
              <w:rPr/>
              <w:t>  </w:t>
            </w:r>
          </w:p>
        </w:tc>
        <w:tc>
          <w:tcPr>
            <w:tcW w:w="974" w:type="dxa"/>
            <w:tcBorders/>
          </w:tcPr>
          <w:p>
            <w:pPr>
              <w:pStyle w:val="TableContents"/>
              <w:bidi w:val="0"/>
              <w:spacing w:before="0" w:after="283"/>
              <w:jc w:val="center"/>
              <w:rPr/>
            </w:pPr>
            <w:r>
              <w:rPr/>
              <w:t>001-35890</w:t>
            </w:r>
          </w:p>
        </w:tc>
        <w:tc>
          <w:tcPr>
            <w:tcW w:w="207" w:type="dxa"/>
            <w:tcBorders/>
            <w:vAlign w:val="bottom"/>
          </w:tcPr>
          <w:p>
            <w:pPr>
              <w:pStyle w:val="TableContents"/>
              <w:bidi w:val="0"/>
              <w:spacing w:before="0" w:after="283"/>
              <w:jc w:val="left"/>
              <w:rPr/>
            </w:pPr>
            <w:r>
              <w:rPr/>
              <w:t>  </w:t>
            </w:r>
          </w:p>
        </w:tc>
        <w:tc>
          <w:tcPr>
            <w:tcW w:w="776" w:type="dxa"/>
            <w:tcBorders/>
          </w:tcPr>
          <w:p>
            <w:pPr>
              <w:pStyle w:val="TableContents"/>
              <w:bidi w:val="0"/>
              <w:spacing w:before="0" w:after="283"/>
              <w:jc w:val="center"/>
              <w:rPr/>
            </w:pPr>
            <w:r>
              <w:rPr/>
              <w:t>10.1</w:t>
            </w:r>
          </w:p>
        </w:tc>
        <w:tc>
          <w:tcPr>
            <w:tcW w:w="207" w:type="dxa"/>
            <w:tcBorders/>
            <w:vAlign w:val="bottom"/>
          </w:tcPr>
          <w:p>
            <w:pPr>
              <w:pStyle w:val="TableContents"/>
              <w:bidi w:val="0"/>
              <w:spacing w:before="0" w:after="283"/>
              <w:jc w:val="left"/>
              <w:rPr/>
            </w:pPr>
            <w:r>
              <w:rPr/>
              <w:t>  </w:t>
            </w:r>
          </w:p>
        </w:tc>
        <w:tc>
          <w:tcPr>
            <w:tcW w:w="795" w:type="dxa"/>
            <w:tcBorders/>
          </w:tcPr>
          <w:p>
            <w:pPr>
              <w:pStyle w:val="TableContents"/>
              <w:bidi w:val="0"/>
              <w:spacing w:before="0" w:after="283"/>
              <w:jc w:val="center"/>
              <w:rPr/>
            </w:pPr>
            <w:r>
              <w:rPr/>
              <w:t>8/10/2023</w:t>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1159"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pPr>
            <w:r>
              <w:rPr/>
              <w:t> </w:t>
            </w:r>
            <w:r>
              <w:rPr/>
              <w:t>99.2</w:t>
            </w:r>
          </w:p>
        </w:tc>
        <w:tc>
          <w:tcPr>
            <w:tcW w:w="270"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hyperlink r:id="rId23">
              <w:r>
                <w:rPr>
                  <w:rStyle w:val="InternetLink"/>
                </w:rPr>
                <w:t>Form of Stock Option Grant Notice under Amended and Restated 2023 Equity Incentive Plan.</w:t>
              </w:r>
            </w:hyperlink>
          </w:p>
        </w:tc>
        <w:tc>
          <w:tcPr>
            <w:tcW w:w="207" w:type="dxa"/>
            <w:tcBorders/>
            <w:vAlign w:val="bottom"/>
          </w:tcPr>
          <w:p>
            <w:pPr>
              <w:pStyle w:val="TableContents"/>
              <w:bidi w:val="0"/>
              <w:spacing w:before="0" w:after="283"/>
              <w:jc w:val="left"/>
              <w:rPr/>
            </w:pPr>
            <w:r>
              <w:rPr/>
              <w:t>  </w:t>
            </w:r>
          </w:p>
        </w:tc>
        <w:tc>
          <w:tcPr>
            <w:tcW w:w="952" w:type="dxa"/>
            <w:tcBorders/>
          </w:tcPr>
          <w:p>
            <w:pPr>
              <w:pStyle w:val="TableContents"/>
              <w:bidi w:val="0"/>
              <w:spacing w:before="0" w:after="283"/>
              <w:jc w:val="center"/>
              <w:rPr/>
            </w:pPr>
            <w:r>
              <w:rPr/>
              <w:t>10-Q</w:t>
            </w:r>
          </w:p>
        </w:tc>
        <w:tc>
          <w:tcPr>
            <w:tcW w:w="207" w:type="dxa"/>
            <w:tcBorders/>
            <w:vAlign w:val="bottom"/>
          </w:tcPr>
          <w:p>
            <w:pPr>
              <w:pStyle w:val="TableContents"/>
              <w:bidi w:val="0"/>
              <w:spacing w:before="0" w:after="283"/>
              <w:jc w:val="left"/>
              <w:rPr/>
            </w:pPr>
            <w:r>
              <w:rPr/>
              <w:t>  </w:t>
            </w:r>
          </w:p>
        </w:tc>
        <w:tc>
          <w:tcPr>
            <w:tcW w:w="974" w:type="dxa"/>
            <w:tcBorders/>
          </w:tcPr>
          <w:p>
            <w:pPr>
              <w:pStyle w:val="TableContents"/>
              <w:bidi w:val="0"/>
              <w:spacing w:before="0" w:after="283"/>
              <w:jc w:val="center"/>
              <w:rPr/>
            </w:pPr>
            <w:r>
              <w:rPr/>
              <w:t>001-35890</w:t>
            </w:r>
          </w:p>
        </w:tc>
        <w:tc>
          <w:tcPr>
            <w:tcW w:w="207" w:type="dxa"/>
            <w:tcBorders/>
            <w:vAlign w:val="bottom"/>
          </w:tcPr>
          <w:p>
            <w:pPr>
              <w:pStyle w:val="TableContents"/>
              <w:bidi w:val="0"/>
              <w:spacing w:before="0" w:after="283"/>
              <w:jc w:val="left"/>
              <w:rPr/>
            </w:pPr>
            <w:r>
              <w:rPr/>
              <w:t>  </w:t>
            </w:r>
          </w:p>
        </w:tc>
        <w:tc>
          <w:tcPr>
            <w:tcW w:w="776" w:type="dxa"/>
            <w:tcBorders/>
          </w:tcPr>
          <w:p>
            <w:pPr>
              <w:pStyle w:val="TableContents"/>
              <w:bidi w:val="0"/>
              <w:spacing w:before="0" w:after="283"/>
              <w:jc w:val="center"/>
              <w:rPr/>
            </w:pPr>
            <w:r>
              <w:rPr/>
              <w:t>10.2</w:t>
            </w:r>
          </w:p>
        </w:tc>
        <w:tc>
          <w:tcPr>
            <w:tcW w:w="207" w:type="dxa"/>
            <w:tcBorders/>
            <w:vAlign w:val="bottom"/>
          </w:tcPr>
          <w:p>
            <w:pPr>
              <w:pStyle w:val="TableContents"/>
              <w:bidi w:val="0"/>
              <w:spacing w:before="0" w:after="283"/>
              <w:jc w:val="left"/>
              <w:rPr/>
            </w:pPr>
            <w:r>
              <w:rPr/>
              <w:t>  </w:t>
            </w:r>
          </w:p>
        </w:tc>
        <w:tc>
          <w:tcPr>
            <w:tcW w:w="795" w:type="dxa"/>
            <w:tcBorders/>
          </w:tcPr>
          <w:p>
            <w:pPr>
              <w:pStyle w:val="TableContents"/>
              <w:bidi w:val="0"/>
              <w:spacing w:before="0" w:after="283"/>
              <w:jc w:val="center"/>
              <w:rPr/>
            </w:pPr>
            <w:r>
              <w:rPr/>
              <w:t>8/10/2023</w:t>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1159"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pPr>
            <w:r>
              <w:rPr/>
              <w:t> </w:t>
            </w:r>
            <w:r>
              <w:rPr/>
              <w:t>99.3</w:t>
            </w:r>
          </w:p>
        </w:tc>
        <w:tc>
          <w:tcPr>
            <w:tcW w:w="270"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hyperlink r:id="rId24">
              <w:r>
                <w:rPr>
                  <w:rStyle w:val="InternetLink"/>
                </w:rPr>
                <w:t xml:space="preserve">Tempest Therapeutics, Inc. 2019 Employee Stock Purchase Plan. </w:t>
              </w:r>
            </w:hyperlink>
          </w:p>
        </w:tc>
        <w:tc>
          <w:tcPr>
            <w:tcW w:w="207" w:type="dxa"/>
            <w:tcBorders/>
            <w:vAlign w:val="bottom"/>
          </w:tcPr>
          <w:p>
            <w:pPr>
              <w:pStyle w:val="TableContents"/>
              <w:bidi w:val="0"/>
              <w:spacing w:before="0" w:after="283"/>
              <w:jc w:val="left"/>
              <w:rPr/>
            </w:pPr>
            <w:r>
              <w:rPr/>
              <w:t>  </w:t>
            </w:r>
          </w:p>
        </w:tc>
        <w:tc>
          <w:tcPr>
            <w:tcW w:w="952" w:type="dxa"/>
            <w:tcBorders/>
          </w:tcPr>
          <w:p>
            <w:pPr>
              <w:pStyle w:val="TableContents"/>
              <w:bidi w:val="0"/>
              <w:spacing w:before="0" w:after="283"/>
              <w:jc w:val="center"/>
              <w:rPr/>
            </w:pPr>
            <w:r>
              <w:rPr/>
              <w:t>8-K</w:t>
            </w:r>
          </w:p>
        </w:tc>
        <w:tc>
          <w:tcPr>
            <w:tcW w:w="207" w:type="dxa"/>
            <w:tcBorders/>
            <w:vAlign w:val="bottom"/>
          </w:tcPr>
          <w:p>
            <w:pPr>
              <w:pStyle w:val="TableContents"/>
              <w:bidi w:val="0"/>
              <w:spacing w:before="0" w:after="283"/>
              <w:jc w:val="left"/>
              <w:rPr/>
            </w:pPr>
            <w:r>
              <w:rPr/>
              <w:t>  </w:t>
            </w:r>
          </w:p>
        </w:tc>
        <w:tc>
          <w:tcPr>
            <w:tcW w:w="974" w:type="dxa"/>
            <w:tcBorders/>
          </w:tcPr>
          <w:p>
            <w:pPr>
              <w:pStyle w:val="TableContents"/>
              <w:bidi w:val="0"/>
              <w:spacing w:before="0" w:after="283"/>
              <w:jc w:val="center"/>
              <w:rPr/>
            </w:pPr>
            <w:r>
              <w:rPr/>
              <w:t>001-35890</w:t>
            </w:r>
          </w:p>
        </w:tc>
        <w:tc>
          <w:tcPr>
            <w:tcW w:w="207" w:type="dxa"/>
            <w:tcBorders/>
            <w:vAlign w:val="bottom"/>
          </w:tcPr>
          <w:p>
            <w:pPr>
              <w:pStyle w:val="TableContents"/>
              <w:bidi w:val="0"/>
              <w:spacing w:before="0" w:after="283"/>
              <w:jc w:val="left"/>
              <w:rPr/>
            </w:pPr>
            <w:r>
              <w:rPr/>
              <w:t>  </w:t>
            </w:r>
          </w:p>
        </w:tc>
        <w:tc>
          <w:tcPr>
            <w:tcW w:w="776" w:type="dxa"/>
            <w:tcBorders/>
          </w:tcPr>
          <w:p>
            <w:pPr>
              <w:pStyle w:val="TableContents"/>
              <w:bidi w:val="0"/>
              <w:spacing w:before="0" w:after="283"/>
              <w:jc w:val="center"/>
              <w:rPr/>
            </w:pPr>
            <w:r>
              <w:rPr/>
              <w:t>10.2</w:t>
            </w:r>
          </w:p>
        </w:tc>
        <w:tc>
          <w:tcPr>
            <w:tcW w:w="207" w:type="dxa"/>
            <w:tcBorders/>
            <w:vAlign w:val="bottom"/>
          </w:tcPr>
          <w:p>
            <w:pPr>
              <w:pStyle w:val="TableContents"/>
              <w:bidi w:val="0"/>
              <w:spacing w:before="0" w:after="283"/>
              <w:jc w:val="left"/>
              <w:rPr/>
            </w:pPr>
            <w:r>
              <w:rPr/>
              <w:t>  </w:t>
            </w:r>
          </w:p>
        </w:tc>
        <w:tc>
          <w:tcPr>
            <w:tcW w:w="795" w:type="dxa"/>
            <w:tcBorders/>
          </w:tcPr>
          <w:p>
            <w:pPr>
              <w:pStyle w:val="TableContents"/>
              <w:bidi w:val="0"/>
              <w:spacing w:before="0" w:after="283"/>
              <w:jc w:val="center"/>
              <w:rPr/>
            </w:pPr>
            <w:r>
              <w:rPr/>
              <w:t>6/21/2022</w:t>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c>
          <w:tcPr>
            <w:tcW w:w="1159" w:type="dxa"/>
            <w:gridSpan w:val="2"/>
            <w:tcBorders/>
            <w:vAlign w:val="center"/>
          </w:tcPr>
          <w:p>
            <w:pPr>
              <w:pStyle w:val="TableContents"/>
              <w:bidi w:val="0"/>
              <w:spacing w:before="0" w:after="283"/>
              <w:jc w:val="left"/>
              <w:rPr>
                <w:sz w:val="4"/>
                <w:szCs w:val="4"/>
              </w:rPr>
            </w:pPr>
            <w:r>
              <w:rPr>
                <w:sz w:val="4"/>
                <w:szCs w:val="4"/>
              </w:rPr>
            </w:r>
          </w:p>
        </w:tc>
        <w:tc>
          <w:tcPr>
            <w:tcW w:w="1181"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pPr>
            <w:r>
              <w:rPr/>
              <w:t>107*</w:t>
            </w:r>
          </w:p>
        </w:tc>
        <w:tc>
          <w:tcPr>
            <w:tcW w:w="270"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left"/>
              <w:rPr/>
            </w:pPr>
            <w:hyperlink w:anchor="d784396dexfilingfees.htm">
              <w:r>
                <w:rPr>
                  <w:rStyle w:val="InternetLink"/>
                </w:rPr>
                <w:t xml:space="preserve">Filing Fee Table </w:t>
              </w:r>
            </w:hyperlink>
          </w:p>
        </w:tc>
        <w:tc>
          <w:tcPr>
            <w:tcW w:w="207" w:type="dxa"/>
            <w:tcBorders/>
            <w:vAlign w:val="bottom"/>
          </w:tcPr>
          <w:p>
            <w:pPr>
              <w:pStyle w:val="TableContents"/>
              <w:bidi w:val="0"/>
              <w:spacing w:before="0" w:after="283"/>
              <w:jc w:val="left"/>
              <w:rPr/>
            </w:pPr>
            <w:r>
              <w:rPr/>
              <w:t>  </w:t>
            </w:r>
          </w:p>
        </w:tc>
        <w:tc>
          <w:tcPr>
            <w:tcW w:w="952" w:type="dxa"/>
            <w:tcBorders/>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974" w:type="dxa"/>
            <w:tcBorders/>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76" w:type="dxa"/>
            <w:tcBorders/>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95" w:type="dxa"/>
            <w:tcBorders/>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Brisbane, State of California, on March 19,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Tempest Therapeutics,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Stephen Brady</w:t>
            </w:r>
          </w:p>
        </w:tc>
      </w:tr>
      <w:tr>
        <w:trPr/>
        <w:tc>
          <w:tcPr>
            <w:tcW w:w="672"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Stephen Brady</w:t>
            </w:r>
          </w:p>
        </w:tc>
      </w:tr>
      <w:tr>
        <w:trPr/>
        <w:tc>
          <w:tcPr>
            <w:tcW w:w="672"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Stephen Brady and Nicholas Maestas,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95"/>
        <w:gridCol w:w="120"/>
        <w:gridCol w:w="4344"/>
        <w:gridCol w:w="106"/>
        <w:gridCol w:w="1840"/>
      </w:tblGrid>
      <w:tr>
        <w:trPr/>
        <w:tc>
          <w:tcPr>
            <w:tcW w:w="37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4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37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34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6" w:type="dxa"/>
            <w:tcBorders/>
            <w:vAlign w:val="bottom"/>
          </w:tcPr>
          <w:p>
            <w:pPr>
              <w:pStyle w:val="TableContents"/>
              <w:bidi w:val="0"/>
              <w:spacing w:before="0" w:after="283"/>
              <w:jc w:val="left"/>
              <w:rPr/>
            </w:pPr>
            <w:r>
              <w:rPr/>
              <w:t> </w:t>
            </w:r>
          </w:p>
        </w:tc>
        <w:tc>
          <w:tcPr>
            <w:tcW w:w="18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64" w:type="dxa"/>
            <w:gridSpan w:val="2"/>
            <w:tcBorders/>
            <w:vAlign w:val="center"/>
          </w:tcPr>
          <w:p>
            <w:pPr>
              <w:pStyle w:val="TableContents"/>
              <w:bidi w:val="0"/>
              <w:spacing w:before="0" w:after="283"/>
              <w:jc w:val="left"/>
              <w:rPr>
                <w:sz w:val="4"/>
                <w:szCs w:val="4"/>
              </w:rPr>
            </w:pPr>
            <w:r>
              <w:rPr>
                <w:sz w:val="4"/>
                <w:szCs w:val="4"/>
              </w:rPr>
            </w:r>
          </w:p>
        </w:tc>
        <w:tc>
          <w:tcPr>
            <w:tcW w:w="1946"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Stephen Brady</w:t>
            </w:r>
          </w:p>
          <w:p>
            <w:pPr>
              <w:pStyle w:val="TableContents"/>
              <w:bidi w:val="0"/>
              <w:spacing w:before="0" w:after="20"/>
              <w:jc w:val="center"/>
              <w:rPr>
                <w:rFonts w:ascii="Times New Roman" w:hAnsi="Times New Roman"/>
                <w:sz w:val="20"/>
              </w:rPr>
            </w:pPr>
            <w:r>
              <w:rPr>
                <w:rFonts w:ascii="Times New Roman" w:hAnsi="Times New Roman"/>
                <w:sz w:val="20"/>
              </w:rPr>
              <w:t>Stephen Brady</w:t>
            </w:r>
          </w:p>
        </w:tc>
        <w:tc>
          <w:tcPr>
            <w:tcW w:w="120" w:type="dxa"/>
            <w:tcBorders/>
            <w:vAlign w:val="bottom"/>
          </w:tcPr>
          <w:p>
            <w:pPr>
              <w:pStyle w:val="TableContents"/>
              <w:bidi w:val="0"/>
              <w:spacing w:before="0" w:after="283"/>
              <w:jc w:val="left"/>
              <w:rPr/>
            </w:pPr>
            <w:r>
              <w:rPr/>
              <w:t>  </w:t>
            </w:r>
          </w:p>
        </w:tc>
        <w:tc>
          <w:tcPr>
            <w:tcW w:w="4344" w:type="dxa"/>
            <w:tcBorders/>
          </w:tcPr>
          <w:p>
            <w:pPr>
              <w:pStyle w:val="TableContents"/>
              <w:bidi w:val="0"/>
              <w:spacing w:before="0" w:after="0"/>
              <w:jc w:val="left"/>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left"/>
              <w:rPr>
                <w:rFonts w:ascii="Times New Roman" w:hAnsi="Times New Roman"/>
                <w:i/>
                <w:sz w:val="20"/>
              </w:rPr>
            </w:pPr>
            <w:r>
              <w:rPr>
                <w:rFonts w:ascii="Times New Roman" w:hAnsi="Times New Roman"/>
                <w:i/>
                <w:sz w:val="20"/>
              </w:rPr>
              <w:t>(Principal Executive Officer)</w:t>
            </w:r>
          </w:p>
        </w:tc>
        <w:tc>
          <w:tcPr>
            <w:tcW w:w="106" w:type="dxa"/>
            <w:tcBorders/>
            <w:vAlign w:val="bottom"/>
          </w:tcPr>
          <w:p>
            <w:pPr>
              <w:pStyle w:val="TableContents"/>
              <w:bidi w:val="0"/>
              <w:spacing w:before="0" w:after="283"/>
              <w:jc w:val="left"/>
              <w:rPr/>
            </w:pPr>
            <w:r>
              <w:rPr/>
              <w:t> </w:t>
            </w:r>
          </w:p>
        </w:tc>
        <w:tc>
          <w:tcPr>
            <w:tcW w:w="1840" w:type="dxa"/>
            <w:tcBorders/>
          </w:tcPr>
          <w:p>
            <w:pPr>
              <w:pStyle w:val="TableContents"/>
              <w:bidi w:val="0"/>
              <w:spacing w:before="0" w:after="283"/>
              <w:jc w:val="center"/>
              <w:rPr/>
            </w:pPr>
            <w:r>
              <w:rPr/>
              <w:t>March 19, 2024</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64" w:type="dxa"/>
            <w:gridSpan w:val="2"/>
            <w:tcBorders/>
            <w:vAlign w:val="center"/>
          </w:tcPr>
          <w:p>
            <w:pPr>
              <w:pStyle w:val="TableContents"/>
              <w:bidi w:val="0"/>
              <w:spacing w:before="0" w:after="283"/>
              <w:jc w:val="left"/>
              <w:rPr>
                <w:sz w:val="4"/>
                <w:szCs w:val="4"/>
              </w:rPr>
            </w:pPr>
            <w:r>
              <w:rPr>
                <w:sz w:val="4"/>
                <w:szCs w:val="4"/>
              </w:rPr>
            </w:r>
          </w:p>
        </w:tc>
        <w:tc>
          <w:tcPr>
            <w:tcW w:w="1946"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Nicholas Maestas</w:t>
            </w:r>
          </w:p>
          <w:p>
            <w:pPr>
              <w:pStyle w:val="TableContents"/>
              <w:bidi w:val="0"/>
              <w:spacing w:before="0" w:after="20"/>
              <w:jc w:val="center"/>
              <w:rPr>
                <w:rFonts w:ascii="Times New Roman" w:hAnsi="Times New Roman"/>
                <w:sz w:val="20"/>
              </w:rPr>
            </w:pPr>
            <w:r>
              <w:rPr>
                <w:rFonts w:ascii="Times New Roman" w:hAnsi="Times New Roman"/>
                <w:sz w:val="20"/>
              </w:rPr>
              <w:t>Nicholas Maestas</w:t>
            </w:r>
          </w:p>
        </w:tc>
        <w:tc>
          <w:tcPr>
            <w:tcW w:w="120" w:type="dxa"/>
            <w:tcBorders/>
            <w:vAlign w:val="bottom"/>
          </w:tcPr>
          <w:p>
            <w:pPr>
              <w:pStyle w:val="TableContents"/>
              <w:bidi w:val="0"/>
              <w:spacing w:before="0" w:after="283"/>
              <w:jc w:val="left"/>
              <w:rPr/>
            </w:pPr>
            <w:r>
              <w:rPr/>
              <w:t>  </w:t>
            </w:r>
          </w:p>
        </w:tc>
        <w:tc>
          <w:tcPr>
            <w:tcW w:w="4344"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Strategy and Finance and Secretary</w:t>
            </w:r>
          </w:p>
          <w:p>
            <w:pPr>
              <w:pStyle w:val="TableContents"/>
              <w:bidi w:val="0"/>
              <w:spacing w:before="0" w:after="20"/>
              <w:jc w:val="left"/>
              <w:rPr>
                <w:rFonts w:ascii="Times New Roman" w:hAnsi="Times New Roman"/>
                <w:i/>
                <w:sz w:val="20"/>
              </w:rPr>
            </w:pPr>
            <w:r>
              <w:rPr>
                <w:rFonts w:ascii="Times New Roman" w:hAnsi="Times New Roman"/>
                <w:i/>
                <w:sz w:val="20"/>
              </w:rPr>
              <w:t>(Principal Financial Officer)</w:t>
            </w:r>
          </w:p>
        </w:tc>
        <w:tc>
          <w:tcPr>
            <w:tcW w:w="106" w:type="dxa"/>
            <w:tcBorders/>
            <w:vAlign w:val="bottom"/>
          </w:tcPr>
          <w:p>
            <w:pPr>
              <w:pStyle w:val="TableContents"/>
              <w:bidi w:val="0"/>
              <w:spacing w:before="0" w:after="283"/>
              <w:jc w:val="left"/>
              <w:rPr/>
            </w:pPr>
            <w:r>
              <w:rPr/>
              <w:t> </w:t>
            </w:r>
          </w:p>
        </w:tc>
        <w:tc>
          <w:tcPr>
            <w:tcW w:w="1840" w:type="dxa"/>
            <w:tcBorders/>
          </w:tcPr>
          <w:p>
            <w:pPr>
              <w:pStyle w:val="TableContents"/>
              <w:bidi w:val="0"/>
              <w:spacing w:before="0" w:after="283"/>
              <w:jc w:val="center"/>
              <w:rPr/>
            </w:pPr>
            <w:r>
              <w:rPr/>
              <w:t>March 19, 2024</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64" w:type="dxa"/>
            <w:gridSpan w:val="2"/>
            <w:tcBorders/>
            <w:vAlign w:val="center"/>
          </w:tcPr>
          <w:p>
            <w:pPr>
              <w:pStyle w:val="TableContents"/>
              <w:bidi w:val="0"/>
              <w:spacing w:before="0" w:after="283"/>
              <w:jc w:val="left"/>
              <w:rPr>
                <w:sz w:val="4"/>
                <w:szCs w:val="4"/>
              </w:rPr>
            </w:pPr>
            <w:r>
              <w:rPr>
                <w:sz w:val="4"/>
                <w:szCs w:val="4"/>
              </w:rPr>
            </w:r>
          </w:p>
        </w:tc>
        <w:tc>
          <w:tcPr>
            <w:tcW w:w="1946"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Justin Trojanowski</w:t>
            </w:r>
          </w:p>
          <w:p>
            <w:pPr>
              <w:pStyle w:val="TableContents"/>
              <w:bidi w:val="0"/>
              <w:spacing w:before="0" w:after="20"/>
              <w:jc w:val="center"/>
              <w:rPr>
                <w:rFonts w:ascii="Times New Roman" w:hAnsi="Times New Roman"/>
                <w:sz w:val="20"/>
              </w:rPr>
            </w:pPr>
            <w:r>
              <w:rPr>
                <w:rFonts w:ascii="Times New Roman" w:hAnsi="Times New Roman"/>
                <w:sz w:val="20"/>
              </w:rPr>
              <w:t>Justin Trojanowski</w:t>
            </w:r>
          </w:p>
        </w:tc>
        <w:tc>
          <w:tcPr>
            <w:tcW w:w="120" w:type="dxa"/>
            <w:tcBorders/>
            <w:vAlign w:val="bottom"/>
          </w:tcPr>
          <w:p>
            <w:pPr>
              <w:pStyle w:val="TableContents"/>
              <w:bidi w:val="0"/>
              <w:spacing w:before="0" w:after="283"/>
              <w:jc w:val="left"/>
              <w:rPr/>
            </w:pPr>
            <w:r>
              <w:rPr/>
              <w:t>  </w:t>
            </w:r>
          </w:p>
        </w:tc>
        <w:tc>
          <w:tcPr>
            <w:tcW w:w="4344" w:type="dxa"/>
            <w:tcBorders/>
          </w:tcPr>
          <w:p>
            <w:pPr>
              <w:pStyle w:val="TableContents"/>
              <w:bidi w:val="0"/>
              <w:spacing w:before="0" w:after="0"/>
              <w:jc w:val="left"/>
              <w:rPr>
                <w:rFonts w:ascii="Times New Roman" w:hAnsi="Times New Roman"/>
                <w:sz w:val="20"/>
              </w:rPr>
            </w:pPr>
            <w:r>
              <w:rPr>
                <w:rFonts w:ascii="Times New Roman" w:hAnsi="Times New Roman"/>
                <w:sz w:val="20"/>
              </w:rPr>
              <w:t>Corporate Controller, Treasurer</w:t>
            </w:r>
          </w:p>
          <w:p>
            <w:pPr>
              <w:pStyle w:val="TableContents"/>
              <w:bidi w:val="0"/>
              <w:spacing w:before="0" w:after="20"/>
              <w:jc w:val="left"/>
              <w:rPr>
                <w:rFonts w:ascii="Times New Roman" w:hAnsi="Times New Roman"/>
                <w:i/>
                <w:sz w:val="20"/>
              </w:rPr>
            </w:pPr>
            <w:r>
              <w:rPr>
                <w:rFonts w:ascii="Times New Roman" w:hAnsi="Times New Roman"/>
                <w:i/>
                <w:sz w:val="20"/>
              </w:rPr>
              <w:t>(Principal Accounting Officer)</w:t>
            </w:r>
          </w:p>
        </w:tc>
        <w:tc>
          <w:tcPr>
            <w:tcW w:w="106" w:type="dxa"/>
            <w:tcBorders/>
            <w:vAlign w:val="bottom"/>
          </w:tcPr>
          <w:p>
            <w:pPr>
              <w:pStyle w:val="TableContents"/>
              <w:bidi w:val="0"/>
              <w:spacing w:before="0" w:after="283"/>
              <w:jc w:val="left"/>
              <w:rPr/>
            </w:pPr>
            <w:r>
              <w:rPr/>
              <w:t> </w:t>
            </w:r>
          </w:p>
        </w:tc>
        <w:tc>
          <w:tcPr>
            <w:tcW w:w="1840" w:type="dxa"/>
            <w:tcBorders/>
          </w:tcPr>
          <w:p>
            <w:pPr>
              <w:pStyle w:val="TableContents"/>
              <w:bidi w:val="0"/>
              <w:spacing w:before="0" w:after="283"/>
              <w:jc w:val="center"/>
              <w:rPr/>
            </w:pPr>
            <w:r>
              <w:rPr/>
              <w:t>March 19, 2024</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64" w:type="dxa"/>
            <w:gridSpan w:val="2"/>
            <w:tcBorders/>
            <w:vAlign w:val="center"/>
          </w:tcPr>
          <w:p>
            <w:pPr>
              <w:pStyle w:val="TableContents"/>
              <w:bidi w:val="0"/>
              <w:spacing w:before="0" w:after="283"/>
              <w:jc w:val="left"/>
              <w:rPr>
                <w:sz w:val="4"/>
                <w:szCs w:val="4"/>
              </w:rPr>
            </w:pPr>
            <w:r>
              <w:rPr>
                <w:sz w:val="4"/>
                <w:szCs w:val="4"/>
              </w:rPr>
            </w:r>
          </w:p>
        </w:tc>
        <w:tc>
          <w:tcPr>
            <w:tcW w:w="1946"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Michael Raab</w:t>
            </w:r>
          </w:p>
          <w:p>
            <w:pPr>
              <w:pStyle w:val="TableContents"/>
              <w:bidi w:val="0"/>
              <w:spacing w:before="0" w:after="20"/>
              <w:jc w:val="center"/>
              <w:rPr>
                <w:rFonts w:ascii="Times New Roman" w:hAnsi="Times New Roman"/>
                <w:sz w:val="20"/>
              </w:rPr>
            </w:pPr>
            <w:r>
              <w:rPr>
                <w:rFonts w:ascii="Times New Roman" w:hAnsi="Times New Roman"/>
                <w:sz w:val="20"/>
              </w:rPr>
              <w:t>Michael Raab</w:t>
            </w:r>
          </w:p>
        </w:tc>
        <w:tc>
          <w:tcPr>
            <w:tcW w:w="120" w:type="dxa"/>
            <w:tcBorders/>
            <w:vAlign w:val="bottom"/>
          </w:tcPr>
          <w:p>
            <w:pPr>
              <w:pStyle w:val="TableContents"/>
              <w:bidi w:val="0"/>
              <w:spacing w:before="0" w:after="283"/>
              <w:jc w:val="left"/>
              <w:rPr/>
            </w:pPr>
            <w:r>
              <w:rPr/>
              <w:t>  </w:t>
            </w:r>
          </w:p>
        </w:tc>
        <w:tc>
          <w:tcPr>
            <w:tcW w:w="4344" w:type="dxa"/>
            <w:tcBorders/>
          </w:tcPr>
          <w:p>
            <w:pPr>
              <w:pStyle w:val="TableContents"/>
              <w:bidi w:val="0"/>
              <w:spacing w:before="0" w:after="0"/>
              <w:jc w:val="left"/>
              <w:rPr>
                <w:rFonts w:ascii="Times New Roman" w:hAnsi="Times New Roman"/>
                <w:sz w:val="20"/>
              </w:rPr>
            </w:pPr>
            <w:r>
              <w:rPr>
                <w:rFonts w:ascii="Times New Roman" w:hAnsi="Times New Roman"/>
                <w:sz w:val="20"/>
              </w:rPr>
              <w:t>Chairman of the Board of Directors</w:t>
            </w:r>
          </w:p>
        </w:tc>
        <w:tc>
          <w:tcPr>
            <w:tcW w:w="106" w:type="dxa"/>
            <w:tcBorders/>
            <w:vAlign w:val="bottom"/>
          </w:tcPr>
          <w:p>
            <w:pPr>
              <w:pStyle w:val="TableContents"/>
              <w:bidi w:val="0"/>
              <w:spacing w:before="0" w:after="283"/>
              <w:jc w:val="left"/>
              <w:rPr/>
            </w:pPr>
            <w:r>
              <w:rPr/>
              <w:t> </w:t>
            </w:r>
          </w:p>
        </w:tc>
        <w:tc>
          <w:tcPr>
            <w:tcW w:w="1840" w:type="dxa"/>
            <w:tcBorders/>
          </w:tcPr>
          <w:p>
            <w:pPr>
              <w:pStyle w:val="TableContents"/>
              <w:bidi w:val="0"/>
              <w:spacing w:before="0" w:after="283"/>
              <w:jc w:val="center"/>
              <w:rPr/>
            </w:pPr>
            <w:r>
              <w:rPr/>
              <w:t>March 19, 2024</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64" w:type="dxa"/>
            <w:gridSpan w:val="2"/>
            <w:tcBorders/>
            <w:vAlign w:val="center"/>
          </w:tcPr>
          <w:p>
            <w:pPr>
              <w:pStyle w:val="TableContents"/>
              <w:bidi w:val="0"/>
              <w:spacing w:before="0" w:after="283"/>
              <w:jc w:val="left"/>
              <w:rPr>
                <w:sz w:val="4"/>
                <w:szCs w:val="4"/>
              </w:rPr>
            </w:pPr>
            <w:r>
              <w:rPr>
                <w:sz w:val="4"/>
                <w:szCs w:val="4"/>
              </w:rPr>
            </w:r>
          </w:p>
        </w:tc>
        <w:tc>
          <w:tcPr>
            <w:tcW w:w="1946"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Geoff Nichol</w:t>
            </w:r>
          </w:p>
          <w:p>
            <w:pPr>
              <w:pStyle w:val="TableContents"/>
              <w:bidi w:val="0"/>
              <w:spacing w:before="0" w:after="20"/>
              <w:jc w:val="center"/>
              <w:rPr>
                <w:rFonts w:ascii="Times New Roman" w:hAnsi="Times New Roman"/>
                <w:sz w:val="20"/>
              </w:rPr>
            </w:pPr>
            <w:r>
              <w:rPr>
                <w:rFonts w:ascii="Times New Roman" w:hAnsi="Times New Roman"/>
                <w:sz w:val="20"/>
              </w:rPr>
              <w:t>Geoff Nichol, M.B., Ch.B., M.B.A.</w:t>
            </w:r>
          </w:p>
        </w:tc>
        <w:tc>
          <w:tcPr>
            <w:tcW w:w="120" w:type="dxa"/>
            <w:tcBorders/>
            <w:vAlign w:val="bottom"/>
          </w:tcPr>
          <w:p>
            <w:pPr>
              <w:pStyle w:val="TableContents"/>
              <w:bidi w:val="0"/>
              <w:spacing w:before="0" w:after="283"/>
              <w:jc w:val="left"/>
              <w:rPr/>
            </w:pPr>
            <w:r>
              <w:rPr/>
              <w:t>  </w:t>
            </w:r>
          </w:p>
        </w:tc>
        <w:tc>
          <w:tcPr>
            <w:tcW w:w="4344"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40" w:type="dxa"/>
            <w:tcBorders/>
          </w:tcPr>
          <w:p>
            <w:pPr>
              <w:pStyle w:val="TableContents"/>
              <w:bidi w:val="0"/>
              <w:spacing w:before="0" w:after="283"/>
              <w:jc w:val="center"/>
              <w:rPr/>
            </w:pPr>
            <w:r>
              <w:rPr/>
              <w:t>March 19, 2024</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64" w:type="dxa"/>
            <w:gridSpan w:val="2"/>
            <w:tcBorders/>
            <w:vAlign w:val="center"/>
          </w:tcPr>
          <w:p>
            <w:pPr>
              <w:pStyle w:val="TableContents"/>
              <w:bidi w:val="0"/>
              <w:spacing w:before="0" w:after="283"/>
              <w:jc w:val="left"/>
              <w:rPr>
                <w:sz w:val="4"/>
                <w:szCs w:val="4"/>
              </w:rPr>
            </w:pPr>
            <w:r>
              <w:rPr>
                <w:sz w:val="4"/>
                <w:szCs w:val="4"/>
              </w:rPr>
            </w:r>
          </w:p>
        </w:tc>
        <w:tc>
          <w:tcPr>
            <w:tcW w:w="1946"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Christine Pellizzari</w:t>
            </w:r>
          </w:p>
          <w:p>
            <w:pPr>
              <w:pStyle w:val="TableContents"/>
              <w:bidi w:val="0"/>
              <w:spacing w:before="0" w:after="20"/>
              <w:jc w:val="center"/>
              <w:rPr>
                <w:rFonts w:ascii="Times New Roman" w:hAnsi="Times New Roman"/>
                <w:sz w:val="20"/>
              </w:rPr>
            </w:pPr>
            <w:r>
              <w:rPr>
                <w:rFonts w:ascii="Times New Roman" w:hAnsi="Times New Roman"/>
                <w:sz w:val="20"/>
              </w:rPr>
              <w:t>Christine Pellizzari</w:t>
            </w:r>
          </w:p>
        </w:tc>
        <w:tc>
          <w:tcPr>
            <w:tcW w:w="120" w:type="dxa"/>
            <w:tcBorders/>
            <w:vAlign w:val="bottom"/>
          </w:tcPr>
          <w:p>
            <w:pPr>
              <w:pStyle w:val="TableContents"/>
              <w:bidi w:val="0"/>
              <w:spacing w:before="0" w:after="283"/>
              <w:jc w:val="left"/>
              <w:rPr/>
            </w:pPr>
            <w:r>
              <w:rPr/>
              <w:t>  </w:t>
            </w:r>
          </w:p>
        </w:tc>
        <w:tc>
          <w:tcPr>
            <w:tcW w:w="4344"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40" w:type="dxa"/>
            <w:tcBorders/>
          </w:tcPr>
          <w:p>
            <w:pPr>
              <w:pStyle w:val="TableContents"/>
              <w:bidi w:val="0"/>
              <w:spacing w:before="0" w:after="283"/>
              <w:jc w:val="center"/>
              <w:rPr/>
            </w:pPr>
            <w:r>
              <w:rPr/>
              <w:t>March 19, 2024</w:t>
            </w:r>
          </w:p>
        </w:tc>
      </w:tr>
      <w:tr>
        <w:trPr>
          <w:trHeight w:val="240" w:hRule="atLeast"/>
        </w:trPr>
        <w:tc>
          <w:tcPr>
            <w:tcW w:w="3795" w:type="dxa"/>
            <w:tcBorders/>
            <w:vAlign w:val="center"/>
          </w:tcPr>
          <w:p>
            <w:pPr>
              <w:pStyle w:val="TableContents"/>
              <w:bidi w:val="0"/>
              <w:spacing w:before="0" w:after="283"/>
              <w:jc w:val="left"/>
              <w:rPr>
                <w:sz w:val="4"/>
                <w:szCs w:val="4"/>
              </w:rPr>
            </w:pPr>
            <w:r>
              <w:rPr>
                <w:sz w:val="4"/>
                <w:szCs w:val="4"/>
              </w:rPr>
            </w:r>
          </w:p>
        </w:tc>
        <w:tc>
          <w:tcPr>
            <w:tcW w:w="4464" w:type="dxa"/>
            <w:gridSpan w:val="2"/>
            <w:tcBorders/>
            <w:vAlign w:val="center"/>
          </w:tcPr>
          <w:p>
            <w:pPr>
              <w:pStyle w:val="TableContents"/>
              <w:bidi w:val="0"/>
              <w:spacing w:before="0" w:after="283"/>
              <w:jc w:val="left"/>
              <w:rPr>
                <w:sz w:val="4"/>
                <w:szCs w:val="4"/>
              </w:rPr>
            </w:pPr>
            <w:r>
              <w:rPr>
                <w:sz w:val="4"/>
                <w:szCs w:val="4"/>
              </w:rPr>
            </w:r>
          </w:p>
        </w:tc>
        <w:tc>
          <w:tcPr>
            <w:tcW w:w="1946" w:type="dxa"/>
            <w:gridSpan w:val="2"/>
            <w:tcBorders/>
            <w:vAlign w:val="center"/>
          </w:tcPr>
          <w:p>
            <w:pPr>
              <w:pStyle w:val="TableContents"/>
              <w:bidi w:val="0"/>
              <w:spacing w:before="0" w:after="283"/>
              <w:jc w:val="left"/>
              <w:rPr>
                <w:sz w:val="4"/>
                <w:szCs w:val="4"/>
              </w:rPr>
            </w:pPr>
            <w:r>
              <w:rPr>
                <w:sz w:val="4"/>
                <w:szCs w:val="4"/>
              </w:rPr>
            </w:r>
          </w:p>
        </w:tc>
      </w:tr>
      <w:tr>
        <w:trPr/>
        <w:tc>
          <w:tcPr>
            <w:tcW w:w="379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Ronit Simantov</w:t>
            </w:r>
          </w:p>
          <w:p>
            <w:pPr>
              <w:pStyle w:val="TableContents"/>
              <w:bidi w:val="0"/>
              <w:spacing w:before="0" w:after="20"/>
              <w:jc w:val="center"/>
              <w:rPr>
                <w:rFonts w:ascii="Times New Roman" w:hAnsi="Times New Roman"/>
                <w:sz w:val="20"/>
              </w:rPr>
            </w:pPr>
            <w:r>
              <w:rPr>
                <w:rFonts w:ascii="Times New Roman" w:hAnsi="Times New Roman"/>
                <w:sz w:val="20"/>
              </w:rPr>
              <w:t>Ronit Simantov</w:t>
            </w:r>
          </w:p>
        </w:tc>
        <w:tc>
          <w:tcPr>
            <w:tcW w:w="120" w:type="dxa"/>
            <w:tcBorders/>
            <w:vAlign w:val="bottom"/>
          </w:tcPr>
          <w:p>
            <w:pPr>
              <w:pStyle w:val="TableContents"/>
              <w:bidi w:val="0"/>
              <w:spacing w:before="0" w:after="283"/>
              <w:jc w:val="left"/>
              <w:rPr/>
            </w:pPr>
            <w:r>
              <w:rPr/>
              <w:t>  </w:t>
            </w:r>
          </w:p>
        </w:tc>
        <w:tc>
          <w:tcPr>
            <w:tcW w:w="4344"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6" w:type="dxa"/>
            <w:tcBorders/>
            <w:vAlign w:val="bottom"/>
          </w:tcPr>
          <w:p>
            <w:pPr>
              <w:pStyle w:val="TableContents"/>
              <w:bidi w:val="0"/>
              <w:spacing w:before="0" w:after="283"/>
              <w:jc w:val="left"/>
              <w:rPr/>
            </w:pPr>
            <w:r>
              <w:rPr/>
              <w:t> </w:t>
            </w:r>
          </w:p>
        </w:tc>
        <w:tc>
          <w:tcPr>
            <w:tcW w:w="1840" w:type="dxa"/>
            <w:tcBorders/>
          </w:tcPr>
          <w:p>
            <w:pPr>
              <w:pStyle w:val="TableContents"/>
              <w:bidi w:val="0"/>
              <w:spacing w:before="0" w:after="283"/>
              <w:jc w:val="center"/>
              <w:rPr/>
            </w:pPr>
            <w:r>
              <w:rPr/>
              <w:t>March 19, 2024</w:t>
            </w:r>
          </w:p>
        </w:tc>
      </w:tr>
    </w:tbl>
    <w:p>
      <w:pPr>
        <w:pStyle w:val="TextBody"/>
        <w:bidi w:val="0"/>
        <w:spacing w:before="0" w:after="0"/>
        <w:jc w:val="right"/>
        <w:rPr>
          <w:rFonts w:ascii="Times New Roman" w:hAnsi="Times New Roman"/>
          <w:b/>
          <w:sz w:val="20"/>
        </w:rPr>
      </w:pPr>
      <w:bookmarkStart w:id="3" w:name="d784396dex51.htm"/>
      <w:bookmarkStart w:id="4" w:name="ksd784396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9540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5"/>
                    <a:stretch>
                      <a:fillRect/>
                    </a:stretch>
                  </pic:blipFill>
                  <pic:spPr bwMode="auto">
                    <a:xfrm>
                      <a:off x="0" y="0"/>
                      <a:ext cx="1295400" cy="4476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March 19, 2024 </w:t>
      </w:r>
    </w:p>
    <w:p>
      <w:pPr>
        <w:pStyle w:val="TextBody"/>
        <w:bidi w:val="0"/>
        <w:spacing w:before="240" w:after="0"/>
        <w:jc w:val="left"/>
        <w:rPr>
          <w:rFonts w:ascii="Times New Roman" w:hAnsi="Times New Roman"/>
          <w:sz w:val="20"/>
        </w:rPr>
      </w:pPr>
      <w:r>
        <w:rPr>
          <w:rFonts w:ascii="Times New Roman" w:hAnsi="Times New Roman"/>
          <w:sz w:val="20"/>
        </w:rPr>
        <w:t xml:space="preserve">Laura Berezin </w:t>
      </w:r>
    </w:p>
    <w:p>
      <w:pPr>
        <w:pStyle w:val="TextBody"/>
        <w:bidi w:val="0"/>
        <w:spacing w:before="0" w:after="0"/>
        <w:jc w:val="left"/>
        <w:rPr>
          <w:rFonts w:ascii="Times New Roman" w:hAnsi="Times New Roman"/>
          <w:sz w:val="20"/>
        </w:rPr>
      </w:pPr>
      <w:r>
        <w:rPr>
          <w:rFonts w:ascii="Times New Roman" w:hAnsi="Times New Roman"/>
          <w:sz w:val="20"/>
        </w:rPr>
        <w:t xml:space="preserve">T: +1 650 843 5128 </w:t>
      </w:r>
    </w:p>
    <w:p>
      <w:pPr>
        <w:pStyle w:val="TextBody"/>
        <w:bidi w:val="0"/>
        <w:spacing w:before="0" w:after="0"/>
        <w:jc w:val="left"/>
        <w:rPr>
          <w:rFonts w:ascii="Times New Roman" w:hAnsi="Times New Roman"/>
          <w:sz w:val="20"/>
        </w:rPr>
      </w:pPr>
      <w:r>
        <w:rPr>
          <w:rFonts w:ascii="Times New Roman" w:hAnsi="Times New Roman"/>
          <w:sz w:val="20"/>
        </w:rPr>
        <w:t xml:space="preserve">lberezin@cooley.com </w:t>
      </w:r>
    </w:p>
    <w:p>
      <w:pPr>
        <w:pStyle w:val="TextBody"/>
        <w:bidi w:val="0"/>
        <w:spacing w:before="240" w:after="0"/>
        <w:jc w:val="left"/>
        <w:rPr>
          <w:rFonts w:ascii="Times New Roman" w:hAnsi="Times New Roman"/>
          <w:sz w:val="20"/>
        </w:rPr>
      </w:pPr>
      <w:r>
        <w:rPr>
          <w:rFonts w:ascii="Times New Roman" w:hAnsi="Times New Roman"/>
          <w:sz w:val="20"/>
        </w:rPr>
        <w:t xml:space="preserve">Tempest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2000 Sierra Point Parkway, Suite 400 </w:t>
      </w:r>
    </w:p>
    <w:p>
      <w:pPr>
        <w:pStyle w:val="TextBody"/>
        <w:bidi w:val="0"/>
        <w:spacing w:before="0" w:after="0"/>
        <w:jc w:val="left"/>
        <w:rPr>
          <w:rFonts w:ascii="Times New Roman" w:hAnsi="Times New Roman"/>
          <w:sz w:val="20"/>
        </w:rPr>
      </w:pPr>
      <w:r>
        <w:rPr>
          <w:rFonts w:ascii="Times New Roman" w:hAnsi="Times New Roman"/>
          <w:sz w:val="20"/>
        </w:rPr>
        <w:t xml:space="preserve">Brisbane, California 94005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Tempest Therapeutics, Inc., a Delaware corporation (the </w:t>
      </w:r>
      <w:r>
        <w:rPr>
          <w:rFonts w:ascii="Times New Roman" w:hAnsi="Times New Roman"/>
          <w:b/>
          <w:i/>
          <w:sz w:val="20"/>
        </w:rPr>
        <w:t>Company</w:t>
      </w:r>
      <w:r>
        <w:rPr>
          <w:rFonts w:ascii="Times New Roman" w:hAnsi="Times New Roman"/>
          <w:sz w:val="20"/>
        </w:rPr>
        <w:t>), in connection with the filing by the Company of a Registration Statement on Form S-8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covering the offering of up to 1,370,266 shares (the </w:t>
      </w:r>
      <w:r>
        <w:rPr>
          <w:rFonts w:ascii="Times New Roman" w:hAnsi="Times New Roman"/>
          <w:b/>
          <w:i/>
          <w:sz w:val="20"/>
        </w:rPr>
        <w:t>Shares</w:t>
      </w:r>
      <w:r>
        <w:rPr>
          <w:rFonts w:ascii="Times New Roman" w:hAnsi="Times New Roman"/>
          <w:sz w:val="20"/>
        </w:rPr>
        <w:t>) of the Companys Common Stock, $0.001 par value, consisting of (a) 881,810 shares of Common Stock issuable under the Companys Amended and Restated 2023 Equity Incentive Plan (the </w:t>
      </w:r>
      <w:r>
        <w:rPr>
          <w:rFonts w:ascii="Times New Roman" w:hAnsi="Times New Roman"/>
          <w:b/>
          <w:i/>
          <w:sz w:val="20"/>
        </w:rPr>
        <w:t>2023 EIP</w:t>
      </w:r>
      <w:r>
        <w:rPr>
          <w:rFonts w:ascii="Times New Roman" w:hAnsi="Times New Roman"/>
          <w:sz w:val="20"/>
        </w:rPr>
        <w:t>), and (b) 488,456 shares of Common Stock issuable under the Companys Amended and Restated 2019 Employee Stock Purchase Plan (the </w:t>
      </w:r>
      <w:r>
        <w:rPr>
          <w:rFonts w:ascii="Times New Roman" w:hAnsi="Times New Roman"/>
          <w:b/>
          <w:i/>
          <w:sz w:val="20"/>
        </w:rPr>
        <w:t>2019 ESPP</w:t>
      </w:r>
      <w:r>
        <w:rPr>
          <w:rFonts w:ascii="Times New Roman" w:hAnsi="Times New Roman"/>
          <w:sz w:val="20"/>
        </w:rPr>
        <w:t> and together with the 2023 EIP, the </w:t>
      </w:r>
      <w:r>
        <w:rPr>
          <w:rFonts w:ascii="Times New Roman" w:hAnsi="Times New Roman"/>
          <w:b/>
          <w:i/>
          <w:sz w:val="20"/>
        </w:rPr>
        <w:t>Plans</w:t>
      </w:r>
      <w:r>
        <w:rPr>
          <w:rFonts w:ascii="Times New Roman" w:hAnsi="Times New Roman"/>
          <w:sz w:val="20"/>
        </w:rPr>
        <w:t>). Each share of Common Stock includes a preferred share purchase right (each, a </w:t>
      </w:r>
      <w:r>
        <w:rPr>
          <w:rFonts w:ascii="Times New Roman" w:hAnsi="Times New Roman"/>
          <w:b/>
          <w:i/>
          <w:sz w:val="20"/>
        </w:rPr>
        <w:t>Right</w:t>
      </w:r>
      <w:r>
        <w:rPr>
          <w:rFonts w:ascii="Times New Roman" w:hAnsi="Times New Roman"/>
          <w:sz w:val="20"/>
        </w:rPr>
        <w:t>, collectively, the </w:t>
      </w:r>
      <w:r>
        <w:rPr>
          <w:rFonts w:ascii="Times New Roman" w:hAnsi="Times New Roman"/>
          <w:b/>
          <w:i/>
          <w:sz w:val="20"/>
        </w:rPr>
        <w:t>Rights</w:t>
      </w:r>
      <w:r>
        <w:rPr>
          <w:rFonts w:ascii="Times New Roman" w:hAnsi="Times New Roman"/>
          <w:sz w:val="20"/>
        </w:rPr>
        <w:t>) as set forth in Rights Agreement (the </w:t>
      </w:r>
      <w:r>
        <w:rPr>
          <w:rFonts w:ascii="Times New Roman" w:hAnsi="Times New Roman"/>
          <w:b/>
          <w:i/>
          <w:sz w:val="20"/>
        </w:rPr>
        <w:t>Rights Plan</w:t>
      </w:r>
      <w:r>
        <w:rPr>
          <w:rFonts w:ascii="Times New Roman" w:hAnsi="Times New Roman"/>
          <w:sz w:val="20"/>
        </w:rPr>
        <w:t>), dated as October 10, 2023, between the Company and Computershare Trust Company, N.A., as rights agent (the </w:t>
      </w:r>
      <w:r>
        <w:rPr>
          <w:rFonts w:ascii="Times New Roman" w:hAnsi="Times New Roman"/>
          <w:b/>
          <w:i/>
          <w:sz w:val="20"/>
        </w:rPr>
        <w:t>Rights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(a) the Registration Statement and related prospectus, (b) the Plans, (c) the Companys certificate of incorporation and bylaws, each as currently in effect, (d) the Rights Plan and (e) such other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our opinion concerning the Rights: </w:t>
      </w:r>
    </w:p>
    <w:p>
      <w:pPr>
        <w:pStyle w:val="TextBody"/>
        <w:bidi w:val="0"/>
        <w:spacing w:before="120" w:after="0"/>
        <w:jc w:val="left"/>
        <w:rPr>
          <w:rFonts w:ascii="Times New Roman" w:hAnsi="Times New Roman"/>
          <w:sz w:val="20"/>
        </w:rPr>
      </w:pPr>
      <w:r>
        <w:rPr>
          <w:rFonts w:ascii="Times New Roman" w:hAnsi="Times New Roman"/>
          <w:sz w:val="20"/>
        </w:rPr>
        <w:t>(i) Our opinion does not address the determination a court of competent jurisdiction may make regarding whether the Companys board of directors (the </w:t>
      </w:r>
      <w:r>
        <w:rPr>
          <w:rFonts w:ascii="Times New Roman" w:hAnsi="Times New Roman"/>
          <w:b/>
          <w:i/>
          <w:sz w:val="20"/>
        </w:rPr>
        <w:t>Board</w:t>
      </w:r>
      <w:r>
        <w:rPr>
          <w:rFonts w:ascii="Times New Roman" w:hAnsi="Times New Roman"/>
          <w:sz w:val="20"/>
        </w:rPr>
        <w:t xml:space="preserve">) may be required to redeem or terminate, or take other action with respect to, the Rights or Rights Plan in the future based on the facts and circumstances then existing. </w:t>
      </w:r>
    </w:p>
    <w:p>
      <w:pPr>
        <w:pStyle w:val="TextBody"/>
        <w:bidi w:val="0"/>
        <w:spacing w:before="240" w:after="0"/>
        <w:jc w:val="left"/>
        <w:rPr>
          <w:rFonts w:ascii="Times New Roman" w:hAnsi="Times New Roman"/>
          <w:sz w:val="20"/>
        </w:rPr>
      </w:pPr>
      <w:r>
        <w:rPr>
          <w:rFonts w:ascii="Times New Roman" w:hAnsi="Times New Roman"/>
          <w:sz w:val="20"/>
        </w:rPr>
        <w:t xml:space="preserve">(ii) Our opinion assumes that the Rights Plan has been duly authorized, executed and delivered by the Rights Agent and that members of the Board have acted in a manner consistent with their fiduciary duties as required under applicable law in adopting the Rights Plan. With respect to Rights associated with Shares to be offered in the future under the Registration Statement, our opinion assumes the Rights Plan has not been terminated by the Company or expired by its terms and the Rights have not expired or been redeemed or exchanged by the Company, in each case, prior to the issuance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(iii) Our opinion addresses corporate procedures in connection with the issuance of the Rights associated with the Shares of the Company, and not any particular provision of the Rights or the Rights Plan. It should be understood that it is not settled whether the invalidity of any particular provision of a rights agreement or purchase rights issued thereunder would invalidate such rights in their entirety.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1700 Seventh Avenue Suite 1900. Seattle, WA 98101-1355 </w:t>
      </w:r>
    </w:p>
    <w:p>
      <w:pPr>
        <w:pStyle w:val="TextBody"/>
        <w:bidi w:val="0"/>
        <w:spacing w:before="0" w:after="0"/>
        <w:jc w:val="center"/>
        <w:rPr>
          <w:rFonts w:ascii="Times New Roman" w:hAnsi="Times New Roman"/>
          <w:sz w:val="20"/>
        </w:rPr>
      </w:pPr>
      <w:r>
        <w:rPr>
          <w:rFonts w:ascii="Times New Roman" w:hAnsi="Times New Roman"/>
          <w:sz w:val="20"/>
        </w:rPr>
        <w:t xml:space="preserve">t: (206) 452-8700 f: (206) 452-8800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6"/>
                    <a:stretch>
                      <a:fillRect/>
                    </a:stretch>
                  </pic:blipFill>
                  <pic:spPr bwMode="auto">
                    <a:xfrm>
                      <a:off x="0" y="0"/>
                      <a:ext cx="1295400" cy="4476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in reliance thereon, and subject to the qualifications herein stated, we are of the opinion that the Shares and associated Rights, when sold and issued against payment therefor in accordance with the Plans, the Registration Statement and the related prospectuses, will be validly issued, and the Shares will be fully paid and nonassessable (except as to shares issued pursuant to deferred payment arrangements, which will be fully paid and nonassessable when such deferred payments are made in full).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matters expressly set forth in this letter, and no opinion should be implied, or may be inferred, beyond the matters expressly stated. This opinion speaks only as to law and facts in effect or existing as of the date hereof and we take no obligation or responsibility to update or supplement this opinion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w:t>
            </w:r>
            <w:r>
              <w:rPr>
                <w:sz w:val="20"/>
              </w:rPr>
              <w:t>OOLEY</w:t>
            </w:r>
            <w:r>
              <w:rPr/>
              <w:t xml:space="preserve"> LLP</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Laura Berezin</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Laura Berezin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1700 Seventh Avenue Suite 1900. Seattle, WA 98101-1355 </w:t>
      </w:r>
    </w:p>
    <w:p>
      <w:pPr>
        <w:pStyle w:val="TextBody"/>
        <w:bidi w:val="0"/>
        <w:spacing w:before="0" w:after="0"/>
        <w:jc w:val="center"/>
        <w:rPr>
          <w:rFonts w:ascii="Times New Roman" w:hAnsi="Times New Roman"/>
          <w:sz w:val="20"/>
        </w:rPr>
      </w:pPr>
      <w:r>
        <w:rPr>
          <w:rFonts w:ascii="Times New Roman" w:hAnsi="Times New Roman"/>
          <w:sz w:val="20"/>
        </w:rPr>
        <w:t xml:space="preserve">t: (206) 452-8700 f: (206) 452-8800 cooley.com </w:t>
      </w:r>
    </w:p>
    <w:p>
      <w:pPr>
        <w:pStyle w:val="TextBody"/>
        <w:bidi w:val="0"/>
        <w:spacing w:before="0" w:after="0"/>
        <w:jc w:val="right"/>
        <w:rPr>
          <w:rFonts w:ascii="Times New Roman" w:hAnsi="Times New Roman"/>
          <w:b/>
          <w:sz w:val="20"/>
        </w:rPr>
      </w:pPr>
      <w:bookmarkStart w:id="5" w:name="d784396dex232.htm"/>
      <w:bookmarkStart w:id="6" w:name="ksd784396dex232"/>
      <w:bookmarkEnd w:id="5"/>
      <w:bookmarkEnd w:id="6"/>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pertaining to the Tempest Therapeutics, Inc. Amended and Restated 2023 Equity Incentive Plan and the Tempest Therapeutics, Inc. Amended and Restated 2019 Employee Stock Purchase Plan of our report dated March 19, 2024, with respect to the consolidated financial statements of Tempest Therapeutics, Inc. included in its Annual Report (Form 10-K) for the year ended December 31, 2023,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Chicago, Illinois </w:t>
      </w:r>
    </w:p>
    <w:p>
      <w:pPr>
        <w:pStyle w:val="TextBody"/>
        <w:bidi w:val="0"/>
        <w:spacing w:before="0" w:after="0"/>
        <w:jc w:val="left"/>
        <w:rPr>
          <w:rFonts w:ascii="Times New Roman" w:hAnsi="Times New Roman"/>
          <w:sz w:val="20"/>
        </w:rPr>
      </w:pPr>
      <w:r>
        <w:rPr>
          <w:rFonts w:ascii="Times New Roman" w:hAnsi="Times New Roman"/>
          <w:sz w:val="20"/>
        </w:rPr>
        <w:t xml:space="preserve">March 19, 2024 </w:t>
      </w:r>
    </w:p>
    <w:p>
      <w:pPr>
        <w:pStyle w:val="TextBody"/>
        <w:bidi w:val="0"/>
        <w:spacing w:before="0" w:after="0"/>
        <w:jc w:val="right"/>
        <w:rPr>
          <w:rFonts w:ascii="Times New Roman" w:hAnsi="Times New Roman"/>
          <w:b/>
          <w:sz w:val="20"/>
        </w:rPr>
      </w:pPr>
      <w:bookmarkStart w:id="7" w:name="d784396dexfilingfees.htm"/>
      <w:bookmarkStart w:id="8" w:name="ksd784396dexfilingfees"/>
      <w:bookmarkEnd w:id="7"/>
      <w:bookmarkEnd w:id="8"/>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 </w:t>
      </w:r>
    </w:p>
    <w:p>
      <w:pPr>
        <w:pStyle w:val="TextBody"/>
        <w:bidi w:val="0"/>
        <w:spacing w:before="240" w:after="0"/>
        <w:jc w:val="center"/>
        <w:rPr>
          <w:rFonts w:ascii="Times New Roman" w:hAnsi="Times New Roman"/>
          <w:b/>
          <w:sz w:val="20"/>
        </w:rPr>
      </w:pPr>
      <w:r>
        <w:rPr>
          <w:rFonts w:ascii="Times New Roman" w:hAnsi="Times New Roman"/>
          <w:b/>
          <w:sz w:val="20"/>
        </w:rPr>
        <w:t xml:space="preserve">Form S-8 </w:t>
      </w:r>
    </w:p>
    <w:p>
      <w:pPr>
        <w:pStyle w:val="TextBody"/>
        <w:bidi w:val="0"/>
        <w:spacing w:before="240" w:after="0"/>
        <w:jc w:val="center"/>
        <w:rPr>
          <w:rFonts w:ascii="Times New Roman" w:hAnsi="Times New Roman"/>
          <w:b/>
          <w:sz w:val="20"/>
        </w:rPr>
      </w:pPr>
      <w:r>
        <w:rPr>
          <w:rFonts w:ascii="Times New Roman" w:hAnsi="Times New Roman"/>
          <w:b/>
          <w:sz w:val="20"/>
        </w:rPr>
        <w:t xml:space="preserve">Tempest Therapeutics, Inc. </w:t>
      </w:r>
    </w:p>
    <w:p>
      <w:pPr>
        <w:pStyle w:val="TextBody"/>
        <w:bidi w:val="0"/>
        <w:spacing w:before="240" w:after="0"/>
        <w:jc w:val="center"/>
        <w:rPr>
          <w:rFonts w:ascii="Times New Roman" w:hAnsi="Times New Roman"/>
          <w:sz w:val="20"/>
        </w:rPr>
      </w:pPr>
      <w:r>
        <w:rPr>
          <w:rFonts w:ascii="Times New Roman" w:hAnsi="Times New Roman"/>
          <w:sz w:val="20"/>
        </w:rPr>
        <w:t xml:space="preserve">Table 1  Newly Registered Securities </w:t>
      </w:r>
    </w:p>
    <w:p>
      <w:pPr>
        <w:pStyle w:val="TextBody"/>
        <w:bidi w:val="0"/>
        <w:spacing w:before="0" w:after="0"/>
        <w:jc w:val="left"/>
        <w:rPr/>
      </w:pPr>
      <w:r>
        <w:rPr/>
        <w:t> </w:t>
      </w:r>
    </w:p>
    <w:tbl>
      <w:tblPr>
        <w:tblW w:w="11350" w:type="dxa"/>
        <w:jc w:val="center"/>
        <w:tblInd w:w="0" w:type="dxa"/>
        <w:tblLayout w:type="fixed"/>
        <w:tblCellMar>
          <w:top w:w="0" w:type="dxa"/>
          <w:left w:w="0" w:type="dxa"/>
          <w:bottom w:w="0" w:type="dxa"/>
          <w:right w:w="0" w:type="dxa"/>
        </w:tblCellMar>
      </w:tblPr>
      <w:tblGrid>
        <w:gridCol w:w="1355"/>
        <w:gridCol w:w="120"/>
        <w:gridCol w:w="2240"/>
        <w:gridCol w:w="120"/>
        <w:gridCol w:w="1100"/>
        <w:gridCol w:w="120"/>
        <w:gridCol w:w="1100"/>
        <w:gridCol w:w="120"/>
        <w:gridCol w:w="995"/>
        <w:gridCol w:w="120"/>
        <w:gridCol w:w="1400"/>
        <w:gridCol w:w="120"/>
        <w:gridCol w:w="1160"/>
        <w:gridCol w:w="120"/>
        <w:gridCol w:w="1160"/>
      </w:tblGrid>
      <w:tr>
        <w:trPr/>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135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3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55" w:type="dxa"/>
            <w:tcBorders>
              <w:left w:val="single" w:sz="2" w:space="0" w:color="000000"/>
            </w:tcBorders>
            <w:tcMar>
              <w:left w:w="160" w:type="dxa"/>
            </w:tcMar>
            <w:vAlign w:val="bottom"/>
          </w:tcPr>
          <w:p>
            <w:pPr>
              <w:pStyle w:val="TableContents"/>
              <w:bidi w:val="0"/>
              <w:spacing w:before="0" w:after="283"/>
              <w:jc w:val="center"/>
              <w:rPr/>
            </w:pPr>
            <w:r>
              <w:rPr/>
              <w:t>Security Type</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224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0"/>
              <w:jc w:val="center"/>
              <w:rPr>
                <w:rFonts w:ascii="Times New Roman" w:hAnsi="Times New Roman"/>
                <w:sz w:val="14"/>
              </w:rPr>
            </w:pPr>
            <w:r>
              <w:rPr>
                <w:rFonts w:ascii="Times New Roman" w:hAnsi="Times New Roman"/>
                <w:sz w:val="14"/>
              </w:rPr>
              <w:t>Class</w:t>
            </w:r>
          </w:p>
          <w:p>
            <w:pPr>
              <w:pStyle w:val="TableContents"/>
              <w:bidi w:val="0"/>
              <w:spacing w:before="0" w:after="20"/>
              <w:jc w:val="center"/>
              <w:rPr>
                <w:rFonts w:ascii="Times New Roman" w:hAnsi="Times New Roman"/>
                <w:sz w:val="14"/>
              </w:rPr>
            </w:pPr>
            <w:r>
              <w:rPr>
                <w:rFonts w:ascii="Times New Roman" w:hAnsi="Times New Roman"/>
                <w:sz w:val="14"/>
              </w:rPr>
              <w:t>Title</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Fee</w:t>
              <w:br/>
              <w:t>Calculation</w:t>
              <w:br/>
              <w:t>Rule</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Amount</w:t>
              <w:br/>
              <w:t>Registered(1)</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Proposed</w:t>
              <w:br/>
              <w:t>Maximum</w:t>
              <w:br/>
              <w:t>Offering</w:t>
              <w:br/>
              <w:t>Price Per</w:t>
              <w:br/>
              <w:t>Unit</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pPr>
            <w:r>
              <w:rPr/>
              <w:t>Maximum</w:t>
              <w:br/>
              <w:t>Aggregate</w:t>
              <w:br/>
              <w:t>Offering</w:t>
              <w:br/>
              <w:t>Price</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Fee</w:t>
              <w:br/>
              <w:t>Rate</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Amount of</w:t>
              <w:br/>
              <w:t>Registration</w:t>
              <w:br/>
              <w:t>Fee</w:t>
            </w:r>
          </w:p>
        </w:tc>
      </w:tr>
      <w:tr>
        <w:trPr>
          <w:trHeight w:val="15" w:hRule="atLeast"/>
        </w:trPr>
        <w:tc>
          <w:tcPr>
            <w:tcW w:w="135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3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55" w:type="dxa"/>
            <w:tcBorders>
              <w:left w:val="single" w:sz="2" w:space="0" w:color="000000"/>
            </w:tcBorders>
            <w:tcMar>
              <w:left w:w="160" w:type="dxa"/>
            </w:tcMar>
            <w:vAlign w:val="bottom"/>
          </w:tcPr>
          <w:p>
            <w:pPr>
              <w:pStyle w:val="TableContents"/>
              <w:bidi w:val="0"/>
              <w:spacing w:before="0" w:after="283"/>
              <w:jc w:val="center"/>
              <w:rPr/>
            </w:pPr>
            <w:r>
              <w:rPr/>
              <w:t>Equity</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2240" w:type="dxa"/>
            <w:tcBorders/>
            <w:vAlign w:val="bottom"/>
          </w:tcPr>
          <w:p>
            <w:pPr>
              <w:pStyle w:val="TableContents"/>
              <w:bidi w:val="0"/>
              <w:spacing w:before="0" w:after="283"/>
              <w:jc w:val="center"/>
              <w:rPr/>
            </w:pPr>
            <w:r>
              <w:rPr/>
              <w:t>Common stock, $0.001 par value per share, 2023 Equity Incentive Plan</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tcPr>
          <w:p>
            <w:pPr>
              <w:pStyle w:val="TableContents"/>
              <w:bidi w:val="0"/>
              <w:spacing w:before="0" w:after="283"/>
              <w:jc w:val="center"/>
              <w:rPr/>
            </w:pPr>
            <w:r>
              <w:rPr/>
              <w:t>Rule 457(c) and (h)</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tcPr>
          <w:p>
            <w:pPr>
              <w:pStyle w:val="TableContents"/>
              <w:bidi w:val="0"/>
              <w:spacing w:before="0" w:after="283"/>
              <w:jc w:val="center"/>
              <w:rPr/>
            </w:pPr>
            <w:r>
              <w:rPr/>
              <w:t>881,810(3) </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tcPr>
          <w:p>
            <w:pPr>
              <w:pStyle w:val="TableContents"/>
              <w:bidi w:val="0"/>
              <w:spacing w:before="0" w:after="283"/>
              <w:jc w:val="center"/>
              <w:rPr/>
            </w:pPr>
            <w:r>
              <w:rPr/>
              <w:t>3.56(2) </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400" w:type="dxa"/>
            <w:tcBorders/>
          </w:tcPr>
          <w:p>
            <w:pPr>
              <w:pStyle w:val="TableContents"/>
              <w:bidi w:val="0"/>
              <w:spacing w:before="0" w:after="283"/>
              <w:jc w:val="center"/>
              <w:rPr/>
            </w:pPr>
            <w:r>
              <w:rPr/>
              <w:t>$3,139,243.60 </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tcPr>
          <w:p>
            <w:pPr>
              <w:pStyle w:val="TableContents"/>
              <w:bidi w:val="0"/>
              <w:spacing w:before="0" w:after="283"/>
              <w:jc w:val="center"/>
              <w:rPr/>
            </w:pPr>
            <w:r>
              <w:rPr/>
              <w:t>0.00014760 </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tcPr>
          <w:p>
            <w:pPr>
              <w:pStyle w:val="TableContents"/>
              <w:bidi w:val="0"/>
              <w:spacing w:before="0" w:after="283"/>
              <w:jc w:val="center"/>
              <w:rPr/>
            </w:pPr>
            <w:r>
              <w:rPr/>
              <w:t>$463.36</w:t>
            </w:r>
          </w:p>
        </w:tc>
      </w:tr>
      <w:tr>
        <w:trPr>
          <w:trHeight w:val="15" w:hRule="atLeast"/>
        </w:trPr>
        <w:tc>
          <w:tcPr>
            <w:tcW w:w="135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3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355" w:type="dxa"/>
            <w:tcBorders>
              <w:left w:val="single" w:sz="2" w:space="0" w:color="000000"/>
            </w:tcBorders>
            <w:tcMar>
              <w:left w:w="160" w:type="dxa"/>
            </w:tcMar>
            <w:vAlign w:val="bottom"/>
          </w:tcPr>
          <w:p>
            <w:pPr>
              <w:pStyle w:val="TableContents"/>
              <w:bidi w:val="0"/>
              <w:spacing w:before="0" w:after="283"/>
              <w:jc w:val="center"/>
              <w:rPr/>
            </w:pPr>
            <w:r>
              <w:rPr/>
              <w:t>Equity</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2240" w:type="dxa"/>
            <w:tcBorders/>
            <w:vAlign w:val="bottom"/>
          </w:tcPr>
          <w:p>
            <w:pPr>
              <w:pStyle w:val="TableContents"/>
              <w:bidi w:val="0"/>
              <w:spacing w:before="0" w:after="283"/>
              <w:jc w:val="center"/>
              <w:rPr/>
            </w:pPr>
            <w:r>
              <w:rPr/>
              <w:t>Common stock, $0.001 par value per share, 2019 Employee Stock Purchase Plan</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tcPr>
          <w:p>
            <w:pPr>
              <w:pStyle w:val="TableContents"/>
              <w:bidi w:val="0"/>
              <w:spacing w:before="0" w:after="283"/>
              <w:jc w:val="center"/>
              <w:rPr/>
            </w:pPr>
            <w:r>
              <w:rPr/>
              <w:t>Rule 457(c) and (h)</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tcPr>
          <w:p>
            <w:pPr>
              <w:pStyle w:val="TableContents"/>
              <w:bidi w:val="0"/>
              <w:spacing w:before="0" w:after="283"/>
              <w:jc w:val="center"/>
              <w:rPr/>
            </w:pPr>
            <w:r>
              <w:rPr/>
              <w:t>488,456(5) </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tcPr>
          <w:p>
            <w:pPr>
              <w:pStyle w:val="TableContents"/>
              <w:bidi w:val="0"/>
              <w:spacing w:before="0" w:after="283"/>
              <w:jc w:val="center"/>
              <w:rPr/>
            </w:pPr>
            <w:r>
              <w:rPr/>
              <w:t>3.026(4) </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400" w:type="dxa"/>
            <w:tcBorders/>
          </w:tcPr>
          <w:p>
            <w:pPr>
              <w:pStyle w:val="TableContents"/>
              <w:bidi w:val="0"/>
              <w:spacing w:before="0" w:after="283"/>
              <w:jc w:val="center"/>
              <w:rPr/>
            </w:pPr>
            <w:r>
              <w:rPr/>
              <w:t>$1,478,067.86 </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tcPr>
          <w:p>
            <w:pPr>
              <w:pStyle w:val="TableContents"/>
              <w:bidi w:val="0"/>
              <w:spacing w:before="0" w:after="283"/>
              <w:jc w:val="center"/>
              <w:rPr/>
            </w:pPr>
            <w:r>
              <w:rPr/>
              <w:t>0.00014760 </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tcPr>
          <w:p>
            <w:pPr>
              <w:pStyle w:val="TableContents"/>
              <w:bidi w:val="0"/>
              <w:spacing w:before="0" w:after="283"/>
              <w:jc w:val="center"/>
              <w:rPr/>
            </w:pPr>
            <w:r>
              <w:rPr/>
              <w:t>$218.17</w:t>
            </w:r>
          </w:p>
        </w:tc>
      </w:tr>
      <w:tr>
        <w:trPr>
          <w:trHeight w:val="15" w:hRule="atLeast"/>
        </w:trPr>
        <w:tc>
          <w:tcPr>
            <w:tcW w:w="6155"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6155" w:type="dxa"/>
            <w:gridSpan w:val="7"/>
            <w:tcBorders>
              <w:left w:val="single" w:sz="2" w:space="0" w:color="000000"/>
            </w:tcBorders>
            <w:tcMar>
              <w:left w:w="160" w:type="dxa"/>
            </w:tcMar>
          </w:tcPr>
          <w:p>
            <w:pPr>
              <w:pStyle w:val="TableContents"/>
              <w:bidi w:val="0"/>
              <w:spacing w:before="0" w:after="283"/>
              <w:jc w:val="center"/>
              <w:rPr/>
            </w:pPr>
            <w:r>
              <w:rPr/>
              <w:t>Total Offering Amounts</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pPr>
            <w:r>
              <w:rPr/>
              <w:t>$4,617,311.46 </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$681.53</w:t>
            </w:r>
          </w:p>
        </w:tc>
      </w:tr>
      <w:tr>
        <w:trPr>
          <w:trHeight w:val="15" w:hRule="atLeast"/>
        </w:trPr>
        <w:tc>
          <w:tcPr>
            <w:tcW w:w="6155"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6155" w:type="dxa"/>
            <w:gridSpan w:val="7"/>
            <w:tcBorders>
              <w:left w:val="single" w:sz="2" w:space="0" w:color="000000"/>
            </w:tcBorders>
            <w:tcMar>
              <w:left w:w="160" w:type="dxa"/>
            </w:tcMar>
          </w:tcPr>
          <w:p>
            <w:pPr>
              <w:pStyle w:val="TableContents"/>
              <w:bidi w:val="0"/>
              <w:spacing w:before="0" w:after="283"/>
              <w:jc w:val="center"/>
              <w:rPr/>
            </w:pPr>
            <w:r>
              <w:rPr/>
              <w:t>Total Fees Previously Paid</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pPr>
            <w:r>
              <w:rPr/>
              <w:t></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6155"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6155" w:type="dxa"/>
            <w:gridSpan w:val="7"/>
            <w:tcBorders>
              <w:left w:val="single" w:sz="2" w:space="0" w:color="000000"/>
            </w:tcBorders>
            <w:tcMar>
              <w:left w:w="160" w:type="dxa"/>
            </w:tcMar>
          </w:tcPr>
          <w:p>
            <w:pPr>
              <w:pStyle w:val="TableContents"/>
              <w:bidi w:val="0"/>
              <w:spacing w:before="0" w:after="283"/>
              <w:jc w:val="center"/>
              <w:rPr/>
            </w:pPr>
            <w:r>
              <w:rPr/>
              <w:t>Total Fee Offsets</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pPr>
            <w:r>
              <w:rPr/>
              <w:t></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6155"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1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6155" w:type="dxa"/>
            <w:gridSpan w:val="7"/>
            <w:tcBorders>
              <w:left w:val="single" w:sz="2" w:space="0" w:color="000000"/>
              <w:bottom w:val="single" w:sz="2" w:space="0" w:color="000000"/>
            </w:tcBorders>
            <w:tcMar>
              <w:left w:w="160" w:type="dxa"/>
              <w:bottom w:w="28" w:type="dxa"/>
            </w:tcMar>
          </w:tcPr>
          <w:p>
            <w:pPr>
              <w:pStyle w:val="TableContents"/>
              <w:bidi w:val="0"/>
              <w:spacing w:before="0" w:after="283"/>
              <w:jc w:val="center"/>
              <w:rPr/>
            </w:pPr>
            <w:r>
              <w:rPr/>
              <w:t>Net Fee Due</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tcBorders>
            <w:tcMar>
              <w:bottom w:w="28" w:type="dxa"/>
            </w:tcMar>
            <w:vAlign w:val="bottom"/>
          </w:tcPr>
          <w:p>
            <w:pPr>
              <w:pStyle w:val="TableContents"/>
              <w:bidi w:val="0"/>
              <w:spacing w:before="0" w:after="283"/>
              <w:jc w:val="center"/>
              <w:rPr/>
            </w:pPr>
            <w:r>
              <w:rPr/>
              <w:t></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00" w:type="dxa"/>
            <w:tcBorders>
              <w:bottom w:val="single" w:sz="2" w:space="0" w:color="000000"/>
            </w:tcBorders>
            <w:tcMar>
              <w:bottom w:w="28" w:type="dxa"/>
            </w:tcMar>
            <w:vAlign w:val="bottom"/>
          </w:tcPr>
          <w:p>
            <w:pPr>
              <w:pStyle w:val="TableContents"/>
              <w:bidi w:val="0"/>
              <w:spacing w:before="0" w:after="283"/>
              <w:jc w:val="center"/>
              <w:rPr/>
            </w:pPr>
            <w:r>
              <w:rPr/>
              <w:t></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bottom"/>
          </w:tcPr>
          <w:p>
            <w:pPr>
              <w:pStyle w:val="TableContents"/>
              <w:bidi w:val="0"/>
              <w:spacing w:before="0" w:after="283"/>
              <w:jc w:val="center"/>
              <w:rPr/>
            </w:pPr>
            <w:r>
              <w:rPr/>
              <w:t></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$681.53</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 416(a) promulgated under the Securities Act of 1933, as amended, this Registration Statement shall also cover any additional shares of common stock of Tempest Therapeutics, Inc. (the Registrant) that become issuable under the Registrants 2023 Equity Incentive Plan (the 2023 Plan) and the Registrants 2019 Employee Stock Purchase Plan (the 2019 ESPP) by reason of any stock dividend, stock split, recapitalization, or other similar transaction effected that results in an increase to the number of outstanding shares of Registrants common stock, as applicable.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in accordance with Rule 457(c) and (h) solely for the purpose of calculating the registration fee on the basis of $3.56 per share of common stock, which represents the average of the high and low prices of the Registrants common stock as reported on The Nasdaq Capital Market on March 15,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881,810 additional shares of Registrants common stock that were automatically added to the shares authorized for issuance under the 2023 Plan on January 1, 2024 pursuant to an annual evergreen increase provision contained in the 2023 Plan. Pursuant to such provision, the number of shares reserved for issuance under the 2023 Plan will automatically increase on the first day of each calendar year, starting on January 1, 2024 and ending on (and including) January 1, 2033, by the lesser of (a) 4% of the total number of shares of the Registrants common stock of all classes outstanding on December 31st of the immediately preceding calendar year and (b) a number of shares determined by the Registrants board of directors prior to the first day of any calendar year.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in accordance with Rule 457(c) and (h) solely for the purpose of calculating the registration fee on the basis of $3.56 per share of common stock, which represents the average of the high and low prices of the Registrants common stock as reported on The Nasdaq Capital Market on March 15, 2024, multiplied by 85%, which is the percentage of the price per share applicable to shares issued under the 2019 ESPP.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330,678 additional shares of common stock reserved for issuance under, and which annual increase is provided for in, the 2019 ESPP that were automatically added to the shares authorized for issuance under the 2019 ESPP on January 1, 2024 and (ii) 157,778 additional shares of common stock reserved for issuance under, and which annual increase is provided for in, the 2019 ESPP that were automatically added to the shares authorized for issuance under the 2019 ESPP on January 1, 2023 pursuant to the annual evergreen increase provision contained in the 2019 ESPP. Pursuant to such provision, the number of shares reserved for issuance under the 2019 ESPP will automatically increase on the first day of each calendar year, starting on January 1, 2023 and ending on (and including) January 1, 2029, by the lesser of (a) 1.5% of the total number of shares of the Registrants common stock outstanding on December 31st of the immediately preceding calendar year, (b) 500,000 shares of Common Stock or (c) a number of shares determined by the Registrants board of directors prior to the first day of any calendar year.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44227/000110465919072796/a19-25226_1s8.htm" TargetMode="External"/><Relationship Id="rId3" Type="http://schemas.openxmlformats.org/officeDocument/2006/relationships/hyperlink" Target="http://www.sec.gov/Archives/edgar/data/1544227/000154422720000048/mlnd-202011xsx8.htm" TargetMode="External"/><Relationship Id="rId4" Type="http://schemas.openxmlformats.org/officeDocument/2006/relationships/hyperlink" Target="http://www.sec.gov/Archives/edgar/data/1544227/000154422721000021/mlnd-202104xsx8.htm" TargetMode="External"/><Relationship Id="rId5" Type="http://schemas.openxmlformats.org/officeDocument/2006/relationships/hyperlink" Target="http://www.sec.gov/Archives/edgar/data/1544227/000119312522150094/d312473ds8.htm" TargetMode="External"/><Relationship Id="rId6" Type="http://schemas.openxmlformats.org/officeDocument/2006/relationships/hyperlink" Target="http://www.sec.gov/Archives/edgar/data/1544227/000119312522177081/d307046ds8.htm" TargetMode="External"/><Relationship Id="rId7" Type="http://schemas.openxmlformats.org/officeDocument/2006/relationships/hyperlink" Target="http://www.sec.gov/Archives/edgar/data/1544227/000119312523279845/d599420ds8pos.htm" TargetMode="External"/><Relationship Id="rId8" Type="http://schemas.openxmlformats.org/officeDocument/2006/relationships/hyperlink" Target="http://www.sec.gov/Archives/edgar/data/1544227/000119312523279846/d599420ds8pos.htm" TargetMode="External"/><Relationship Id="rId9" Type="http://schemas.openxmlformats.org/officeDocument/2006/relationships/hyperlink" Target="http://www.sec.gov/Archives/edgar/data/1544227/000119312523279849/d599420ds8pos.htm" TargetMode="External"/><Relationship Id="rId10" Type="http://schemas.openxmlformats.org/officeDocument/2006/relationships/hyperlink" Target="http://www.sec.gov/Archives/edgar/data/1544227/000119312523279851/d599420ds8pos.htm" TargetMode="External"/><Relationship Id="rId11" Type="http://schemas.openxmlformats.org/officeDocument/2006/relationships/hyperlink" Target="http://www.sec.gov/Archives/edgar/data/1544227/000119312523279857/d599420ds8pos.htm" TargetMode="External"/><Relationship Id="rId12" Type="http://schemas.openxmlformats.org/officeDocument/2006/relationships/hyperlink" Target="http://www.sec.gov/Archives/edgar/data/1544227/000119312523279836/d609325ds8.htm" TargetMode="External"/><Relationship Id="rId13" Type="http://schemas.openxmlformats.org/officeDocument/2006/relationships/hyperlink" Target="http://www.sec.gov/Archives/edgar/data/../../../ix?doc=/Archives/edgar/data/1544227/000095017024033555/tpst-20231231.htm" TargetMode="External"/><Relationship Id="rId14" Type="http://schemas.openxmlformats.org/officeDocument/2006/relationships/hyperlink" Target="http://www.sec.gov/Archives/edgar/data/1544227/000110465913033085/a13-9660_28a12b.htm" TargetMode="External"/><Relationship Id="rId15" Type="http://schemas.openxmlformats.org/officeDocument/2006/relationships/hyperlink" Target="http://www.sec.gov/Archives/edgar/data/1544227/000095017024033555/tpst-ex4_1.htm" TargetMode="External"/><Relationship Id="rId16" Type="http://schemas.openxmlformats.org/officeDocument/2006/relationships/hyperlink" Target="http://www.sec.gov/Archives/edgar/data/1544227/000155837019005038/mlnd-20190331ex31b53fa83.htm" TargetMode="External"/><Relationship Id="rId17" Type="http://schemas.openxmlformats.org/officeDocument/2006/relationships/hyperlink" Target="http://www.sec.gov/Archives/edgar/data/1544227/000119312521201157/d196630dex31.htm" TargetMode="External"/><Relationship Id="rId18" Type="http://schemas.openxmlformats.org/officeDocument/2006/relationships/hyperlink" Target="http://www.sec.gov/Archives/edgar/data/1544227/000119312521201157/d196630dex32.htm" TargetMode="External"/><Relationship Id="rId19" Type="http://schemas.openxmlformats.org/officeDocument/2006/relationships/hyperlink" Target="http://www.sec.gov/Archives/edgar/data/1544227/000119312523253882/d547808dex31.htm" TargetMode="External"/><Relationship Id="rId20" Type="http://schemas.openxmlformats.org/officeDocument/2006/relationships/hyperlink" Target="http://www.sec.gov/Archives/edgar/data/1544227/000119312521281694/d222030dex31.htm" TargetMode="External"/><Relationship Id="rId21" Type="http://schemas.openxmlformats.org/officeDocument/2006/relationships/hyperlink" Target="http://www.sec.gov/Archives/edgar/data/1544227/000119312523253882/d547808dex41.htm" TargetMode="External"/><Relationship Id="rId22" Type="http://schemas.openxmlformats.org/officeDocument/2006/relationships/hyperlink" Target="http://www.sec.gov/Archives/edgar/data/1544227/000095017023041429/tpst-ex10_1.htm" TargetMode="External"/><Relationship Id="rId23" Type="http://schemas.openxmlformats.org/officeDocument/2006/relationships/hyperlink" Target="http://www.sec.gov/Archives/edgar/data/1544227/000095017023041429/tpst-ex10_2.htm" TargetMode="External"/><Relationship Id="rId24" Type="http://schemas.openxmlformats.org/officeDocument/2006/relationships/hyperlink" Target="http://www.sec.gov/Archives/edgar/data/1544227/000119312522177053/d370249dex102.htm" TargetMode="External"/><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3268</Words>
  <Characters>16797</Characters>
  <CharactersWithSpaces>20170</CharactersWithSpaces>
  <Paragraphs>498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