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36455x2_def14a_100-regcov_pg1"/>
        <w:bookmarkStart w:id="1" w:name="ny20036455x2_def14a.htm"/>
        <w:bookmarkStart w:id="2" w:name="ksny20036455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(Amendment No.)</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color w:val="000000"/>
              </w:rPr>
            </w:pPr>
            <w:r>
              <w:rPr>
                <w:color w:val="000000"/>
              </w:rPr>
              <w:t> ☐</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bidi w:val="0"/>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Tempest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0"/>
              <w:jc w:val="left"/>
              <w:rPr>
                <w:color w:val="000000"/>
              </w:rPr>
            </w:pPr>
            <w:r>
              <w:rPr>
                <w:color w:val="000000"/>
              </w:rPr>
              <w:t> ☐</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15" w:type="dxa"/>
        <w:jc w:val="left"/>
        <w:tblInd w:w="0" w:type="dxa"/>
        <w:tblLayout w:type="fixed"/>
        <w:tblCellMar>
          <w:top w:w="0" w:type="dxa"/>
          <w:left w:w="0" w:type="dxa"/>
          <w:bottom w:w="0" w:type="dxa"/>
          <w:right w:w="0" w:type="dxa"/>
        </w:tblCellMar>
      </w:tblPr>
      <w:tblGrid>
        <w:gridCol w:w="275"/>
        <w:gridCol w:w="8240"/>
      </w:tblGrid>
      <w:tr>
        <w:trPr/>
        <w:tc>
          <w:tcPr>
            <w:tcW w:w="275" w:type="dxa"/>
            <w:tcBorders/>
            <w:vAlign w:val="center"/>
          </w:tcPr>
          <w:p>
            <w:pPr>
              <w:pStyle w:val="TableContents"/>
              <w:bidi w:val="0"/>
              <w:spacing w:before="0" w:after="0"/>
              <w:jc w:val="left"/>
              <w:rPr>
                <w:color w:val="000000"/>
              </w:rPr>
            </w:pPr>
            <w:r>
              <w:rPr>
                <w:color w:val="000000"/>
              </w:rPr>
              <w:t> ☐</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36455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323975"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1219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2000 Sierra Point Parkway, Suite 400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Brisbane, CA 94005</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December 3, 2024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a Special Meeting of Stockholders (the “Special Meeting”) of </w:t>
      </w:r>
      <w:r>
        <w:rPr>
          <w:rFonts w:ascii="Times New Roman;Times;serif" w:hAnsi="Times New Roman;Times;serif"/>
          <w:b/>
          <w:color w:val="000000"/>
          <w:sz w:val="20"/>
        </w:rPr>
        <w:t>TEMPEST THERAPEUTICS, INC.</w:t>
      </w:r>
      <w:r>
        <w:rPr>
          <w:rFonts w:ascii="Times New Roman;Times;serif" w:hAnsi="Times New Roman;Times;serif"/>
          <w:color w:val="000000"/>
          <w:sz w:val="20"/>
        </w:rPr>
        <w:t xml:space="preserve">, a Delaware corporation (the “Company”). The Special Meeting will be held on December 3, 2024 at 1:00 p.m., Pacific Time and will be a virtual stockholder meeting through which you can listen to the meeting, submit questions and vote online, for the following purpose: </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 series of alternate amendments to our Restated Certificate of Incorporation to effect, at the option of our Board of Directors, a reverse stock split of our common stock at a ratio in the range of 1-for-2 to 1-for-15, inclusive, with such ratio to be determined by our Board of Directors in its sole discretion. We refer to this proposal as the “Reverse Stock Split Proposal” or “Proposal 1.”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item of business is more fully described in the Proxy Statement accompanying this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meeting can be accessed by visiting </w:t>
      </w:r>
      <w:r>
        <w:rPr>
          <w:rFonts w:ascii="Times New Roman;Times;serif" w:hAnsi="Times New Roman;Times;serif"/>
          <w:i/>
          <w:color w:val="000000"/>
          <w:sz w:val="20"/>
        </w:rPr>
        <w:t xml:space="preserve">www.virtualshareholdermeeting.com/TPST2024SM </w:t>
      </w:r>
      <w:r>
        <w:rPr>
          <w:rFonts w:ascii="Times New Roman;Times;serif" w:hAnsi="Times New Roman;Times;serif"/>
          <w:color w:val="000000"/>
          <w:sz w:val="20"/>
        </w:rPr>
        <w:t xml:space="preserve">and entering the control number included in the proxy card in the enclosed proxy materials. You will not be able to attend the meeting in person.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November 1, 2024. Only stockholders of record at the close of business on that date may vote at the meeting or any adjournment thereof. </w:t>
      </w:r>
    </w:p>
    <w:p>
      <w:pPr>
        <w:pStyle w:val="TextBody"/>
        <w:bidi w:val="0"/>
        <w:spacing w:before="9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Important Notice Regarding the Availability of Proxy Materials for the Virtual Stockholders’ Meeting</w:t>
      </w:r>
    </w:p>
    <w:p>
      <w:pPr>
        <w:pStyle w:val="TextBody"/>
        <w:bidi w:val="0"/>
        <w:spacing w:before="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to Be Held on December 3, 2024 at 1:00 p.m., Pacific Time.</w:t>
      </w:r>
    </w:p>
    <w:p>
      <w:pPr>
        <w:pStyle w:val="TextBody"/>
        <w:bidi w:val="0"/>
        <w:spacing w:before="0" w:after="283"/>
        <w:jc w:val="center"/>
        <w:rPr>
          <w:color w:val="000000"/>
          <w:bdr w:val="single" w:sz="8" w:space="6" w:color="000000"/>
        </w:rPr>
      </w:pPr>
      <w:r>
        <w:rPr>
          <w:color w:val="000000"/>
          <w:bdr w:val="single" w:sz="8" w:space="6" w:color="000000"/>
        </w:rPr>
        <w:t xml:space="preserve">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color w:val="000000"/>
          <w:sz w:val="20"/>
          <w:bdr w:val="single" w:sz="8" w:space="6" w:color="000000"/>
        </w:rPr>
        <w:t xml:space="preserve">The proxy statement is available at </w:t>
      </w:r>
      <w:r>
        <w:rPr>
          <w:rFonts w:ascii="Times New Roman;Times;serif" w:hAnsi="Times New Roman;Times;serif"/>
          <w:i/>
          <w:color w:val="000000"/>
          <w:sz w:val="20"/>
          <w:bdr w:val="single" w:sz="8" w:space="6" w:color="000000"/>
        </w:rPr>
        <w:t>ir.tempesttx.com</w:t>
      </w:r>
      <w:r>
        <w:rPr>
          <w:rFonts w:ascii="Times New Roman;Times;serif" w:hAnsi="Times New Roman;Times;serif"/>
          <w:color w:val="000000"/>
          <w:sz w:val="20"/>
          <w:bdr w:val="single" w:sz="8" w:space="6" w:color="000000"/>
        </w:rPr>
        <w:t>.</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Nicholas Maestas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Nicholas Maestas </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Corporate Secretary</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Brisbane, CA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November 12, 2024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36455x2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90" w:after="283"/>
        <w:ind w:left="10" w:right="0" w:hanging="0"/>
        <w:jc w:val="left"/>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You are cordially invited to attend the virtual Special Meeting. You will not be able to attend the Special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36455x2_def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7940" w:type="dxa"/>
        <w:jc w:val="left"/>
        <w:tblInd w:w="0" w:type="dxa"/>
        <w:tblLayout w:type="fixed"/>
        <w:tblCellMar>
          <w:top w:w="0" w:type="dxa"/>
          <w:left w:w="0" w:type="dxa"/>
          <w:bottom w:w="0" w:type="dxa"/>
          <w:right w:w="0" w:type="dxa"/>
        </w:tblCellMar>
      </w:tblPr>
      <w:tblGrid>
        <w:gridCol w:w="7220"/>
        <w:gridCol w:w="140"/>
        <w:gridCol w:w="140"/>
        <w:gridCol w:w="440"/>
      </w:tblGrid>
      <w:tr>
        <w:trPr/>
        <w:tc>
          <w:tcPr>
            <w:tcW w:w="72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72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22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THESE PROXY MATERIALS AND VOTING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QA">
              <w:r>
                <w:rPr>
                  <w:rStyle w:val="InternetLink"/>
                  <w:rFonts w:ascii="Times New Roman;Times;serif" w:hAnsi="Times New Roman;Times;serif"/>
                  <w:color w:val="000000"/>
                  <w:sz w:val="20"/>
                </w:rPr>
                <w:t>1</w:t>
              </w:r>
            </w:hyperlink>
          </w:p>
        </w:tc>
      </w:tr>
      <w:tr>
        <w:trPr/>
        <w:tc>
          <w:tcPr>
            <w:tcW w:w="722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1 APPROVAL OF THE REVERSE STOCK SPLIT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6</w:t>
              </w:r>
            </w:hyperlink>
          </w:p>
        </w:tc>
      </w:tr>
      <w:tr>
        <w:trPr/>
        <w:tc>
          <w:tcPr>
            <w:tcW w:w="722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OC">
              <w:r>
                <w:rPr>
                  <w:rStyle w:val="InternetLink"/>
                  <w:rFonts w:ascii="Times New Roman;Times;serif" w:hAnsi="Times New Roman;Times;serif"/>
                  <w:color w:val="000000"/>
                  <w:sz w:val="20"/>
                </w:rPr>
                <w:t>13</w:t>
              </w:r>
            </w:hyperlink>
          </w:p>
        </w:tc>
      </w:tr>
      <w:tr>
        <w:trPr/>
        <w:tc>
          <w:tcPr>
            <w:tcW w:w="7220" w:type="dxa"/>
            <w:tcBorders/>
            <w:vAlign w:val="center"/>
          </w:tcPr>
          <w:p>
            <w:pPr>
              <w:pStyle w:val="TableContents"/>
              <w:bidi w:val="0"/>
              <w:spacing w:before="0" w:after="283"/>
              <w:ind w:left="0" w:right="0" w:hanging="0"/>
              <w:jc w:val="left"/>
              <w:rPr/>
            </w:pPr>
            <w:hyperlink w:anchor="tHPM">
              <w:r>
                <w:rPr>
                  <w:rStyle w:val="InternetLink"/>
                  <w:rFonts w:ascii="Times New Roman;Times;serif" w:hAnsi="Times New Roman;Times;serif"/>
                  <w:color w:val="000000"/>
                  <w:sz w:val="20"/>
                </w:rPr>
                <w:t>HOUSEHOLDING OF PROXY MATERIALS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HPM">
              <w:r>
                <w:rPr>
                  <w:rStyle w:val="InternetLink"/>
                  <w:rFonts w:ascii="Times New Roman;Times;serif" w:hAnsi="Times New Roman;Times;serif"/>
                  <w:color w:val="000000"/>
                  <w:sz w:val="20"/>
                </w:rPr>
                <w:t>15</w:t>
              </w:r>
            </w:hyperlink>
          </w:p>
        </w:tc>
      </w:tr>
      <w:tr>
        <w:trPr/>
        <w:tc>
          <w:tcPr>
            <w:tcW w:w="7220"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OM">
              <w:r>
                <w:rPr>
                  <w:rStyle w:val="InternetLink"/>
                  <w:rFonts w:ascii="Times New Roman;Times;serif" w:hAnsi="Times New Roman;Times;serif"/>
                  <w:color w:val="000000"/>
                  <w:sz w:val="20"/>
                </w:rPr>
                <w:t>15</w:t>
              </w:r>
            </w:hyperlink>
          </w:p>
        </w:tc>
      </w:tr>
      <w:tr>
        <w:trPr/>
        <w:tc>
          <w:tcPr>
            <w:tcW w:w="72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36455x2_def14a_103-qa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TEMPEST THERAPEUTICS, INC.</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2000 Sierra Point Parkway, Suite 400</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Brisbane, CA 94005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SPECIAL MEETING OF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DECEMBER 3, 2024 </w:t>
      </w:r>
    </w:p>
    <w:p>
      <w:pPr>
        <w:pStyle w:val="TextBody"/>
        <w:bidi w:val="0"/>
        <w:spacing w:before="240" w:after="283"/>
        <w:jc w:val="center"/>
        <w:rPr>
          <w:rFonts w:ascii="Times New Roman;Times;serif" w:hAnsi="Times New Roman;Times;serif"/>
          <w:b/>
          <w:color w:val="000000"/>
          <w:sz w:val="20"/>
        </w:rPr>
      </w:pPr>
      <w:bookmarkStart w:id="9" w:name="tQA"/>
      <w:bookmarkEnd w:id="9"/>
      <w:r>
        <w:rPr>
          <w:rFonts w:ascii="Times New Roman;Times;serif" w:hAnsi="Times New Roman;Times;serif"/>
          <w:b/>
          <w:color w:val="000000"/>
          <w:sz w:val="20"/>
        </w:rPr>
        <w:t xml:space="preserve">QUESTIONS AND ANSWERS ABOUT THESE PROXY MATERIALS AND VOTING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sent you these proxy materials because the Board of Directors (the “Board” or “Board of Directors”) of Tempest Therapeutics, Inc. (sometimes referred to as the “Company” or “Tempest”) is soliciting your proxy to vote at a Special Meeting of Stockholders to be held on December 3, 2024 (the “Special Meeting”), including at any adjournments or postponements of the meeting. You are invited to attend the Special Meeting to vote on the proposal described in this proxy statement. However, you do not need to attend the meeting to vote your shares. Instead, you may simply complete, sign and return the enclosed proxy card</w:t>
      </w:r>
      <w:r>
        <w:rPr>
          <w:rFonts w:ascii="Times New Roman;Times;serif" w:hAnsi="Times New Roman;Times;serif"/>
          <w:b/>
          <w:color w:val="000000"/>
          <w:sz w:val="20"/>
        </w:rPr>
        <w:t>, or follow the instructions below to submit your proxy over the telephone or through the internet</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mail these proxy materials on or about November 14, 2024 to all stockholders of record entitled to vote at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through a live webcast at </w:t>
      </w:r>
      <w:r>
        <w:rPr>
          <w:rFonts w:ascii="Times New Roman;Times;serif" w:hAnsi="Times New Roman;Times;serif"/>
          <w:i/>
          <w:color w:val="000000"/>
          <w:sz w:val="20"/>
        </w:rPr>
        <w:t>www.virtualshareholdermeeting.com/TPST2024SM</w:t>
      </w:r>
      <w:r>
        <w:rPr>
          <w:rFonts w:ascii="Times New Roman;Times;serif" w:hAnsi="Times New Roman;Times;serif"/>
          <w:color w:val="000000"/>
          <w:sz w:val="20"/>
        </w:rPr>
        <w:t xml:space="preserve">. You will not be able to attend the Special Meeting in person. Stockholders attending the virtual Special Meeting will be afforded the same rights and opportunities to participate as they would at an in-person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entitled to attend the Special Meeting if you were a stockholder as of the close of business on November 1, 2024 (the “Record Date”), or hold a valid proxy for the meeting. To be admitted to the Special Meeting, you will need to visit </w:t>
      </w:r>
      <w:r>
        <w:rPr>
          <w:rFonts w:ascii="Times New Roman;Times;serif" w:hAnsi="Times New Roman;Times;serif"/>
          <w:i/>
          <w:color w:val="000000"/>
          <w:sz w:val="20"/>
        </w:rPr>
        <w:t>www.virtualshareholdermeeting.com/TPST2024SM</w:t>
      </w:r>
      <w:r>
        <w:rPr>
          <w:rFonts w:ascii="Times New Roman;Times;serif" w:hAnsi="Times New Roman;Times;serif"/>
          <w:color w:val="000000"/>
          <w:sz w:val="20"/>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Whether or not you participate in the Special Meeting, it is important that you vote your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begin promptly at 1:00 p.m. Pacific Time on Tuesday, December 3, 2024. We encourage you to access the Special Meeting a few minutes before it begins. Online check-in will start approximately 15 minutes before the meeting begins.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cannot find my control number?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do not have your control number and you are a registered stockholder, please contact us at cc@tempesttx.com and we will be able to provide your control number to you. If you do not have a control number, you will be able to login as a guest. To view the meeting webcast, visit </w:t>
      </w:r>
      <w:r>
        <w:rPr>
          <w:rFonts w:ascii="Times New Roman;Times;serif" w:hAnsi="Times New Roman;Times;serif"/>
          <w:i/>
          <w:color w:val="000000"/>
          <w:sz w:val="20"/>
        </w:rPr>
        <w:t>www.virtualshareholdermeeting.com/TPST2024SM</w:t>
      </w:r>
      <w:r>
        <w:rPr>
          <w:rFonts w:ascii="Times New Roman;Times;serif" w:hAnsi="Times New Roman;Times;serif"/>
          <w:color w:val="000000"/>
          <w:sz w:val="20"/>
        </w:rPr>
        <w:t xml:space="preserve"> and register as a guest. If you login as a guest, you will not be able to vote your shares or ask questions.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(that is, you hold your shares in an account at a bank, broker or other holder of record), you will need to contact that bank, broker or other holder of record to obtain your control number prior to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have technical difficulties or trouble accessing the virtual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posted at </w:t>
      </w:r>
      <w:r>
        <w:rPr>
          <w:rFonts w:ascii="Times New Roman;Times;serif" w:hAnsi="Times New Roman;Times;serif"/>
          <w:i/>
          <w:color w:val="000000"/>
          <w:sz w:val="20"/>
        </w:rPr>
        <w:t>www.virtualshareholdermeeting.com/TPST2024SM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36455x2_def14a_103-qa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 list of record stockholders as of the Record Date be available?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list of our record stockholders as of the close of business on the Record Date will be made available to stockholders during the meeting at </w:t>
      </w:r>
      <w:r>
        <w:rPr>
          <w:rFonts w:ascii="Times New Roman;Times;serif" w:hAnsi="Times New Roman;Times;serif"/>
          <w:i/>
          <w:color w:val="000000"/>
          <w:sz w:val="20"/>
        </w:rPr>
        <w:t>www.virtualshareholdermeeting.com/TPST2024SM</w:t>
      </w:r>
      <w:r>
        <w:rPr>
          <w:rFonts w:ascii="Times New Roman;Times;serif" w:hAnsi="Times New Roman;Times;serif"/>
          <w:color w:val="000000"/>
          <w:sz w:val="20"/>
        </w:rPr>
        <w:t xml:space="preserve">. In addition, for the 10 days prior to the Special Meeting, the list will be available for examination by any stockholder of record for a legally valid purpose during regular business hours. To access the list of record stockholders beginning November 22, 2024 and until the meeting, stockholders should email cc@tempesttx.com.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November 1, 2024 will be entitled to vote at the Special Meeting. On the Record Date, there were 43,579,693 shares of common stock outstanding and entitled to vote. Whether or not you participate in the Special Meeting, it is important that you vote your shares.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Special Meeting, to ensure your vote is counted, we urge you to vote by proxy by using the enclosed proxy card, or by voting over the telephone or through the internet.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is one matter scheduled for a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a series of alternate amendments to our Restated Certificate of Incorporation to effect, at the option of our Board of Directors, a reverse stock split of our common stock at a ratio in the range of 1-for-2 to 1-for-15, inclusive, with such ratio to be determined by our Board of Directors in its sole discretion (“Reverse Stock Split Proposal” or “Proposal 1”).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matter to be voted on, you may vote “For” or “Against” or abstain from voting.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36455x2_def14a_103-qa_pg3"/>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fairly simple: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online during the Special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online during the meeting, access the Special Meeting materials by following the instructions you will receive in your email and submit an electronic ballot during the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using the proxy card, simply complete, sign and date the enclosed proxy card and return it promptly in the envelope provided. If you return your signed proxy card to us before the Special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December 2, 2024.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through the internet, go to www.proxyvote.com to complete an electronic proxy card. You will be asked to provide the company number and control number from the enclosed proxy card. To ensure your vote is counted, your internet vote must be received before 11:59 p.m., Eastern Time on December 2, 2024.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Beneficial Owner: Shares Registered in the Name of Broker or Bank</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Special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Times;serif" w:hAnsi="Times New Roman;Times;serif"/>
          <w:i/>
          <w:color w:val="000000"/>
          <w:sz w:val="20"/>
        </w:rPr>
        <w:t xml:space="preserve">www.virtualshareholdermeeting.com/TPST2024SM </w:t>
      </w:r>
      <w:r>
        <w:rPr>
          <w:rFonts w:ascii="Times New Roman;Times;serif" w:hAnsi="Times New Roman;Times;serif"/>
          <w:color w:val="000000"/>
          <w:sz w:val="20"/>
        </w:rPr>
        <w:t xml:space="preserve">using the control number as provided by your broker, bank or other agent. </w:t>
      </w:r>
    </w:p>
    <w:p>
      <w:pPr>
        <w:pStyle w:val="TextBody"/>
        <w:bidi w:val="0"/>
        <w:spacing w:before="90" w:after="283"/>
        <w:ind w:left="10" w:right="0" w:hanging="0"/>
        <w:jc w:val="left"/>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our common stock, on each matter to be voted upon, you have one vote for each share of common stock you held as of the close of business on the Record Date.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stockholder of record and I do not vote, or if I return a proxy card or otherwise vote without giving specific voting instructions, what happens?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through the internet or online during the Special Meeting, your shares will not be voted.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“For” the Reverse Stock Split Proposal. If any other matter is properly presented at the meeting, your proxyholder (one of the individuals named on your proxy card) will vote your shares using their best judgment.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beneficial owner of shares held in street name and I do not provide my broker or bank with voting instructions, what happens?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and you do not instruct your broker, bank or other agent how to vote your shares, your broker, bank or other agent may still be able to vote your shares in its discretion. Under the rules of the New York Stock Exchange (the “NYSE”), brokers, banks and other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36455x2_def14a_103-qa_pg4"/>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intermediaries that are subject to NYSE rules may use their discretion to vote your “uninstructed” shares with respect to matters considered to be “routine” under NYSE rules, but not with respect to “non-routine” matters. The NYSE has advised us that Proposal 1 is considered to be “routine” under NYSE rules, meaning that your broker may vote your shares on Proposal 1 in the absence of your voting instructions.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you are a beneficial owner of shares held in street name, in order to ensure your shares are voted in the way you would prefer, you </w:t>
      </w:r>
      <w:r>
        <w:rPr>
          <w:rFonts w:ascii="Times New Roman;Times;serif" w:hAnsi="Times New Roman;Times;serif"/>
          <w:b/>
          <w:i/>
          <w:color w:val="000000"/>
          <w:sz w:val="20"/>
          <w:u w:val="single"/>
        </w:rPr>
        <w:t>must</w:t>
      </w:r>
      <w:r>
        <w:rPr>
          <w:rFonts w:ascii="Times New Roman;Times;serif" w:hAnsi="Times New Roman;Times;serif"/>
          <w:b/>
          <w:i/>
          <w:color w:val="000000"/>
          <w:sz w:val="20"/>
        </w:rPr>
        <w:t xml:space="preserve"> provide voting instructions to your broker, bank or other agent by the deadline provided in the materials you receive from your broker, bank or other agent.</w:t>
      </w:r>
      <w:r>
        <w:rPr>
          <w:rFonts w:ascii="Times New Roman;Times;serif" w:hAnsi="Times New Roman;Times;serif"/>
          <w:b/>
          <w:i/>
          <w:caps w:val="false"/>
          <w:smallCaps w:val="false"/>
          <w:color w:val="000000"/>
          <w:sz w:val="20"/>
        </w:rPr>
        <w:t xml:space="preserv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“broker non-vote” occurs when your broker submits a proxy for the meeting with respect to “routine” matters but does not vote on “non-routine” matters because you did not provide voting instructions on such matters. Because Proposal 1 is a “routine” matter, there will not be any broker non-votes at the Special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may be registered in more than one name or in different accounts. Please follow the voting instructions on the proxy cards in the proxy materials to ensure that all of your shares are voted. In addition, we have hired Sodali &amp; Co. (“Sodali”) to solicit proxies. We expect to pay Sodali a fee of $20,000 plus reasonable expenses for these services.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can revoke your proxy at any time before the final vote at the Special Meeting. If you are the record holder of your shares, you may revoke your proxy in any one of the following ways: </w:t>
      </w:r>
    </w:p>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 another properly completed proxy card with a later date;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grant a subsequent proxy by telephone or through the internet;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send a written notice that you are revoking your proxy to our Corporate Secretary at 2000 Sierra Point Parkway, Suite 400, Brisbane, CA 94005; or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 the Special Meeting and vote online. Simply attending the meeting will not, by itself, revoke your proxy.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agent, you should follow the instructions provided by your broker, bank or other agent.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 appointed for the Special Meeting, who will separately count “For” and “Against” votes and abstentions.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As a reminder, if you are a beneficial owner of shares held in street name, in order to ensure your shares are voted in the way you would prefer, you </w:t>
      </w:r>
      <w:r>
        <w:rPr>
          <w:rFonts w:ascii="Times New Roman;Times;serif" w:hAnsi="Times New Roman;Times;serif"/>
          <w:b/>
          <w:i/>
          <w:color w:val="000000"/>
          <w:sz w:val="20"/>
          <w:u w:val="single"/>
        </w:rPr>
        <w:t>must</w:t>
      </w:r>
      <w:r>
        <w:rPr>
          <w:rFonts w:ascii="Times New Roman;Times;serif" w:hAnsi="Times New Roman;Times;serif"/>
          <w:b/>
          <w:i/>
          <w:color w:val="000000"/>
          <w:sz w:val="20"/>
        </w:rPr>
        <w:t xml:space="preserve"> provide voting instructions to your broker, bank or other agent by the deadline provided in the materials you receive from your broker, bank or other agent.</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36455x2_def14a_103-qa_pg5"/>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the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minimum vote needed to approve each proposal and the effect of abstentions. </w:t>
      </w:r>
    </w:p>
    <w:tbl>
      <w:tblPr>
        <w:tblW w:w="10205" w:type="dxa"/>
        <w:jc w:val="left"/>
        <w:tblInd w:w="0" w:type="dxa"/>
        <w:tblLayout w:type="fixed"/>
        <w:tblCellMar>
          <w:top w:w="0" w:type="dxa"/>
          <w:left w:w="0" w:type="dxa"/>
          <w:bottom w:w="0" w:type="dxa"/>
          <w:right w:w="0" w:type="dxa"/>
        </w:tblCellMar>
      </w:tblPr>
      <w:tblGrid>
        <w:gridCol w:w="693"/>
        <w:gridCol w:w="140"/>
        <w:gridCol w:w="140"/>
        <w:gridCol w:w="1495"/>
        <w:gridCol w:w="140"/>
        <w:gridCol w:w="140"/>
        <w:gridCol w:w="5037"/>
        <w:gridCol w:w="140"/>
        <w:gridCol w:w="140"/>
        <w:gridCol w:w="860"/>
        <w:gridCol w:w="140"/>
        <w:gridCol w:w="140"/>
        <w:gridCol w:w="1000"/>
      </w:tblGrid>
      <w:tr>
        <w:trPr/>
        <w:tc>
          <w:tcPr>
            <w:tcW w:w="6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left"/>
              <w:rPr/>
            </w:pPr>
            <w:r>
              <w:rPr/>
              <w:t> </w:t>
            </w:r>
          </w:p>
        </w:tc>
      </w:tr>
      <w:tr>
        <w:trPr/>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 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 for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6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Reverse Stock Split Increase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3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For” votes from the holders of a majority of the voting power of the votes cast by the holders of all the shares present or represented by proxy at the meeting and voting on such matter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 effect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Not</w:t>
            </w:r>
          </w:p>
          <w:p>
            <w:pPr>
              <w:pStyle w:val="TableContents"/>
              <w:bidi w:val="0"/>
              <w:spacing w:lineRule="auto" w:line="240" w:before="0" w:after="283"/>
              <w:jc w:val="center"/>
              <w:rPr>
                <w:rFonts w:ascii="Times New Roman;Times;serif" w:hAnsi="Times New Roman;Times;serif"/>
                <w:color w:val="000000"/>
                <w:sz w:val="20"/>
              </w:rPr>
            </w:pPr>
            <w:r>
              <w:rPr>
                <w:rFonts w:ascii="Times New Roman;Times;serif" w:hAnsi="Times New Roman;Times;serif"/>
                <w:color w:val="000000"/>
                <w:sz w:val="20"/>
              </w:rPr>
              <w:t>applicable(1)</w:t>
            </w:r>
          </w:p>
        </w:tc>
      </w:tr>
      <w:tr>
        <w:trPr/>
        <w:tc>
          <w:tcPr>
            <w:tcW w:w="6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stockholders holding at least a majority of the outstanding shares entitled to vote are present at the meeting or represented by proxy. On the Record Date, there were 43,579,693 shares outstanding and entitled to vote. Thus, the holders of 21,789,847 shares must be present or represented by proxy at the meeting to have a quorum.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nominee) or if you vote online at the Special meeting. Abstentions will be counted towards the quorum requirement. If there is no quorum, either the chairperson of the meeting or the holders of a majority of shares present at the meeting or represented by proxy may adjourn the meeting to another date.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ask a question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the Record Date may submit questions or comments at the Special Meeting. If you would like to submit a question, you may do so by joining the virtual meeting at </w:t>
      </w:r>
      <w:r>
        <w:rPr>
          <w:rFonts w:ascii="Times New Roman;Times;serif" w:hAnsi="Times New Roman;Times;serif"/>
          <w:i/>
          <w:color w:val="000000"/>
          <w:sz w:val="20"/>
        </w:rPr>
        <w:t xml:space="preserve">www.virtualshareholdermeeting.com/TPST2024SM </w:t>
      </w:r>
      <w:r>
        <w:rPr>
          <w:rFonts w:ascii="Times New Roman;Times;serif" w:hAnsi="Times New Roman;Times;serif"/>
          <w:color w:val="000000"/>
          <w:sz w:val="20"/>
        </w:rPr>
        <w:t xml:space="preserve">and typing your question in the box in the meeting portal.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help ensure that we have a productive and efficient meeting, and in fairness to all stockholders in attendance, you will also find posted our rules of conduct for the Special Meeting when you log in prior to the start of the Special Meeting. In accordance with the rules of conduct, we ask that you limit your remarks to one brief question or comment that is relevant to the Special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Special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proxy materials are available on the internet?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is available at </w:t>
      </w:r>
      <w:r>
        <w:rPr>
          <w:rFonts w:ascii="Times New Roman;Times;serif" w:hAnsi="Times New Roman;Times;serif"/>
          <w:i/>
          <w:color w:val="000000"/>
          <w:sz w:val="20"/>
        </w:rPr>
        <w:t>ir.tempesttx.com.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36455x2_def14a_104-prop1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PROP1"/>
      <w:bookmarkEnd w:id="15"/>
      <w:r>
        <w:rPr>
          <w:rFonts w:ascii="Times New Roman;Times;serif" w:hAnsi="Times New Roman;Times;serif"/>
          <w:b/>
          <w:color w:val="000000"/>
          <w:sz w:val="20"/>
        </w:rPr>
        <w:t xml:space="preserve">PROPOSAL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APPROVAL OF A SERIES OF ALTERNATE AMENDMENTS TO OUR RESTATED CERTIFICATE OF INCORPORATION TO EFFECT A REVERSE STOCK SPLIT OF OUR COMMON STOCK</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BACKGROUND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unanimously approved a series of alternate amendments to our Restated Certificate of Incorporation, which would: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 a reverse stock split (“Reverse Stock Split”) of all issued and outstanding shares of our common stock, at a ratio ranging from 1-for-2 to 1-for-15, inclusive.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Accordingly, effecting a Reverse Stock Split would reduce the number of outstanding shares of our common stock. The effectiveness of any one of these amendments and the abandonment of the other amendments, or the abandonment of all of these amendments, will be determined by our Board of Directors following the Special Meeting and prior to the one-year anniversary of the Special Meeting, or December 3, 2025. Our Board of Directors has recommended that these proposed amendments be presented to our stockholders for approval.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approve these proposed amendments pursuant to Proposal 1, and to grant authorization to our Board of Directors to determine, at its option, whether to implement a Reverse Stock Split, including its specific timing and ratio.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Should we receive the required stockholder approvals for Proposal 1, our Board of Directors will have the sole authority to elect, at any time on or prior to the one-year anniversary of the Special Meeting and without the need for any further action on the part of our stockholders, whether to effect a Reverse Stock Split and the number of whole shares of our common stock, between and including two (2) and fifteen (15), that will be combined into one share of our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approval of Proposal 1 by our stockholders, our Board of Directors may, at its sole option, abandon the proposed amendments and determine prior to the effectiveness of any filing with the Secretary of State of the State of Delaware not to effect any Reverse Stock Split, as permitted under Section 242(c) of the General Corporation Law of the State of Delaware. If our Board of Directors does not implement a Reverse Stock Split on or prior to the one-year anniversary of the Special Meeting, stockholder approval would again be required prior to implementing any Reverse Stock Split.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By approving Proposal 1, our stockholders will: (a) approve a series of alternate amendments to our Restated Certificate of Incorporation pursuant to which any whole number of outstanding shares of common stock between and including two (2) and fifteen (15) could be combined into one share of common stock; and (b) authorize our Board of Directors to file only one such amendment, as determined by the Board at its sole option, and to abandon each amendment not selected by the Board. Our Board of Directors may also elect not to undertake any Reverse Stock Split and therefore abandon all amendments.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REVERSE STOCK SPLIT OF OUR COMMON STOCK (PROPOSAL 1)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and is recommending that our stockholders approve a series of alternate amendments to our Restated Certificate of Incorporation to effect a Reverse Stock Split. The text of the proposed form of Certificate of Amendment to our Restated Certificate of Incorporation, which we refer to as the Certificate of Amendment, is attached hereto as Appendix 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proposing that our Board of Directors have the discretion to select the Reverse Stock Split ratio from within a range between and including 1-for-2 and 1-for-15, rather than proposing that stockholders approve a specific ratio at this time, in order to give our Board of Directors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we will file the Certificate of Amendment with the Secretary of State of the State of Delaware and the Reverse Stock Split will be effective at the time set forth in the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36455x2_def14a_104-prop1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Reverse Stock Split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To potentially improve the marketability and liquidity of our common stock.</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Our Board of Directors believes that the increased market price of our common stock expected as a result of implementing a Reverse Stock Split could improve the marketability and liquidity of our common stock and encourage interest and trading in our common stock.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 Price Requirements: We understand that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 Price Volatility: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Transaction Costs: Investors may be dissuaded from purchasing stocks below certain prices because brokers’ commissions, as a percentage of the total transaction value, can be higher for low-priced stocks.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Criteria to be Used for Determining Whether to Implement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determining whether to implement the Reverse Stock Split and which Reverse Stock Split ratio to implement, if any, following receipt of stockholder approval of Proposal 1, our Board of Directors may consider, among other things, various factors, such as: </w:t>
      </w:r>
    </w:p>
    <w:tbl>
      <w:tblPr>
        <w:tblW w:w="5770" w:type="dxa"/>
        <w:jc w:val="left"/>
        <w:tblInd w:w="0" w:type="dxa"/>
        <w:tblLayout w:type="fixed"/>
        <w:tblCellMar>
          <w:top w:w="0" w:type="dxa"/>
          <w:left w:w="0" w:type="dxa"/>
          <w:bottom w:w="0" w:type="dxa"/>
          <w:right w:w="0" w:type="dxa"/>
        </w:tblCellMar>
      </w:tblPr>
      <w:tblGrid>
        <w:gridCol w:w="110"/>
        <w:gridCol w:w="5660"/>
      </w:tblGrid>
      <w:tr>
        <w:trPr/>
        <w:tc>
          <w:tcPr>
            <w:tcW w:w="11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trading price and trading volume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then-prevailing trading price and trading volume of our common stock and the expected impact of the Reverse Stock Split on the trading market for our common stock in the short- and long-term;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our listing on the Nasdaq Capital Market; </w:t>
            </w:r>
          </w:p>
        </w:tc>
      </w:tr>
    </w:tbl>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which Reverse Stock Split ratio would result in the least administrative cost to us;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prevailing general market and economic conditions;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and when our Board of Directors desires to have the additional authorized but unissued shares of common stock that will result from the implementation of a Reverse Stock Split available to provide the flexibility to use our common stock for business and/or financial purposes, as well as to accommodate the shares of our common stock to be authorized and reserved for future equity awards.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and Potential Disadvantages Associated with Reverse Stock Split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We cannot assure you that the proposed Reverse Stock Split will increase our stock price for a sustained period.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We expect that the Reverse Stock Split will increase the market price of our common stock.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36455x2_def14a_104-prop1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proposed Reverse Stock Split may decrease the liquidity of our common stock and result in higher transaction costs</w:t>
      </w:r>
      <w:r>
        <w:rPr>
          <w:rFonts w:ascii="Times New Roman;Times;serif" w:hAnsi="Times New Roman;Times;serif"/>
          <w:i w:val="false"/>
          <w:caps w:val="false"/>
          <w:smallCaps w:val="false"/>
          <w:color w:val="000000"/>
          <w:sz w:val="20"/>
        </w:rPr>
        <w:t xml:space="preserve">. The liquidity of our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The effective increase in the authorized number of shares of our common stock as a result of the Reverse Stock Split could have anti-takeover implications</w:t>
      </w:r>
      <w:r>
        <w:rPr>
          <w:rFonts w:ascii="Times New Roman;Times;serif" w:hAnsi="Times New Roman;Times;serif"/>
          <w:i w:val="false"/>
          <w:caps w:val="false"/>
          <w:smallCaps w:val="false"/>
          <w:color w:val="000000"/>
          <w:sz w:val="20"/>
        </w:rPr>
        <w:t xml:space="preserve">. The implementation of a Reverse Stock Split will result in an effective increase in the authorized number of shares of our common stock, which could, under certain circumstances, have anti-takeover implications. The additional shares of common stock that would become available for issuance if this Proposal 1 is approved and a Reverse Stock Split is implemented could be used by us to oppose a hostile takeover attempt or to delay or prevent changes in control or our management. For example, the Board has adopted a stockholder rights plan which, under certain circumstances related to an acquisition of our securities that is not approved by the Board, gives certain holders the right to acquire additional shares of our common stock at a low price, and the Board may elect to maintain the rights plan indefinitely or adopt a new rights plan in the future. The Board also could strategically sell shares of common stock in a private transaction to purchasers who would oppose a takeover or favor the current Board. Although this Proposal 1 has been prompted by business and financial considerations and not by the threat of any hostile takeover attempt (nor is the Board currently aware of any such attempts directed at us), stockholders should be aware that approval of this Proposal 1 could facilitate future efforts by us to deter or prevent changes in control, including transactions in which the stockholders might otherwise receive a premium for their shares over then current market prices.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the effective date of any Reverse Stock Split that our Board of Directors elects to implement, each stockholder will own a reduced number of shares of common stock. However, any Reverse Stock Split will affect all of our stockholders uniformly and will not affect any stockholder’s percentage ownership interests in Tempest,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(assuming there is no impact as a result of the payment of cash in lieu of issuing fractional shares)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principal effects of a Reverse Stock Split will be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depending on the Reverse Stock Split ratio selected by the Board, each two (2) to fifteen (15) shares of our common stock owned by a stockholder will be combined into one new share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total number of authorized shares of our common stock will not be reduced proportionally to the Reverse Stock Split and, therefore, the Reverse Stock Split will result in an effective increase in the authorized number of shares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based upon the Reverse Stock Split ratio selected by the Board, proportionate adjustments will be made to the per share exercise price and/or the number of shares issuable upon the exercise or vesting of all then outstanding stock options, restricted stock units and warrants (if any),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then reserved for issuance under our equity compensation plans will be reduced proportionately based upon the Reverse Stock Split ratio selected by the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36455x2_def14a_104-prop1_pg4"/>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contains approximate information, based on share information as of November 1, 2024, relating to our outstanding common stock based on the proposed Reverse Stock Split ratios (without giving effect to the treatment of fractional shares): </w:t>
      </w:r>
    </w:p>
    <w:tbl>
      <w:tblPr>
        <w:tblW w:w="8405" w:type="dxa"/>
        <w:jc w:val="left"/>
        <w:tblInd w:w="0" w:type="dxa"/>
        <w:tblLayout w:type="fixed"/>
        <w:tblCellMar>
          <w:top w:w="0" w:type="dxa"/>
          <w:left w:w="0" w:type="dxa"/>
          <w:bottom w:w="0" w:type="dxa"/>
          <w:right w:w="0" w:type="dxa"/>
        </w:tblCellMar>
      </w:tblPr>
      <w:tblGrid>
        <w:gridCol w:w="2450"/>
        <w:gridCol w:w="140"/>
        <w:gridCol w:w="140"/>
        <w:gridCol w:w="1175"/>
        <w:gridCol w:w="140"/>
        <w:gridCol w:w="140"/>
        <w:gridCol w:w="1175"/>
        <w:gridCol w:w="140"/>
        <w:gridCol w:w="140"/>
        <w:gridCol w:w="1175"/>
        <w:gridCol w:w="140"/>
        <w:gridCol w:w="140"/>
        <w:gridCol w:w="1310"/>
      </w:tblGrid>
      <w:tr>
        <w:trPr/>
        <w:tc>
          <w:tcPr>
            <w:tcW w:w="2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24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Status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Reserved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Future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Authorized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but Unissued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Unreserved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Pre-Reverse Stock Split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43,579,693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6,148,052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50,272,255</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21,789,846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3,074,026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75,136,128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14,526,564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2,049,350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83,424,086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10,894,923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1,537,013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87,568,064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8,715,938</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1,229,610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90,054,452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7,263,282</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1,024,675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91,712,043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6,225,670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878,293</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92,896,037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5,447,461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768,506</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93,784,033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4,842,188</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683,116</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94,474,696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4,357,969</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614,805</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95,027,226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3,961,790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558,913</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95,479,297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3,631,641</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512,337</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95,856,022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3,352,284</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472,927</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96,174,789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3,112,835</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439,146</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96,448,019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Post-Reverse Stock Split 1:15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2,905,312</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409,870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rPr>
            </w:pPr>
            <w:r>
              <w:rPr>
                <w:rFonts w:ascii="Times New Roman;Times;serif" w:hAnsi="Times New Roman;Times;serif"/>
                <w:color w:val="000000"/>
                <w:sz w:val="20"/>
              </w:rPr>
              <w:t>96,684,818</w:t>
            </w:r>
          </w:p>
        </w:tc>
      </w:tr>
      <w:tr>
        <w:trPr/>
        <w:tc>
          <w:tcPr>
            <w:tcW w:w="24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the effective date of any Reverse Stock Split that our Board of Directors elects to implement, our common stock would have a new Committee on Uniform Securities Identification Procedures (CUSIP) number, a number used to identify our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registered under Section 12(b) of the Securities Exchange Act of 1934, as amended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“TPST” immediately following the Reverse Stock Split, although it is likely that Nasdaq would add the letter “D” to the end of the trading symbol for a period of twenty trading days after the effective date of the Reverse Stock Split to indicate that the Reverse Stock Split had occurred.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proposed Reverse Stock Split would become effective at 5:00 p.m., Eastern Time, on the business day following the filing of a Certificate of Amendment with the office of the Secretary of State of the State of Delaware, or such later date or other time as is set forth in the Certificate of Amendment, which date and time we refer to in this Proposal 1 as the Effective Time. Except as explained below with respect to fractional shares, effective as of the Effective Time, shares of common stock issued and outstanding immediately prior thereto will be combined, automatically and without any action on the part of us or our stockholders, into a fewer number of new shares of our common stock in accordance with the Reverse Stock Split ratio determined by our Board within the limits set forth in this Proposal 1.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Payment In Lieu of Fractional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of common stock will be issued as a result of any Reverse Stock Split. Instead, in lieu of any fractional shares to which a stockholder of record would otherwise be entitled as a result of the Reverse Stock Split, Tempest will pay cash (without interest) equal to such fraction multiplied by the average of the closing sales prices of the common stock on the Nasdaq Capital Market during regular trading hours for the five consecutive trading days immediately preceding the Effective Time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36455x2_def14a_104-prop1_pg5"/>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November 1, 2024, there were 75 stockholders of record of our common stock. Upon stockholder approval of this Proposal 1, if our Board of Directors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nine shares of common stock immediately prior to the Reverse Stock Split and the Reverse Stock Split ratio selected by the Board was 1-for-10, then such stockholder would cease to be a stockholder of Tempest following the Reverse Stock Split and would not have any voting, dividend or other rights except to receive payment for the fractional share as described above. Based on our stockholders of record as of November 1, 2024, and assuming a Reverse Stock Split ratio of 1-for-10, we expect that cashing out fractional stockholders will reduce the number of stockholders of record by only 8 record stockholders. In addition, we do not intend for this transaction to be the first step in a series of plans or proposals of a “going private transaction” within the meaning of Rule 13e-3 of the Exchange Act.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and Beneficial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1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and making payment for fractional shares than those that would be put in place by us for registered stockholders. If you hold your shares with such a bank, broker or other nominee and if you have questions in this regard, you are encouraged to contact your nominee.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1 is approved by our stockholders and our Board of Directors elects to implement a Reverse Stock Split, stockholders of record holding some or all of their shares in certificate form will receive a letter of transmittal from Tempest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until such stockholder has surrendered such stockholder’s outstanding certificate(s) together with the properly completed and executed letter of transmittal to the exchange agent.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SHOULD NOT DESTROY ANY PRE-SPLIT STOCK CERTIFICATE AND SHOULD NOT SUBMIT ANY CERTIFICATES UNTIL THEY ARE REQUESTED TO DO SO.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Consequences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par value per share of our common stock would remain unchanged at $0.001 per share after any Reverse Stock Split. As a result, on the Effective Time,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net income or loss per share of common stock would be increased because there would be fewer shares of common stock outstanding. The Reverse Stock Split would be reflected retrospectively in our financial statements. We do not anticipate that any other accounting consequences would arise as a result of any Reverse Stock Split.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Appraisal Rights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are not entitled to dissenters’ or appraisal rights under the General Corporation Law of the State of Delaware with respect to the proposed alternate amendments to our Restated Certificate of Incorporation to allow for a Reverse Stock Split.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U.S. federal income tax consequences of a Reverse Stock Split that are generally expected to be applicable to U.S. Holders (as defined below) of our common stock who hold their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36455x2_def14a_104-prop1_pg6"/>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common shares as capital assets within the meaning of Section 1221 of Internal Revenue Code of 1986, as amended (the “Code”) (generally property held for investment). This summary is based on provisions of the Code, applicable Treasury Regulations promulgated thereunder, judicial authority and current administrative rulings and practices as in effect on the date of this proxy statement. Changes to these laws could alter the tax consequences described below, possibly with retroactive effect, which may result in the U.S. federal income tax consequences of the Reverse Stock Split differing substantially from the consequences summarized below. We have not sought and will not seek an opinion of counsel or a ruling from the Internal Revenue Service regarding the federal income tax consequences of a Reverse Stock Split.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is for general information only and does not purport to consider all aspects of U.S. federal income taxation that might be relevant to a U.S. Holder. This discussion does not address the tax consequences which may apply to stockholders subject to special rules, such as financial institutions, insurance companies, tax-exempt organizations dealers in securities, real estate investment trusts, regulated investment companies, stockholders who hold their pre-reverse split shares through individual retirement or other tax-deferred accounts, stockholders who are not U.S. Holders (as defined below), stockholders who have a functional currency other than the U.S. dollar, partnerships or other entities classified as partnerships or disregarded entities for U.S. federal income tax purposes (or persons holding our common stock through such entities), stockholders who hold the pre-reverse split shares as part of a straddle, hedge, or conversion transaction, stockholders who hold the pre-reverse split shares as qualified small business stock within the meaning of Section 1202 of the Code or Section 1244 stock for purposes of Section 1244 of the Code, stockholders who acquired their stock in a transaction subject to the gain rollover provisions of Section 1045 of the Code, or stockholders who acquired their pre-reverse split shares pursuant to the exercise of employee stock options or otherwise as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alternative minimum tax, the Medicare contribution tax on net investment income, or special tax accounting rules under Section 451(b) of the Code, or (e) tax consequences to holders of options, warrants or similar rights to acquire our common stock. Stockholders are urged to consult their own tax advisors to determine the particular consequences to them.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shares of our common stock that is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or someone treated as a U.S. citizen or resident for U.S. federal income tax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any state thereof, or the District of Columbia;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should constitute a “recapitalization” for U.S. federal income tax purposes. In general, the federal income tax consequences of a Reverse Stock Split will vary depending upon whether a U.S. Holder receives cash for fractional shares or solely a reduced number of shares of common stock in exchange for their old shares of common stock. We believe that because the Reverse Stock Split is not part of a plan to increase periodically a stockholder’s proportionate interest in our assets or earnings and profits, the Reverse Stock Split should have the following federal income tax effects. A U.S. Holder who receives solely a reduced number of shares of common stock will generally not recognize gain or loss in the Reverse Stock Split. A U.S. Holder’s aggregate tax basis in the reduced number of shares of common stock should equal the U.S. Holder’s aggregate tax basis in its old shares of common stock and such U.S. Holder’s holding period in the reduced number of shares will include the holding period in its old shares exchanged. Treasury Regulations provide detailed rules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36455x2_def14a_104-prop1_pg7"/>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U.S. Holder who receives cash in lieu of a fractional share as a result of the Reverse Stock Split should generally recognize gain or loss equal to the difference, if any, between the amount of cash received and the stockholder’s basis in the fractional share. Such gain or loss will be a capital gain or loss and will be short term if the pre-reverse split shares were held for one year or less and long term if held more than one year. Long-term capital gains of non-corporate U.S. Holders are generally subject to preferential tax rates. There are limitations on the deductibility of capital losses under the Code. A U.S. Holder’s aggregate tax basis in the reduced number of shares of common stock should equal the U.S. Holder’s aggregate tax basis in its old shares of common stock decreased by the basis allocated to the fractional share for which such U.S. Holder is entitled to receive cash, and the holding period of the reduced number of shares received will include the holding period of the old shares exchanged.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not recognize any gain or loss as a result of the proposed Reverse Stock Split.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THAT STOCKHOLDERS VOTE “FOR”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APPROVAL OF A REVERSE STOCK SPLIT AS SET FORTH IN PROPOSAL 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36455x2_def14a_105-security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SOC"/>
      <w:bookmarkEnd w:id="23"/>
      <w:r>
        <w:rPr>
          <w:rFonts w:ascii="Times New Roman;Times;serif" w:hAnsi="Times New Roman;Times;serif"/>
          <w:b/>
          <w:color w:val="000000"/>
          <w:sz w:val="20"/>
        </w:rPr>
        <w:t>SECURITY OWNERSHIP 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CERTAIN BENEFICIAL OWNERS AND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ownership of the Company’s common stock as of October 1, 2024 by: (i) each director; (ii) each of our named executive officers; (iii) all current executive officers and directors of the Company as a group; and (iv) all those known by the Company to be beneficial owners of more than five percent of its common stock.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Applicable percentage ownership is based on 26,565,886 shares of our common stock issued and outstanding as of October 1, 2024.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October 1, 2024. However, these shares are not considered outstanding for the purpose of computing the percentage ownership of any other person. </w:t>
      </w:r>
    </w:p>
    <w:tbl>
      <w:tblPr>
        <w:tblW w:w="8135" w:type="dxa"/>
        <w:jc w:val="left"/>
        <w:tblInd w:w="0" w:type="dxa"/>
        <w:tblLayout w:type="fixed"/>
        <w:tblCellMar>
          <w:top w:w="0" w:type="dxa"/>
          <w:left w:w="0" w:type="dxa"/>
          <w:bottom w:w="0" w:type="dxa"/>
          <w:right w:w="0" w:type="dxa"/>
        </w:tblCellMar>
      </w:tblPr>
      <w:tblGrid>
        <w:gridCol w:w="5285"/>
        <w:gridCol w:w="140"/>
        <w:gridCol w:w="140"/>
        <w:gridCol w:w="1370"/>
        <w:gridCol w:w="140"/>
        <w:gridCol w:w="140"/>
        <w:gridCol w:w="920"/>
      </w:tblGrid>
      <w:tr>
        <w:trPr/>
        <w:tc>
          <w:tcPr>
            <w:tcW w:w="5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gridSpan w:val="4"/>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gridSpan w:val="4"/>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Ownership(1) </w:t>
            </w:r>
          </w:p>
        </w:tc>
      </w:tr>
      <w:tr>
        <w:trPr/>
        <w:tc>
          <w:tcPr>
            <w:tcW w:w="5285"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Greater than 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528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Versant Venture Capital(2)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3,507,056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13.20% </w:t>
            </w:r>
          </w:p>
        </w:tc>
      </w:tr>
      <w:tr>
        <w:trPr/>
        <w:tc>
          <w:tcPr>
            <w:tcW w:w="5285"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528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Stephen Brady(3)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790,442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 </w:t>
            </w:r>
          </w:p>
        </w:tc>
      </w:tr>
      <w:tr>
        <w:trPr/>
        <w:tc>
          <w:tcPr>
            <w:tcW w:w="528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Samuel Whiting(4)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284,108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 </w:t>
            </w:r>
          </w:p>
        </w:tc>
      </w:tr>
      <w:tr>
        <w:trPr/>
        <w:tc>
          <w:tcPr>
            <w:tcW w:w="528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Michael Raab(5)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49,206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8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Nicholas Maestas(6)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125,838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8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Geoff Nichol(7)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20,735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8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Christine Pellizzari(8)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18,335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8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Ronit Simantov(9)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18,335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(7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1,306,999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75" w:right="0" w:hanging="0"/>
              <w:jc w:val="left"/>
              <w:rPr>
                <w:rFonts w:ascii="Times New Roman;Times;serif" w:hAnsi="Times New Roman;Times;serif"/>
                <w:color w:val="000000"/>
                <w:sz w:val="20"/>
              </w:rPr>
            </w:pPr>
            <w:r>
              <w:rPr>
                <w:rFonts w:ascii="Times New Roman;Times;serif" w:hAnsi="Times New Roman;Times;serif"/>
                <w:color w:val="000000"/>
                <w:sz w:val="20"/>
              </w:rPr>
              <w:t>4.70%</w:t>
            </w:r>
          </w:p>
        </w:tc>
      </w:tr>
      <w:tr>
        <w:trPr/>
        <w:tc>
          <w:tcPr>
            <w:tcW w:w="52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ownership of less than one percent.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address for each director and executive officer is c/o Tempest Therapeutics, Inc., 2000 Sierra Point Parkway, Suite 400, Brisbane, California, 94005.</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indicated ownership is based solely on a Schedule 13D/A filed with the SEC by Versant Venture Capital IV, L.P. (“</w:t>
            </w:r>
            <w:r>
              <w:rPr>
                <w:rFonts w:ascii="Times New Roman;Times;serif" w:hAnsi="Times New Roman;Times;serif"/>
                <w:b/>
                <w:i/>
                <w:color w:val="000000"/>
                <w:sz w:val="16"/>
              </w:rPr>
              <w:t>Versant IV</w:t>
            </w:r>
            <w:r>
              <w:rPr>
                <w:rFonts w:ascii="Times New Roman;Times;serif" w:hAnsi="Times New Roman;Times;serif"/>
                <w:color w:val="000000"/>
                <w:sz w:val="16"/>
              </w:rPr>
              <w:t>”), Versant Side Fund IV, L.P. (“</w:t>
            </w:r>
            <w:r>
              <w:rPr>
                <w:rFonts w:ascii="Times New Roman;Times;serif" w:hAnsi="Times New Roman;Times;serif"/>
                <w:b/>
                <w:i/>
                <w:color w:val="000000"/>
                <w:sz w:val="16"/>
              </w:rPr>
              <w:t>Side Fund IV</w:t>
            </w:r>
            <w:r>
              <w:rPr>
                <w:rFonts w:ascii="Times New Roman;Times;serif" w:hAnsi="Times New Roman;Times;serif"/>
                <w:color w:val="000000"/>
                <w:sz w:val="16"/>
              </w:rPr>
              <w:t>”), Versant Ventures IV, LLC (“</w:t>
            </w:r>
            <w:r>
              <w:rPr>
                <w:rFonts w:ascii="Times New Roman;Times;serif" w:hAnsi="Times New Roman;Times;serif"/>
                <w:b/>
                <w:i/>
                <w:color w:val="000000"/>
                <w:sz w:val="16"/>
              </w:rPr>
              <w:t>LLC IV</w:t>
            </w:r>
            <w:r>
              <w:rPr>
                <w:rFonts w:ascii="Times New Roman;Times;serif" w:hAnsi="Times New Roman;Times;serif"/>
                <w:color w:val="000000"/>
                <w:sz w:val="16"/>
              </w:rPr>
              <w:t>”), Versant Venture Capital VI, L.P. (“</w:t>
            </w:r>
            <w:r>
              <w:rPr>
                <w:rFonts w:ascii="Times New Roman;Times;serif" w:hAnsi="Times New Roman;Times;serif"/>
                <w:b/>
                <w:i/>
                <w:color w:val="000000"/>
                <w:sz w:val="16"/>
              </w:rPr>
              <w:t>Versant VI</w:t>
            </w:r>
            <w:r>
              <w:rPr>
                <w:rFonts w:ascii="Times New Roman;Times;serif" w:hAnsi="Times New Roman;Times;serif"/>
                <w:color w:val="000000"/>
                <w:sz w:val="16"/>
              </w:rPr>
              <w:t>”), Versant Ventures VI GP, L.P. (“</w:t>
            </w:r>
            <w:r>
              <w:rPr>
                <w:rFonts w:ascii="Times New Roman;Times;serif" w:hAnsi="Times New Roman;Times;serif"/>
                <w:b/>
                <w:i/>
                <w:color w:val="000000"/>
                <w:sz w:val="16"/>
              </w:rPr>
              <w:t>GP VI</w:t>
            </w:r>
            <w:r>
              <w:rPr>
                <w:rFonts w:ascii="Times New Roman;Times;serif" w:hAnsi="Times New Roman;Times;serif"/>
                <w:color w:val="000000"/>
                <w:sz w:val="16"/>
              </w:rPr>
              <w:t>”), Versant Ventures VI GP-GP, LLC (“</w:t>
            </w:r>
            <w:r>
              <w:rPr>
                <w:rFonts w:ascii="Times New Roman;Times;serif" w:hAnsi="Times New Roman;Times;serif"/>
                <w:b/>
                <w:i/>
                <w:color w:val="000000"/>
                <w:sz w:val="16"/>
              </w:rPr>
              <w:t>LLC VI</w:t>
            </w:r>
            <w:r>
              <w:rPr>
                <w:rFonts w:ascii="Times New Roman;Times;serif" w:hAnsi="Times New Roman;Times;serif"/>
                <w:color w:val="000000"/>
                <w:sz w:val="16"/>
              </w:rPr>
              <w:t>”), Versant Vantage II, L.P. (“</w:t>
            </w:r>
            <w:r>
              <w:rPr>
                <w:rFonts w:ascii="Times New Roman;Times;serif" w:hAnsi="Times New Roman;Times;serif"/>
                <w:b/>
                <w:i/>
                <w:color w:val="000000"/>
                <w:sz w:val="16"/>
              </w:rPr>
              <w:t>Vantage II LP</w:t>
            </w:r>
            <w:r>
              <w:rPr>
                <w:rFonts w:ascii="Times New Roman;Times;serif" w:hAnsi="Times New Roman;Times;serif"/>
                <w:color w:val="000000"/>
                <w:sz w:val="16"/>
              </w:rPr>
              <w:t>”), Versant Vantage II GP, L.P. (“</w:t>
            </w:r>
            <w:r>
              <w:rPr>
                <w:rFonts w:ascii="Times New Roman;Times;serif" w:hAnsi="Times New Roman;Times;serif"/>
                <w:b/>
                <w:i/>
                <w:color w:val="000000"/>
                <w:sz w:val="16"/>
              </w:rPr>
              <w:t>Vantage II GP</w:t>
            </w:r>
            <w:r>
              <w:rPr>
                <w:rFonts w:ascii="Times New Roman;Times;serif" w:hAnsi="Times New Roman;Times;serif"/>
                <w:color w:val="000000"/>
                <w:sz w:val="16"/>
              </w:rPr>
              <w:t>”), Versant Vantage II GP-GP, LLC (“</w:t>
            </w:r>
            <w:r>
              <w:rPr>
                <w:rFonts w:ascii="Times New Roman;Times;serif" w:hAnsi="Times New Roman;Times;serif"/>
                <w:b/>
                <w:i/>
                <w:color w:val="000000"/>
                <w:sz w:val="16"/>
              </w:rPr>
              <w:t>Vantage II LLC</w:t>
            </w:r>
            <w:r>
              <w:rPr>
                <w:rFonts w:ascii="Times New Roman;Times;serif" w:hAnsi="Times New Roman;Times;serif"/>
                <w:color w:val="000000"/>
                <w:sz w:val="16"/>
              </w:rPr>
              <w:t>” and, with Versant IV, Side Fund IV, LLC IV, Versant VI, GP VI, LLC VI, Vantage II LP and Vantage II GP, collectively, the “</w:t>
            </w:r>
            <w:r>
              <w:rPr>
                <w:rFonts w:ascii="Times New Roman;Times;serif" w:hAnsi="Times New Roman;Times;serif"/>
                <w:b/>
                <w:i/>
                <w:color w:val="000000"/>
                <w:sz w:val="16"/>
              </w:rPr>
              <w:t>Versant Reporting Persons</w:t>
            </w:r>
            <w:r>
              <w:rPr>
                <w:rFonts w:ascii="Times New Roman;Times;serif" w:hAnsi="Times New Roman;Times;serif"/>
                <w:color w:val="000000"/>
                <w:sz w:val="16"/>
              </w:rPr>
              <w:t xml:space="preserve">”). LLC IV is the general partner of Versant IV and Side Fund IV, and LLC IV has voting and dispositive power over the shares held by Versant IV and Side Fund IV. LLC VI is the general partner of GP VI, which is the general partner of Versant VI. Each of LLC VI and GP VI share voting and dispositive power over the shares held by Versant VI. Vantage II LLC is the general partner of Vantage II GP, which is the general partner of Vantage II LP. Each of Vantage II LLC and Vantage II GP share voting and dispositive power over the shares held by Vantage II LP. Represents (i) 209,941 shares of common stock held by Versant VI, (ii) 2,118,644 shares of common stock held by Vantage II LP, (iii) 1,171,094 shares of common stock held by Versant IV, and (iv) 7,377 shares of common stock held by Side Fund IV, as reported on Schedule 13D filed with the SEC on May 9, 2022, as amended by Schedule 13D/A filed with the SEC on November 9, 2023, Schedule 13D/A filed with the SEC on February 8, 2024, Schedule 13D/A filed with the SEC on May 13, 2024 and Schedule 13D/A filed with the SEC on August 12, 2024. Thomas Woiwode, Kirk Nielsen, Bradley Bolzon, Robin Praeger, William Link, Samuel Colella, Rebecca Robertson, Brian Atwood, Ross Jaffe and Charles Warden, the managing members of LLC IV, may be deemed to possess voting and dispositive control over the shares held by Versant IV and Side Fund IV, and may be deemed to have indirect beneficial ownership of the shares held by such entities but disclaims beneficial ownership of such securities, except to the extent of their respective pecuniary interest therein, if any, and except for purposes of determining their obligations under Section 13(d) of the Securities Exchange Act of 1934, as amended (“Section 13(d)”). Thomas Woiwode, Bradley Bolzon, Jerel Davis, Kirk Nielsen, Clare Ozawa and Robin Praeger, the managing directors of LLC VI, may be deemed to possess voting and dispositive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36455x2_def14a_105-security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control over the shares held by Versant VI and may be deemed to have indirect beneficial ownership of the shares held by such entity but disclaims beneficial ownership of such securities, except to the extent of their respective pecuniary interest therein, if any, and except for purposes of determining their obligations under Section 13(d). The address of each of these persons and entities is One Sansome, Suite 1650, San Francisco, CA 94104.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46,376 shares of common stock and (ii) 744,066 shares of common stock subject to options that are exercisable within 60 days of October 1, 2024.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9,573 shares of common stock and (ii) 274,535 shares of common stock subject to options that are exercisable within 60 days of October 1, 2024.</w:t>
            </w:r>
          </w:p>
        </w:tc>
      </w:tr>
    </w:tbl>
    <w:tbl>
      <w:tblPr>
        <w:tblW w:w="8365" w:type="dxa"/>
        <w:jc w:val="left"/>
        <w:tblInd w:w="0" w:type="dxa"/>
        <w:tblLayout w:type="fixed"/>
        <w:tblCellMar>
          <w:top w:w="0" w:type="dxa"/>
          <w:left w:w="0" w:type="dxa"/>
          <w:bottom w:w="0" w:type="dxa"/>
          <w:right w:w="0" w:type="dxa"/>
        </w:tblCellMar>
      </w:tblPr>
      <w:tblGrid>
        <w:gridCol w:w="230"/>
        <w:gridCol w:w="81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1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49,206 shares of common stock subject to options that are exercisable within 60 days of October 1, 2024.</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(i) 8,668 shares of common stock and (ii) 117,170 shares of common stock subject to options that are exercisable within 60 days of October 1, 2024.</w:t>
            </w:r>
          </w:p>
        </w:tc>
      </w:tr>
    </w:tbl>
    <w:tbl>
      <w:tblPr>
        <w:tblW w:w="8365" w:type="dxa"/>
        <w:jc w:val="left"/>
        <w:tblInd w:w="0" w:type="dxa"/>
        <w:tblLayout w:type="fixed"/>
        <w:tblCellMar>
          <w:top w:w="0" w:type="dxa"/>
          <w:left w:w="0" w:type="dxa"/>
          <w:bottom w:w="0" w:type="dxa"/>
          <w:right w:w="0" w:type="dxa"/>
        </w:tblCellMar>
      </w:tblPr>
      <w:tblGrid>
        <w:gridCol w:w="230"/>
        <w:gridCol w:w="81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1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20,735 shares of common stock subject to options that are exercisable within 60 days of October 1, 2024.</w:t>
            </w:r>
          </w:p>
        </w:tc>
      </w:tr>
    </w:tbl>
    <w:tbl>
      <w:tblPr>
        <w:tblW w:w="8365" w:type="dxa"/>
        <w:jc w:val="left"/>
        <w:tblInd w:w="0" w:type="dxa"/>
        <w:tblLayout w:type="fixed"/>
        <w:tblCellMar>
          <w:top w:w="0" w:type="dxa"/>
          <w:left w:w="0" w:type="dxa"/>
          <w:bottom w:w="0" w:type="dxa"/>
          <w:right w:w="0" w:type="dxa"/>
        </w:tblCellMar>
      </w:tblPr>
      <w:tblGrid>
        <w:gridCol w:w="230"/>
        <w:gridCol w:w="81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81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18,335 shares of common stock subject to options that are exercisable within 60 days of October 1, 2024.</w:t>
            </w:r>
          </w:p>
        </w:tc>
      </w:tr>
    </w:tbl>
    <w:tbl>
      <w:tblPr>
        <w:tblW w:w="8410" w:type="dxa"/>
        <w:jc w:val="left"/>
        <w:tblInd w:w="0" w:type="dxa"/>
        <w:tblLayout w:type="fixed"/>
        <w:tblCellMar>
          <w:top w:w="0" w:type="dxa"/>
          <w:left w:w="0" w:type="dxa"/>
          <w:bottom w:w="0" w:type="dxa"/>
          <w:right w:w="0" w:type="dxa"/>
        </w:tblCellMar>
      </w:tblPr>
      <w:tblGrid>
        <w:gridCol w:w="230"/>
        <w:gridCol w:w="81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8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18,335 shares of common stock subject to options that are exercisable within 60 days of October 1, 2024.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36455x2_def14a_106-other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OTHER INFORMATION FOR STOCKHOLDERS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Proposals for the 2025 Annual Meeting of Stockholders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stockholder proposals to be brought before an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 2025 Annual Meeting of Stockholders, a stockholder’s notice must be delivered to or mailed and received by our Secretary at our principal executive offices between February 13, 2025 and March 15, 2025; provided, however, that if the date of that annual meeting of stockholders is advanced by more than 20 days or delayed by more than 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stockholder proposals to be considered for inclusion in our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 proposals submitted pursuant to Rule 14a-8 under the Exchange Act, and intended to be presented at the 2025 Annual Meeting of Stockholders must be received by us not later than December 24, 2024 in order to be considered for inclusion in our proxy materials for that meeting. In addition, stockholders who intend to solicit proxies in support of director nominees other than our nominees must also comply with the additional requirements of Rule 14a-19. </w:t>
      </w:r>
    </w:p>
    <w:p>
      <w:pPr>
        <w:pStyle w:val="TextBody"/>
        <w:bidi w:val="0"/>
        <w:spacing w:before="310" w:after="283"/>
        <w:jc w:val="center"/>
        <w:rPr>
          <w:rFonts w:ascii="Times New Roman;Times;serif" w:hAnsi="Times New Roman;Times;serif"/>
          <w:b/>
          <w:color w:val="000000"/>
          <w:sz w:val="20"/>
        </w:rPr>
      </w:pPr>
      <w:bookmarkStart w:id="26" w:name="tHPM"/>
      <w:bookmarkEnd w:id="26"/>
      <w:r>
        <w:rPr>
          <w:rFonts w:ascii="Times New Roman;Times;serif" w:hAnsi="Times New Roman;Times;serif"/>
          <w:b/>
          <w:color w:val="000000"/>
          <w:sz w:val="20"/>
        </w:rPr>
        <w:t xml:space="preserve">HOUSEHOLDING OF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this meeting, a number of brokers with account holders who are our stockholders will be “householding” the Company’s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or us. Direct your written request to Tempest Therapeutics, Inc., Attention: Corporate Secretary, 2000 Sierra Point Parkway, Suite 400, Brisbane, CA 94005. Stockholders who currently receive multiple copies of the Special Meeting materials at their addresses and would like to request “householding” of their communications should contact their brokers. </w:t>
      </w:r>
    </w:p>
    <w:p>
      <w:pPr>
        <w:pStyle w:val="TextBody"/>
        <w:bidi w:val="0"/>
        <w:spacing w:before="320" w:after="283"/>
        <w:jc w:val="center"/>
        <w:rPr>
          <w:rFonts w:ascii="Times New Roman;Times;serif" w:hAnsi="Times New Roman;Times;serif"/>
          <w:b/>
          <w:color w:val="000000"/>
          <w:sz w:val="20"/>
        </w:rPr>
      </w:pPr>
      <w:bookmarkStart w:id="27" w:name="tOM"/>
      <w:bookmarkEnd w:id="27"/>
      <w:r>
        <w:rPr>
          <w:rFonts w:ascii="Times New Roman;Times;serif" w:hAnsi="Times New Roman;Times;serif"/>
          <w:b/>
          <w:color w:val="000000"/>
          <w:sz w:val="20"/>
        </w:rPr>
        <w:t xml:space="preserve">OTHER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 </w:t>
      </w:r>
    </w:p>
    <w:tbl>
      <w:tblPr>
        <w:tblW w:w="3290" w:type="dxa"/>
        <w:jc w:val="left"/>
        <w:tblInd w:w="0" w:type="dxa"/>
        <w:tblLayout w:type="fixed"/>
        <w:tblCellMar>
          <w:top w:w="0" w:type="dxa"/>
          <w:left w:w="0" w:type="dxa"/>
          <w:bottom w:w="0" w:type="dxa"/>
          <w:right w:w="0" w:type="dxa"/>
        </w:tblCellMar>
      </w:tblPr>
      <w:tblGrid>
        <w:gridCol w:w="2855"/>
        <w:gridCol w:w="140"/>
        <w:gridCol w:w="140"/>
        <w:gridCol w:w="155"/>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Nicholas Maestas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Nicholas Maestas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Corporate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Dated: November 12,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36455x2_def14a_200-app1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Appendix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AMENDMENT OF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RESTATED CERTIFICATE OF INCORPORATION 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TEMPEST THERAPEUTICS, INC. </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rPr>
        <w:t>(Pursuant to Section 242 of the</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General Corporation Law of the State of Delaware)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Tempest Therapeutics, Inc. </w:t>
      </w:r>
      <w:r>
        <w:rPr>
          <w:rFonts w:ascii="Times New Roman;Times;serif" w:hAnsi="Times New Roman;Times;serif"/>
          <w:b w:val="false"/>
          <w:color w:val="000000"/>
          <w:sz w:val="20"/>
        </w:rPr>
        <w:t>(the “</w:t>
      </w:r>
      <w:r>
        <w:rPr>
          <w:rFonts w:ascii="Times New Roman;Times;serif" w:hAnsi="Times New Roman;Times;serif"/>
          <w:b/>
          <w:i/>
          <w:color w:val="000000"/>
          <w:sz w:val="20"/>
        </w:rPr>
        <w:t>Corporation</w:t>
      </w:r>
      <w:r>
        <w:rPr>
          <w:rFonts w:ascii="Times New Roman;Times;serif" w:hAnsi="Times New Roman;Times;serif"/>
          <w:b/>
          <w:color w:val="000000"/>
          <w:sz w:val="20"/>
        </w:rPr>
        <w:t>”</w:t>
      </w:r>
      <w:r>
        <w:rPr>
          <w:rFonts w:ascii="Times New Roman;Times;serif" w:hAnsi="Times New Roman;Times;serif"/>
          <w:b w:val="false"/>
          <w:color w:val="000000"/>
          <w:sz w:val="20"/>
        </w:rPr>
        <w:t>), a corporation organized and existing under and by virtue of the provisions of the General Corporation Law of the State of Delaware (the “</w:t>
      </w:r>
      <w:r>
        <w:rPr>
          <w:rFonts w:ascii="Times New Roman;Times;serif" w:hAnsi="Times New Roman;Times;serif"/>
          <w:b/>
          <w:i/>
          <w:color w:val="000000"/>
          <w:sz w:val="20"/>
        </w:rPr>
        <w:t>General Corporation Law</w:t>
      </w:r>
      <w:r>
        <w:rPr>
          <w:rFonts w:ascii="Times New Roman;Times;serif" w:hAnsi="Times New Roman;Times;serif"/>
          <w:b/>
          <w:color w:val="000000"/>
          <w:sz w:val="20"/>
        </w:rPr>
        <w:t>”</w:t>
      </w:r>
      <w:r>
        <w:rPr>
          <w:rFonts w:ascii="Times New Roman;Times;serif" w:hAnsi="Times New Roman;Times;serif"/>
          <w:b w:val="false"/>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DOES HEREBY CERTIFY: </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name of the Corporation is Tempest Therapeutics, Inc., and the original certificate of incorporation of the Corporation was filed with the Secretary of State of the State of Delaware on April 5, 2011 under the name OvaStem, Inc. A Restated Certificate of Incorporation of the Corporation was filed with the Secretary of State of the State of Delaware on April 30, 2013 (the “</w:t>
            </w:r>
            <w:r>
              <w:rPr>
                <w:rFonts w:ascii="Times New Roman;Times;serif" w:hAnsi="Times New Roman;Times;serif"/>
                <w:b/>
                <w:i/>
                <w:color w:val="000000"/>
                <w:sz w:val="20"/>
              </w:rPr>
              <w:t>Prior Certificate</w:t>
            </w:r>
            <w:r>
              <w:rPr>
                <w:rFonts w:ascii="Times New Roman;Times;serif" w:hAnsi="Times New Roman;Times;serif"/>
                <w:color w:val="000000"/>
                <w:sz w:val="20"/>
              </w:rPr>
              <w:t xml:space="preserve">”). Certificates of Amendment to the Prior Certificate were filed with the Secretary of State of the State of Delaware on December 6, 2018, December 7, 2018, June 24, 2021 and June 25, 2021.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resolution was duly adopted by the Board of Directors of the Corporation pursuant to Sections 141 and 242 of the General Corporation Law proposing this Amendment of the Corporation’s Restated Certificate of Incorporation and declaring the advisability of this Amendment of the Restated Certificate of Incorporation, which resolution setting forth the proposed amendment is as follows: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RESOLVED, that Section C of Article FOURTH of the Restated Certificate of Incorporation of the Corporation, as amended, be and hereby is, deleted in its entirety and the following paragraphs are inserted in lieu thereof: </w:t>
      </w:r>
    </w:p>
    <w:p>
      <w:pPr>
        <w:pStyle w:val="TextBody"/>
        <w:bidi w:val="0"/>
        <w:spacing w:lineRule="auto" w:line="240"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Effective as of the effective time of [5:00] p.m., Eastern Time, on [Date] (the “</w:t>
      </w:r>
      <w:r>
        <w:rPr>
          <w:rFonts w:ascii="Times New Roman;Times;serif" w:hAnsi="Times New Roman;Times;serif"/>
          <w:b/>
          <w:i/>
          <w:color w:val="000000"/>
          <w:sz w:val="20"/>
        </w:rPr>
        <w:t>Effective Time</w:t>
      </w:r>
      <w:r>
        <w:rPr>
          <w:rFonts w:ascii="Times New Roman;Times;serif" w:hAnsi="Times New Roman;Times;serif"/>
          <w:color w:val="000000"/>
          <w:sz w:val="20"/>
        </w:rPr>
        <w:t>”), each [two (2) / three (3) / four (4) / five (5) / six (6) / seven (7) / eight (8) / nine (9) / ten (10) / eleven (11) / twelve (12) / thirteen (13) / fourteen (14) / fifteen (15)]1 shares of Common Stock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(the “</w:t>
      </w:r>
      <w:r>
        <w:rPr>
          <w:rFonts w:ascii="Times New Roman;Times;serif" w:hAnsi="Times New Roman;Times;serif"/>
          <w:b/>
          <w:i/>
          <w:color w:val="000000"/>
          <w:sz w:val="20"/>
        </w:rPr>
        <w:t>Reverse Split</w:t>
      </w:r>
      <w:r>
        <w:rPr>
          <w:rFonts w:ascii="Times New Roman;Times;serif" w:hAnsi="Times New Roman;Times;serif"/>
          <w:color w:val="000000"/>
          <w:sz w:val="20"/>
        </w:rPr>
        <w:t xml:space="preserve">”); provided, however,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Capital Market during regular trading hours for the five (5) consecutive trading days immediately preceding the Effective Time.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These amendments approve the combination of any whole number of shares of Common Stock between and including two (2) and fifteen (15) into one (1) share of Common Stock. By these amendments, the stockholders would approve each of the alternate amendments proposed by the Corporation’s Board of Directors. If the reverse stock split proposal is approved by stockholders, the Certificate of Amendment filed with the Secretary of State of the State of Delaware will include only that reverse stock split ratio determined by the Corporation’s Board of Directors to be in the best interests of the Corporation and its stockholders.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36455x2_def14a_200-app1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Thereafter pursuant to a resolution of the Board of Directors, this Certificate of Amendment was submitted to the stockholders of the Corporation for their approval, and was duly adopted at a special meeting of the stockholders of the Corporation, in accordance with the provisions of Section 242 of the General Corporation Law of the State of Delaware. </w:t>
            </w:r>
          </w:p>
        </w:tc>
      </w:tr>
    </w:tbl>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the Corporation has caused this Certificate of Amendment to be signed by its duly authorized officer this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day of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202</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w:t>
      </w:r>
    </w:p>
    <w:tbl>
      <w:tblPr>
        <w:tblW w:w="2793" w:type="dxa"/>
        <w:jc w:val="left"/>
        <w:tblInd w:w="0" w:type="dxa"/>
        <w:tblLayout w:type="fixed"/>
        <w:tblCellMar>
          <w:top w:w="0" w:type="dxa"/>
          <w:left w:w="0" w:type="dxa"/>
          <w:bottom w:w="0" w:type="dxa"/>
          <w:right w:w="0" w:type="dxa"/>
        </w:tblCellMar>
      </w:tblPr>
      <w:tblGrid>
        <w:gridCol w:w="155"/>
        <w:gridCol w:w="140"/>
        <w:gridCol w:w="140"/>
        <w:gridCol w:w="626"/>
        <w:gridCol w:w="274"/>
        <w:gridCol w:w="274"/>
        <w:gridCol w:w="118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Tempest Therapeutics,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0"/>
              <w:jc w:val="left"/>
              <w:rPr>
                <w:color w:val="000000"/>
              </w:rPr>
            </w:pPr>
            <w:r>
              <w:rPr>
                <w:color w:val="000000"/>
              </w:rPr>
              <w:t> </w:t>
            </w:r>
          </w:p>
        </w:tc>
        <w:tc>
          <w:tcPr>
            <w:tcW w:w="274"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pPr>
            <w:r>
              <w:rPr/>
              <w:t> </w:t>
            </w:r>
          </w:p>
        </w:tc>
        <w:tc>
          <w:tcPr>
            <w:tcW w:w="118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4"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pPr>
            <w:r>
              <w:rPr/>
              <w:t> </w:t>
            </w:r>
          </w:p>
        </w:tc>
        <w:tc>
          <w:tcPr>
            <w:tcW w:w="118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0"/>
              <w:jc w:val="left"/>
              <w:rPr>
                <w:color w:val="000000"/>
              </w:rPr>
            </w:pPr>
            <w:r>
              <w:rPr>
                <w:color w:val="000000"/>
              </w:rPr>
              <w:t> </w:t>
            </w:r>
          </w:p>
        </w:tc>
        <w:tc>
          <w:tcPr>
            <w:tcW w:w="274"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pPr>
            <w:r>
              <w:rPr/>
              <w:t> </w:t>
            </w:r>
          </w:p>
        </w:tc>
        <w:tc>
          <w:tcPr>
            <w:tcW w:w="11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0"/>
              <w:jc w:val="left"/>
              <w:rPr>
                <w:color w:val="000000"/>
              </w:rPr>
            </w:pPr>
            <w:r>
              <w:rPr>
                <w:color w:val="000000"/>
              </w:rPr>
              <w:t> </w:t>
            </w:r>
          </w:p>
        </w:tc>
        <w:tc>
          <w:tcPr>
            <w:tcW w:w="274"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pPr>
            <w:r>
              <w:rPr/>
              <w:t> </w:t>
            </w:r>
          </w:p>
        </w:tc>
        <w:tc>
          <w:tcPr>
            <w:tcW w:w="118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pPr>
            <w:r>
              <w:rPr/>
              <w:t> </w:t>
            </w:r>
          </w:p>
        </w:tc>
        <w:tc>
          <w:tcPr>
            <w:tcW w:w="118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36455x2_def14a_300-proxycard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36455x2_def14a_300-proxycard_pg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11393</Words>
  <Characters>58249</Characters>
  <CharactersWithSpaces>69813</CharactersWithSpaces>
  <Paragraphs>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