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36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Tempest Therapeutics, Inc.</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7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NOTICE OF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17,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writing to notify you of important information about the Annual Meeting of Stockholders of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meeting will be held on Friday, June 17, 2022 at 1:00 P.M. Pacific time. To protect the health and safety of our stockholders and employees and facilitate stockholder participation in the Annual Meeting, this year, the Annual Meeting will be held through a live webcast at </w:t>
      </w:r>
      <w:r>
        <w:rPr>
          <w:rFonts w:ascii="Times New Roman" w:cs="Times New Roman" w:eastAsia="Times New Roman" w:hAnsi="Times New Roman"/>
          <w:sz w:val="18"/>
          <w:szCs w:val="18"/>
          <w:i w:val="1"/>
          <w:iCs w:val="1"/>
          <w:color w:val="auto"/>
        </w:rPr>
        <w:t>www.virtualshareholdermeeting.com/TPST2022</w:t>
      </w:r>
      <w:r>
        <w:rPr>
          <w:rFonts w:ascii="Times New Roman" w:cs="Times New Roman" w:eastAsia="Times New Roman" w:hAnsi="Times New Roman"/>
          <w:sz w:val="18"/>
          <w:szCs w:val="18"/>
          <w:color w:val="auto"/>
        </w:rPr>
        <w:t>. You will not be able to attend the meeting in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nominee, Geoff Nichol, to the Board of Directors to hold office until the 2025 Annual Meeting of Stockholders.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2019 Equity Incentive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2019 Employee Stock Purchase Plan.</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the independent registered public accounting firm of the Company for its fiscal year ending December 31, 2022.</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described in the proxy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approval of the compensation of our named executive officers.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supplement contains additional information related to the new Proposal 5 and Proposal 6 to be considered by stockholders at the Annual Meeting. However, the proxy statement supplement does not include all of the information provided in connection with the Annual Meeting. Accordingly, we urge you to read the proxy statement supplement in its entirety together with the proxy statement and other proxy materials.</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or about May 2, 2022, we began mailing to our stockholders a Notice of Internet Availability of Proxy Materials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xml:space="preserve">”) containing instructions on how to access the proxy statement for the Annual Meeting and our 2021 Annual Report to Stockholders. The Notice provides instructions on how to vote online or by telephone and includes instructions on how to receive a paper copy of proxy materials by mail. The proxy statement, the accompanying proxy statement supplement and our annual report can also be accessed directly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All you have to do is enter the control number located on the Notice or your proxy card.</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record date for the Annual Meeting is April 20, 2022. Only stockholders of record at the close of business on that date may vote at the meeting or any adjournment thereof. Further information regarding voting rights and the matters to be voted upon is presented in the proxy statement and accompanying proxy statement supplement.</w:t>
      </w:r>
    </w:p>
    <w:p>
      <w:pPr>
        <w:sectPr>
          <w:pgSz w:w="11900" w:h="16838" w:orient="portrait"/>
          <w:cols w:equalWidth="0" w:num="1">
            <w:col w:w="10960"/>
          </w:cols>
          <w:pgMar w:left="440" w:top="1440" w:right="49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VOTE IS IMPORTANT. Whether or not you plan to participate in the annual meeting, we urge you to submit your vote via the Internet, telephone or mail in advance of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9700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Lorenzo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2022</w:t>
      </w:r>
    </w:p>
    <w:p>
      <w:pPr>
        <w:sectPr>
          <w:pgSz w:w="11900" w:h="16838" w:orient="portrait"/>
          <w:cols w:equalWidth="0" w:num="1">
            <w:col w:w="10320"/>
          </w:cols>
          <w:pgMar w:left="440" w:top="266" w:right="11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On May 2, 2022, Tempest Therapeutics, Inc., a Delaware corporation (“we” or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 Definitive Proxy Statement on Schedule 14A (the “</w:t>
      </w:r>
      <w:r>
        <w:rPr>
          <w:rFonts w:ascii="Times New Roman" w:cs="Times New Roman" w:eastAsia="Times New Roman" w:hAnsi="Times New Roman"/>
          <w:sz w:val="17"/>
          <w:szCs w:val="17"/>
          <w:b w:val="1"/>
          <w:bCs w:val="1"/>
          <w:i w:val="1"/>
          <w:iCs w:val="1"/>
          <w:color w:val="auto"/>
        </w:rPr>
        <w:t>Proxy Statement</w:t>
      </w:r>
      <w:r>
        <w:rPr>
          <w:rFonts w:ascii="Times New Roman" w:cs="Times New Roman" w:eastAsia="Times New Roman" w:hAnsi="Times New Roman"/>
          <w:sz w:val="17"/>
          <w:szCs w:val="17"/>
          <w:color w:val="auto"/>
        </w:rPr>
        <w:t>”) and the related proxy card (the “</w:t>
      </w:r>
      <w:r>
        <w:rPr>
          <w:rFonts w:ascii="Times New Roman" w:cs="Times New Roman" w:eastAsia="Times New Roman" w:hAnsi="Times New Roman"/>
          <w:sz w:val="17"/>
          <w:szCs w:val="17"/>
          <w:b w:val="1"/>
          <w:bCs w:val="1"/>
          <w:i w:val="1"/>
          <w:iCs w:val="1"/>
          <w:color w:val="auto"/>
        </w:rPr>
        <w:t>Proxy Card</w:t>
      </w:r>
      <w:r>
        <w:rPr>
          <w:rFonts w:ascii="Times New Roman" w:cs="Times New Roman" w:eastAsia="Times New Roman" w:hAnsi="Times New Roman"/>
          <w:sz w:val="17"/>
          <w:szCs w:val="17"/>
          <w:color w:val="auto"/>
        </w:rPr>
        <w:t>”) for the Company’s 2022 Annual Meeting of Stockholders, to be held online on June 17, 2022 (together with any adjournment or postponement thereof,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supplement to the Proxy Statement and Proxy Card (the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is being filed to add two new proposals to the Proxy Statement, a Proposal 5 to approve, on an advisory basis, the compensation of our named executive officers as described in the proxy statement and a Proposal 6 to indicate, on an advisory basis, the preferred frequency of stockholder advisory votes on the compensation of our named executive officers. These proposals were inadvertently omitted from the Proxy Statement and Proxy Card when originally filed with the SEC, and this filing corrects that omission. Other than the addition of Proposal 5 and Proposal 6 to the Notice of Internet Availability of Proxy Materials, Proxy Statement, Proxy Card and Notice of Annual Meeting of Stockholders, no other changes have been made to the Proxy Statement or the Proxy Card, and they continue to be in full force and effect as originally filed and continue to seek the vote of the Company’s stockholders for all proposals to be voted on at the Annual Meeting.</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Supplement should be read together with the Proxy Statement, which should be read in its entirety. Capitalized terms used but not otherwise defined in this supplement have the meanings ascribed to them in the Proxy Statement.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SUPPLEMENT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Supplement supplements and amends the Proxy Statement to (i) add a Proposal 5 to the Proxy Statement that provides for an advisory vote on the compensation of our named executive officers, (ii) to add a Proposal 6 that provides for an advisory vote on the preferred frequency with which we should include an advisory say-on-pay vote in our proxy materials for future stockholder meetings and (iii) to update the Notice of 2022 Annual Meeting of Stockholders to add Proposal 5 and Proposal 6. This Supplement and a revised proxy card (the “</w:t>
      </w:r>
      <w:r>
        <w:rPr>
          <w:rFonts w:ascii="Times New Roman" w:cs="Times New Roman" w:eastAsia="Times New Roman" w:hAnsi="Times New Roman"/>
          <w:sz w:val="18"/>
          <w:szCs w:val="18"/>
          <w:b w:val="1"/>
          <w:bCs w:val="1"/>
          <w:color w:val="auto"/>
        </w:rPr>
        <w:t>Revised Proxy Card</w:t>
      </w:r>
      <w:r>
        <w:rPr>
          <w:rFonts w:ascii="Times New Roman" w:cs="Times New Roman" w:eastAsia="Times New Roman" w:hAnsi="Times New Roman"/>
          <w:sz w:val="18"/>
          <w:szCs w:val="18"/>
          <w:color w:val="auto"/>
        </w:rPr>
        <w:t>”) are being made available to stockholders beginning on or about May 9, 2022. This Supplement does not provide all of the information that you should read and consider before voting on all of the proposals that are being presented to stockholders for their vote at the Annual Meeting. Additional information is contained in the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Questions and Answers about these Proxy Materials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proposals, including new Proposal 5 and Proposal 6, and how are votes counted?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220" w:type="dxa"/>
            <w:vAlign w:val="bottom"/>
          </w:tcPr>
          <w:p>
            <w:pPr>
              <w:spacing w:after="0"/>
              <w:rPr>
                <w:sz w:val="13"/>
                <w:szCs w:val="13"/>
                <w:color w:val="auto"/>
              </w:rPr>
            </w:pPr>
          </w:p>
        </w:tc>
        <w:tc>
          <w:tcPr>
            <w:tcW w:w="370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3"/>
                <w:szCs w:val="13"/>
                <w:color w:val="auto"/>
              </w:rPr>
            </w:pPr>
          </w:p>
        </w:tc>
        <w:tc>
          <w:tcPr>
            <w:tcW w:w="38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85"/>
        </w:trPr>
        <w:tc>
          <w:tcPr>
            <w:tcW w:w="5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6"/>
                <w:szCs w:val="16"/>
                <w:color w:val="auto"/>
              </w:rPr>
            </w:pPr>
          </w:p>
        </w:tc>
        <w:tc>
          <w:tcPr>
            <w:tcW w:w="37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16"/>
                <w:szCs w:val="16"/>
                <w:color w:val="auto"/>
              </w:rPr>
            </w:pPr>
          </w:p>
        </w:tc>
        <w:tc>
          <w:tcPr>
            <w:tcW w:w="36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Nominees receiving the most “For” votes;</w:t>
            </w:r>
          </w:p>
        </w:tc>
        <w:tc>
          <w:tcPr>
            <w:tcW w:w="220" w:type="dxa"/>
            <w:vAlign w:val="bottom"/>
          </w:tcPr>
          <w:p>
            <w:pPr>
              <w:spacing w:after="0"/>
              <w:rPr>
                <w:sz w:val="16"/>
                <w:szCs w:val="16"/>
                <w:color w:val="auto"/>
              </w:rPr>
            </w:pPr>
          </w:p>
        </w:tc>
        <w:tc>
          <w:tcPr>
            <w:tcW w:w="9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6"/>
              </w:rPr>
              <w:t>Not</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withheld votes will have no effect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applicable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Approval of the Amended and Restated 2019</w:t>
            </w: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 votes from the holders of a majority of the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 effect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voting power of the votes cast by the holders of</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all the shares present or represented by proxy at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meeting and voting affirmatively on such</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matter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-635</wp:posOffset>
            </wp:positionV>
            <wp:extent cx="2357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ind w:left="764" w:right="420" w:hanging="764"/>
        <w:spacing w:after="0" w:line="274" w:lineRule="auto"/>
        <w:tabs>
          <w:tab w:leader="none" w:pos="7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Amended and Restated 2019 Employee Stock Purchase Plan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764" w:hanging="764"/>
        <w:spacing w:after="0" w:line="266" w:lineRule="auto"/>
        <w:tabs>
          <w:tab w:leader="none" w:pos="7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Ernst &amp; Young LLP as the Company’s independent registered public accounting firm</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764" w:right="220" w:hanging="764"/>
        <w:spacing w:after="0" w:line="312" w:lineRule="auto"/>
        <w:tabs>
          <w:tab w:leader="none" w:pos="76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basis, of the executive compensation of our named executive officers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ind w:left="764" w:right="360" w:hanging="764"/>
        <w:spacing w:after="0" w:line="289" w:lineRule="auto"/>
        <w:tabs>
          <w:tab w:leader="none" w:pos="76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 on an advisory basis, the preferred frequency of stockholder approval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votes from the holders of a majority of the</w:t>
            </w:r>
          </w:p>
        </w:tc>
        <w:tc>
          <w:tcPr>
            <w:tcW w:w="2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power of the votes cast by the holders of</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the shares present or represented by proxy at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meeting and voting affirmatively on such</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 effect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power of the votes cast by the holders of</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the shares present or represented by proxy at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meeting and voting affirmatively on such</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Against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power of the votes cast by the holders of</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the shares present or represented by proxy at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meeting and voting affirmatively on such</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frequency receiving the votes of the holders</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Against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a majority of the voting power of the votes cast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the holders of all the shares present or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represented by proxy at the meeting</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-3111500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444" w:space="240"/>
            <w:col w:w="6340"/>
          </w:cols>
          <w:pgMar w:left="436" w:top="251" w:right="439" w:bottom="1440" w:gutter="0" w:footer="0" w:header="0"/>
        </w:sectPr>
      </w:pPr>
    </w:p>
    <w:p>
      <w:pPr>
        <w:ind w:left="424" w:right="6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 Proposals 1, 2 and 3 and new Proposals 5 and 6 are considered to be “non-routine” under NYSE rules meaning that your broker may not vote your shares on those proposals in the absence of your voting instructions.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How do I cast my vote or revoke my proxy?</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Because this Supplement describes two new proposals to be voted on at the Annual Meeting that were not reflected or described in the original Proxy Statement, proxies submitted before the date of the Supplement using the original proxy card will not include votes on the new proposal. As a result, if you want to vote on the new proposals described in the Supplement, you must cast a new vote before the Annual Meeting by following the instructions on the Revised Proxy Card to vote by internet or telephone or by completing the Revised Proxy Card in its entirety, signing, dating and returning it in the enclosed envelope. We encourage you to submit your proxy so that your shares will be represented and voted at the meeting, whether or not you can attend the live webcast.</w:t>
      </w:r>
    </w:p>
    <w:p>
      <w:pPr>
        <w:spacing w:after="0" w:line="18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The Revised Proxy Card permits you to submit your vote for all six of the proposals included in the Proxy Statement and the Supplement and will replace any previously submitted proxy in connection with the Annual Meeting. If you have already submitted your proxy and do not submit a new proxy, your previously submitted proxy will be voted at the Annual Meeting with respect to all other proposals;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we strongly encourage you to submit a new proxy so that your vote will be counted on Proposals 5 and 6.</w:t>
      </w:r>
    </w:p>
    <w:p>
      <w:pPr>
        <w:sectPr>
          <w:pgSz w:w="11900" w:h="16838" w:orient="portrait"/>
          <w:cols w:equalWidth="0" w:num="1">
            <w:col w:w="11024"/>
          </w:cols>
          <w:pgMar w:left="436" w:top="251" w:right="439" w:bottom="1440" w:gutter="0" w:footer="0" w:header="0"/>
          <w:type w:val="continuous"/>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Voting by internet or telephone, by signing and submitting the new proxy card or by voting in person at the Annual Meeting, will revoke any prior proxy in its entirety. </w:t>
      </w:r>
      <w:r>
        <w:rPr>
          <w:rFonts w:ascii="Times New Roman" w:cs="Times New Roman" w:eastAsia="Times New Roman" w:hAnsi="Times New Roman"/>
          <w:sz w:val="18"/>
          <w:szCs w:val="18"/>
          <w:b w:val="1"/>
          <w:bCs w:val="1"/>
          <w:color w:val="auto"/>
        </w:rPr>
        <w:t>Therefore, if you submit the new proxy card (or vote by internet or telephone), in addition to voting on Proposals 5 and 6,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must mark the new proxy card in the appropriate place (or follow the instructions to vote by internet or telephone) to indicate your vote on Proposals 1, 2, 3 and 4. If you submit the new proxy card (or vote by internet or telephone), and you do not indicate your vote on one or more of the proposals, then your proxy will be voted FOR each of Proposals 1, 2, 3, 4, 5 and “1 Year” for Proposal 6 for which you do not indicate a vote, even if your prior proxy had indicated a contrary vote.</w:t>
      </w:r>
    </w:p>
    <w:p>
      <w:pPr>
        <w:sectPr>
          <w:pgSz w:w="11900" w:h="16838" w:orient="portrait"/>
          <w:cols w:equalWidth="0" w:num="1">
            <w:col w:w="11000"/>
          </w:cols>
          <w:pgMar w:left="440"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5: ADVISORY VOTE ON THE EXECUTIVE COMPENSATION OF OUR NAMED EXECUTIVE OFFICERS</w:t>
      </w:r>
    </w:p>
    <w:p>
      <w:pPr>
        <w:spacing w:after="0" w:line="22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 and Section 14A of the Exchange Act, our stockholders are entitled to vote to approve, on an advisory basis, the compensation of the Company’s named executive officers as disclosed in this proxy statement in accordance with SEC rules.</w:t>
      </w:r>
    </w:p>
    <w:p>
      <w:pPr>
        <w:spacing w:after="0" w:line="17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We believe that our compensation policies and decisions are consistent with current market practices. Compensation of our named executive officers is designed to enable the Company to attract and retain talented and experienced executives to lead us successfully in a competitive environment.</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shareholders to indicate their support for the compensation of the Company’s named executive officers as described in this proxy statement by casting a non-binding advisory vote “FOR” the following resolution:</w:t>
      </w:r>
    </w:p>
    <w:p>
      <w:pPr>
        <w:spacing w:after="0" w:line="50" w:lineRule="exact"/>
        <w:rPr>
          <w:sz w:val="20"/>
          <w:szCs w:val="20"/>
          <w:color w:val="auto"/>
        </w:rPr>
      </w:pPr>
    </w:p>
    <w:p>
      <w:pPr>
        <w:ind w:left="7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pursuant to Item 402 of Regulation S-K, including the compensation tables and narrative discussion, is hereby APPROVED.”</w:t>
      </w:r>
    </w:p>
    <w:p>
      <w:pPr>
        <w:spacing w:after="0" w:line="159"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Advisory (non-binding) approval of our executive compensation requires the approval of the holders of a majority of the voting power of the votes cast by the holders of all the shares present or represented by proxy at the meeting and voting affirmatively on such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NANIMOUSLY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HAT</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5.</w:t>
      </w:r>
    </w:p>
    <w:p>
      <w:pPr>
        <w:sectPr>
          <w:pgSz w:w="11900" w:h="16838" w:orient="portrait"/>
          <w:cols w:equalWidth="0" w:num="1">
            <w:col w:w="11000"/>
          </w:cols>
          <w:pgMar w:left="440" w:top="266" w:right="459" w:bottom="1440" w:gutter="0" w:footer="0" w:header="0"/>
        </w:sectPr>
      </w:pPr>
    </w:p>
    <w:bookmarkStart w:id="7" w:name="page8"/>
    <w:bookmarkEnd w:id="7"/>
    <w:p>
      <w:pPr>
        <w:jc w:val="center"/>
        <w:ind w:left="460" w:right="2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6: ADVISORY VOTE ON THE FREQUENCY OF STOCKHOLDER APPROVAL OF THE COMPENSATION OF OUR NAMED EXECUTIVE OFFICERS</w:t>
      </w:r>
    </w:p>
    <w:p>
      <w:pPr>
        <w:spacing w:after="0" w:line="15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and Section 14A of the Exchange Act also enable our stockholders, at least once every six years, to indicate their preference regarding how frequently we should solicit a non-binding advisory vote on the compensation of our named executive officers as disclosed in the Company’s proxy statement. Accordingly, we are asking stockholders to indicate whether they would prefer an advisory vote every year, every other year or every three years. Alternatively, stockholders may abstain from casting a vote.</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recommends that the advisory vote on the compensation of our named executive officers be submitted to stockholders each year.</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is the most appropriate policy for us at this time. While our executive compensation program is designed to promote the creation of stockholder value over the long term, the Board recognizes that executive compensation disclosures are made annually, and holding an annual advisory vote on the compensation of our named executive officers provides us with more direct and immediate feedback on our executive compensation program, policies and disclosures. However, stockholders should note that because a proposed annual advisory vote would occur well after the beginning of the compensation year, and because the different elements of our executive compensation programs are designed to operate in an integrated manner and to complement one another, in many cases it may not be appropriate or feasible to change our compensation plans and arrangements for our executive officers in consideration of any single year’s advisory vote by the time of the following year’s annual meeting of stockholders. We believe, however, that an annual advisory vote on the compensation of our named executive officers is consistent with our practice of seeking input and engaging in dialogue with our stockholders on corporate governance matters.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our executive officer compensation practices should be held every year, every other year or every three years. The option among those choices that receives the votes of the holders of a majority the voting power of the votes cast by the holders of all the shares present or represented by proxy at the meeting and voting affirmatively on such matter will be deemed to be the frequency preferred by the stockholders.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Board and the Compensation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The Board may decide, however, because this vote is advisory and, therefore, not binding on the Board or the Company, that it is in the best interests of the stockholders that the Company hold an advisory vote on executive compensation more or less frequently than the option preferred by the stockholders. The vote will not be construed to create or imply any change or addition to the fiduciary duties of the Company or the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NANIMOUSLY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HAT</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OTE FOR</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6.</w:t>
      </w:r>
    </w:p>
    <w:p>
      <w:pPr>
        <w:sectPr>
          <w:pgSz w:w="11900" w:h="16838" w:orient="portrait"/>
          <w:cols w:equalWidth="0" w:num="1">
            <w:col w:w="10980"/>
          </w:cols>
          <w:pgMar w:left="440" w:top="266" w:right="479" w:bottom="144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2022-05-09T07:03:31Z</dcterms:created>
  <dcterms:modified xsi:type="dcterms:W3CDTF">2022-05-09T07:03:31Z</dcterms:modified>
</cp:coreProperties>
</file>