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60"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6" w:lineRule="exact"/>
        <w:rPr>
          <w:sz w:val="24"/>
          <w:szCs w:val="24"/>
          <w:color w:val="auto"/>
        </w:rPr>
      </w:pPr>
    </w:p>
    <w:p>
      <w:pPr>
        <w:ind w:left="400" w:hanging="34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2" w:lineRule="exact"/>
        <w:rPr>
          <w:rFonts w:ascii="MS PGothic" w:cs="MS PGothic" w:eastAsia="MS PGothic" w:hAnsi="MS PGothic"/>
          <w:sz w:val="18"/>
          <w:szCs w:val="18"/>
          <w:color w:val="auto"/>
        </w:rPr>
      </w:pPr>
    </w:p>
    <w:p>
      <w:pPr>
        <w:ind w:left="41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2022</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5" w:lineRule="exact"/>
        <w:rPr>
          <w:sz w:val="24"/>
          <w:szCs w:val="24"/>
          <w:color w:val="auto"/>
        </w:rPr>
      </w:pPr>
    </w:p>
    <w:p>
      <w:pPr>
        <w:ind w:left="400" w:hanging="34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001-35890</w:t>
      </w:r>
    </w:p>
    <w:p>
      <w:pPr>
        <w:spacing w:after="0" w:line="20"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Tempest Therapeutics,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1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40" w:type="dxa"/>
            <w:vAlign w:val="bottom"/>
          </w:tcPr>
          <w:p>
            <w:pPr>
              <w:spacing w:after="0"/>
              <w:rPr>
                <w:sz w:val="16"/>
                <w:szCs w:val="16"/>
                <w:color w:val="auto"/>
              </w:rPr>
            </w:pPr>
          </w:p>
        </w:tc>
        <w:tc>
          <w:tcPr>
            <w:tcW w:w="3180" w:type="dxa"/>
            <w:vAlign w:val="bottom"/>
          </w:tcPr>
          <w:p>
            <w:pPr>
              <w:jc w:val="right"/>
              <w:ind w:right="1908"/>
              <w:spacing w:after="0"/>
              <w:rPr>
                <w:sz w:val="20"/>
                <w:szCs w:val="20"/>
                <w:color w:val="auto"/>
              </w:rPr>
            </w:pPr>
            <w:r>
              <w:rPr>
                <w:rFonts w:ascii="Times New Roman" w:cs="Times New Roman" w:eastAsia="Times New Roman" w:hAnsi="Times New Roman"/>
                <w:sz w:val="14"/>
                <w:szCs w:val="14"/>
                <w:b w:val="1"/>
                <w:bCs w:val="1"/>
                <w:color w:val="auto"/>
              </w:rPr>
              <w:t>45-1472564</w:t>
            </w:r>
          </w:p>
        </w:tc>
        <w:tc>
          <w:tcPr>
            <w:tcW w:w="0" w:type="dxa"/>
            <w:vAlign w:val="bottom"/>
          </w:tcPr>
          <w:p>
            <w:pPr>
              <w:spacing w:after="0"/>
              <w:rPr>
                <w:sz w:val="1"/>
                <w:szCs w:val="1"/>
                <w:color w:val="auto"/>
              </w:rPr>
            </w:pPr>
          </w:p>
        </w:tc>
      </w:tr>
      <w:tr>
        <w:trPr>
          <w:trHeight w:val="228"/>
        </w:trPr>
        <w:tc>
          <w:tcPr>
            <w:tcW w:w="454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spacing w:after="0"/>
              <w:rPr>
                <w:sz w:val="19"/>
                <w:szCs w:val="19"/>
                <w:color w:val="auto"/>
              </w:rPr>
            </w:pPr>
          </w:p>
        </w:tc>
        <w:tc>
          <w:tcPr>
            <w:tcW w:w="3180" w:type="dxa"/>
            <w:vAlign w:val="bottom"/>
          </w:tcPr>
          <w:p>
            <w:pPr>
              <w:jc w:val="center"/>
              <w:ind w:right="138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4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spacing w:after="0"/>
              <w:rPr>
                <w:sz w:val="16"/>
                <w:szCs w:val="16"/>
                <w:color w:val="auto"/>
              </w:rPr>
            </w:pPr>
          </w:p>
        </w:tc>
        <w:tc>
          <w:tcPr>
            <w:tcW w:w="3180" w:type="dxa"/>
            <w:vAlign w:val="bottom"/>
          </w:tcPr>
          <w:p>
            <w:pPr>
              <w:jc w:val="center"/>
              <w:ind w:right="140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28"/>
        </w:trPr>
        <w:tc>
          <w:tcPr>
            <w:tcW w:w="454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2000 Sierra Point Parkway, Suite 400</w:t>
            </w:r>
          </w:p>
        </w:tc>
        <w:tc>
          <w:tcPr>
            <w:tcW w:w="3040" w:type="dxa"/>
            <w:vAlign w:val="bottom"/>
          </w:tcPr>
          <w:p>
            <w:pPr>
              <w:spacing w:after="0"/>
              <w:rPr>
                <w:sz w:val="19"/>
                <w:szCs w:val="19"/>
                <w:color w:val="auto"/>
              </w:rPr>
            </w:pPr>
          </w:p>
        </w:tc>
        <w:tc>
          <w:tcPr>
            <w:tcW w:w="3180" w:type="dxa"/>
            <w:vAlign w:val="bottom"/>
            <w:vMerge w:val="restart"/>
          </w:tcPr>
          <w:p>
            <w:pPr>
              <w:jc w:val="right"/>
              <w:ind w:right="2068"/>
              <w:spacing w:after="0"/>
              <w:rPr>
                <w:sz w:val="20"/>
                <w:szCs w:val="20"/>
                <w:color w:val="auto"/>
              </w:rPr>
            </w:pPr>
            <w:r>
              <w:rPr>
                <w:rFonts w:ascii="Times New Roman" w:cs="Times New Roman" w:eastAsia="Times New Roman" w:hAnsi="Times New Roman"/>
                <w:sz w:val="14"/>
                <w:szCs w:val="14"/>
                <w:b w:val="1"/>
                <w:bCs w:val="1"/>
                <w:color w:val="auto"/>
              </w:rPr>
              <w:t>94005</w:t>
            </w:r>
          </w:p>
        </w:tc>
        <w:tc>
          <w:tcPr>
            <w:tcW w:w="0" w:type="dxa"/>
            <w:vAlign w:val="bottom"/>
          </w:tcPr>
          <w:p>
            <w:pPr>
              <w:spacing w:after="0"/>
              <w:rPr>
                <w:sz w:val="1"/>
                <w:szCs w:val="1"/>
                <w:color w:val="auto"/>
              </w:rPr>
            </w:pPr>
          </w:p>
        </w:tc>
      </w:tr>
      <w:tr>
        <w:trPr>
          <w:trHeight w:val="190"/>
        </w:trPr>
        <w:tc>
          <w:tcPr>
            <w:tcW w:w="454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Brisbane, California</w:t>
            </w:r>
          </w:p>
        </w:tc>
        <w:tc>
          <w:tcPr>
            <w:tcW w:w="3040" w:type="dxa"/>
            <w:vAlign w:val="bottom"/>
          </w:tcPr>
          <w:p>
            <w:pPr>
              <w:spacing w:after="0"/>
              <w:rPr>
                <w:sz w:val="16"/>
                <w:szCs w:val="16"/>
                <w:color w:val="auto"/>
              </w:rPr>
            </w:pPr>
          </w:p>
        </w:tc>
        <w:tc>
          <w:tcPr>
            <w:tcW w:w="3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40" w:type="dxa"/>
            <w:vAlign w:val="bottom"/>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spacing w:after="0"/>
              <w:rPr>
                <w:sz w:val="23"/>
                <w:szCs w:val="23"/>
                <w:color w:val="auto"/>
              </w:rPr>
            </w:pPr>
          </w:p>
        </w:tc>
        <w:tc>
          <w:tcPr>
            <w:tcW w:w="3180" w:type="dxa"/>
            <w:vAlign w:val="bottom"/>
          </w:tcPr>
          <w:p>
            <w:pPr>
              <w:jc w:val="center"/>
              <w:ind w:right="14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3"/>
        </w:trPr>
        <w:tc>
          <w:tcPr>
            <w:tcW w:w="10760" w:type="dxa"/>
            <w:vAlign w:val="bottom"/>
            <w:gridSpan w:val="3"/>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798-8589</w:t>
            </w:r>
          </w:p>
        </w:tc>
        <w:tc>
          <w:tcPr>
            <w:tcW w:w="0" w:type="dxa"/>
            <w:vAlign w:val="bottom"/>
          </w:tcPr>
          <w:p>
            <w:pPr>
              <w:spacing w:after="0"/>
              <w:rPr>
                <w:sz w:val="1"/>
                <w:szCs w:val="1"/>
                <w:color w:val="auto"/>
              </w:rPr>
            </w:pPr>
          </w:p>
        </w:tc>
      </w:tr>
      <w:tr>
        <w:trPr>
          <w:trHeight w:val="364"/>
        </w:trPr>
        <w:tc>
          <w:tcPr>
            <w:tcW w:w="7580" w:type="dxa"/>
            <w:vAlign w:val="bottom"/>
            <w:gridSpan w:val="2"/>
          </w:tcPr>
          <w:p>
            <w:pPr>
              <w:jc w:val="center"/>
              <w:ind w:left="358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40" w:type="dxa"/>
            <w:vAlign w:val="bottom"/>
          </w:tcPr>
          <w:p>
            <w:pPr>
              <w:jc w:val="center"/>
              <w:ind w:right="70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70"/>
        </w:trPr>
        <w:tc>
          <w:tcPr>
            <w:tcW w:w="4540" w:type="dxa"/>
            <w:vAlign w:val="bottom"/>
          </w:tcPr>
          <w:p>
            <w:pPr>
              <w:jc w:val="center"/>
              <w:ind w:right="689"/>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3040" w:type="dxa"/>
            <w:vAlign w:val="bottom"/>
          </w:tcPr>
          <w:p>
            <w:pPr>
              <w:jc w:val="center"/>
              <w:ind w:right="788"/>
              <w:spacing w:after="0"/>
              <w:rPr>
                <w:sz w:val="20"/>
                <w:szCs w:val="20"/>
                <w:color w:val="auto"/>
              </w:rPr>
            </w:pPr>
            <w:r>
              <w:rPr>
                <w:rFonts w:ascii="Times New Roman" w:cs="Times New Roman" w:eastAsia="Times New Roman" w:hAnsi="Times New Roman"/>
                <w:sz w:val="14"/>
                <w:szCs w:val="14"/>
                <w:color w:val="auto"/>
              </w:rPr>
              <w:t>TPST</w:t>
            </w:r>
          </w:p>
        </w:tc>
        <w:tc>
          <w:tcPr>
            <w:tcW w:w="31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10"/>
        </w:trPr>
        <w:tc>
          <w:tcPr>
            <w:tcW w:w="7580" w:type="dxa"/>
            <w:vAlign w:val="bottom"/>
            <w:gridSpan w:val="2"/>
          </w:tcPr>
          <w:p>
            <w:pPr>
              <w:jc w:val="center"/>
              <w:ind w:left="360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0760" w:type="dxa"/>
            <w:vAlign w:val="bottom"/>
            <w:gridSpan w:val="3"/>
          </w:tcPr>
          <w:p>
            <w:pPr>
              <w:jc w:val="center"/>
              <w:ind w:left="429"/>
              <w:spacing w:after="0"/>
              <w:rPr>
                <w:sz w:val="20"/>
                <w:szCs w:val="20"/>
                <w:color w:val="auto"/>
              </w:rPr>
            </w:pPr>
            <w:r>
              <w:rPr>
                <w:rFonts w:ascii="Times New Roman" w:cs="Times New Roman" w:eastAsia="Times New Roman" w:hAnsi="Times New Roman"/>
                <w:sz w:val="11"/>
                <w:szCs w:val="11"/>
                <w:b w:val="1"/>
                <w:bCs w:val="1"/>
                <w:color w:val="auto"/>
                <w:w w:val="98"/>
              </w:rPr>
              <w:t>_________________________________________________________________________________________________________________</w:t>
            </w:r>
          </w:p>
        </w:tc>
        <w:tc>
          <w:tcPr>
            <w:tcW w:w="0" w:type="dxa"/>
            <w:vAlign w:val="bottom"/>
          </w:tcPr>
          <w:p>
            <w:pPr>
              <w:spacing w:after="0"/>
              <w:rPr>
                <w:sz w:val="1"/>
                <w:szCs w:val="1"/>
                <w:color w:val="auto"/>
              </w:rPr>
            </w:pPr>
          </w:p>
        </w:tc>
      </w:tr>
      <w:tr>
        <w:trPr>
          <w:trHeight w:val="255"/>
        </w:trPr>
        <w:tc>
          <w:tcPr>
            <w:tcW w:w="7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w:t>
            </w:r>
          </w:p>
        </w:tc>
        <w:tc>
          <w:tcPr>
            <w:tcW w:w="31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spacing w:after="0" w:line="161" w:lineRule="exact"/>
        <w:tabs>
          <w:tab w:leader="none" w:pos="704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2"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p>
    <w:p>
      <w:pPr>
        <w:spacing w:after="0" w:line="28" w:lineRule="exact"/>
        <w:rPr>
          <w:sz w:val="24"/>
          <w:szCs w:val="24"/>
          <w:color w:val="auto"/>
        </w:rPr>
      </w:pPr>
    </w:p>
    <w:p>
      <w:pPr>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Yes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w:t>
      </w:r>
    </w:p>
    <w:p>
      <w:pPr>
        <w:spacing w:after="0" w:line="54"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60" w:type="dxa"/>
        <w:tblCellMar>
          <w:top w:w="0" w:type="dxa"/>
          <w:left w:w="0" w:type="dxa"/>
          <w:bottom w:w="0" w:type="dxa"/>
          <w:right w:w="0" w:type="dxa"/>
        </w:tblCellMar>
      </w:tblPr>
      <w:tr>
        <w:trPr>
          <w:trHeight w:val="226"/>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2000" w:type="dxa"/>
            <w:vAlign w:val="bottom"/>
          </w:tcPr>
          <w:p>
            <w:pPr>
              <w:spacing w:after="0"/>
              <w:rPr>
                <w:sz w:val="24"/>
                <w:szCs w:val="24"/>
                <w:color w:val="auto"/>
              </w:rPr>
            </w:pPr>
          </w:p>
        </w:tc>
        <w:tc>
          <w:tcPr>
            <w:tcW w:w="3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1"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w:t>
      </w:r>
    </w:p>
    <w:p>
      <w:pPr>
        <w:spacing w:after="0" w:line="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w:t>
      </w:r>
    </w:p>
    <w:p>
      <w:pPr>
        <w:spacing w:after="0" w:line="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4"/>
          <w:szCs w:val="14"/>
          <w:b w:val="1"/>
          <w:bCs w:val="1"/>
          <w:color w:val="auto"/>
        </w:rPr>
        <w:t>¨</w:t>
      </w:r>
    </w:p>
    <w:p>
      <w:pPr>
        <w:spacing w:after="0" w:line="1" w:lineRule="exact"/>
        <w:rPr>
          <w:sz w:val="20"/>
          <w:szCs w:val="20"/>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of the registrant held by non-affiliates as of June 30, 2022 (the last business day of the registrant’s most recently completed second fiscal quarter), based on a closing price of $2.15 per share of the registrant’s common stock as reported on The Nasdaq Stock Market LLC on June 30, 2022, was approximately $22.2 million. For purposes of this computation, all officers, directors, and stockholders that the registrant has concluded are affiliates of the registrant are deemed to be affiliates. This calculation does not reflect a determination that certain holders are affiliates of the Registrant for any other purpose.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16, 2023, the registrant had 10,561,700 shares of common stock, $0.001 par value per share, outstanding.</w:t>
      </w:r>
    </w:p>
    <w:p>
      <w:pPr>
        <w:spacing w:after="0" w:line="13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2023 Annual Meeting of Stockholders to be filed with the Securities and Exchange Commission pursuant to Regulation 14A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414020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77"/>
        </w:trPr>
        <w:tc>
          <w:tcPr>
            <w:tcW w:w="120" w:type="dxa"/>
            <w:vAlign w:val="bottom"/>
          </w:tcPr>
          <w:p>
            <w:pPr>
              <w:spacing w:after="0"/>
              <w:rPr>
                <w:sz w:val="6"/>
                <w:szCs w:val="6"/>
                <w:color w:val="auto"/>
              </w:rPr>
            </w:pPr>
          </w:p>
        </w:tc>
        <w:tc>
          <w:tcPr>
            <w:tcW w:w="10320" w:type="dxa"/>
            <w:vAlign w:val="bottom"/>
            <w:gridSpan w:val="3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320" w:type="dxa"/>
            <w:vAlign w:val="bottom"/>
            <w:gridSpan w:val="31"/>
            <w:vMerge w:val="continue"/>
          </w:tcPr>
          <w:p>
            <w:pPr>
              <w:spacing w:after="0"/>
              <w:rPr>
                <w:sz w:val="15"/>
                <w:szCs w:val="15"/>
                <w:color w:val="auto"/>
              </w:rPr>
            </w:pPr>
          </w:p>
        </w:tc>
        <w:tc>
          <w:tcPr>
            <w:tcW w:w="800" w:type="dxa"/>
            <w:vAlign w:val="bottom"/>
          </w:tcPr>
          <w:p>
            <w:pPr>
              <w:jc w:val="right"/>
              <w:ind w:right="11"/>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93"/>
        </w:trPr>
        <w:tc>
          <w:tcPr>
            <w:tcW w:w="120" w:type="dxa"/>
            <w:vAlign w:val="bottom"/>
          </w:tcPr>
          <w:p>
            <w:pPr>
              <w:spacing w:after="0"/>
              <w:rPr>
                <w:sz w:val="24"/>
                <w:szCs w:val="24"/>
                <w:color w:val="auto"/>
              </w:rPr>
            </w:pPr>
          </w:p>
        </w:tc>
        <w:tc>
          <w:tcPr>
            <w:tcW w:w="5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85"/>
              </w:rPr>
              <w:t>PART I</w:t>
            </w:r>
          </w:p>
        </w:tc>
        <w:tc>
          <w:tcPr>
            <w:tcW w:w="780" w:type="dxa"/>
            <w:vAlign w:val="bottom"/>
            <w:tcBorders>
              <w:top w:val="single" w:sz="8" w:color="0000FF"/>
            </w:tcBorders>
            <w:gridSpan w:val="8"/>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1.</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680" w:type="dxa"/>
            <w:vAlign w:val="bottom"/>
            <w:gridSpan w:val="5"/>
          </w:tcPr>
          <w:p>
            <w:pPr>
              <w:spacing w:after="0"/>
              <w:rPr>
                <w:sz w:val="19"/>
                <w:szCs w:val="19"/>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680" w:type="dxa"/>
            <w:vAlign w:val="bottom"/>
            <w:gridSpan w:val="5"/>
          </w:tcPr>
          <w:p>
            <w:pPr>
              <w:spacing w:after="0"/>
              <w:rPr>
                <w:sz w:val="19"/>
                <w:szCs w:val="19"/>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680" w:type="dxa"/>
            <w:vAlign w:val="bottom"/>
            <w:gridSpan w:val="5"/>
          </w:tcPr>
          <w:p>
            <w:pPr>
              <w:spacing w:after="0"/>
              <w:rPr>
                <w:sz w:val="19"/>
                <w:szCs w:val="19"/>
                <w:color w:val="auto"/>
              </w:rPr>
            </w:pPr>
          </w:p>
        </w:tc>
        <w:tc>
          <w:tcPr>
            <w:tcW w:w="20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940" w:type="dxa"/>
            <w:vAlign w:val="bottom"/>
            <w:gridSpan w:val="13"/>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3.</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4.</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0" w:type="dxa"/>
            <w:vAlign w:val="bottom"/>
          </w:tcPr>
          <w:p>
            <w:pPr>
              <w:spacing w:after="0"/>
              <w:rPr>
                <w:sz w:val="24"/>
                <w:szCs w:val="24"/>
                <w:color w:val="auto"/>
              </w:rPr>
            </w:pPr>
          </w:p>
        </w:tc>
        <w:tc>
          <w:tcPr>
            <w:tcW w:w="6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b w:val="1"/>
                <w:bCs w:val="1"/>
                <w:color w:val="0E32E1"/>
                <w:w w:val="97"/>
              </w:rPr>
              <w:t>PART II</w:t>
            </w:r>
          </w:p>
        </w:tc>
        <w:tc>
          <w:tcPr>
            <w:tcW w:w="6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5.</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6.</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7.</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7A.</w:t>
            </w:r>
          </w:p>
        </w:tc>
        <w:tc>
          <w:tcPr>
            <w:tcW w:w="680" w:type="dxa"/>
            <w:vAlign w:val="bottom"/>
            <w:gridSpan w:val="5"/>
          </w:tcPr>
          <w:p>
            <w:pPr>
              <w:spacing w:after="0"/>
              <w:rPr>
                <w:sz w:val="19"/>
                <w:szCs w:val="19"/>
                <w:color w:val="auto"/>
              </w:rPr>
            </w:pP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7"/>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8.</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9.</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Item 9A.</w:t>
            </w:r>
          </w:p>
        </w:tc>
        <w:tc>
          <w:tcPr>
            <w:tcW w:w="680" w:type="dxa"/>
            <w:vAlign w:val="bottom"/>
            <w:gridSpan w:val="5"/>
          </w:tcPr>
          <w:p>
            <w:pPr>
              <w:spacing w:after="0"/>
              <w:rPr>
                <w:sz w:val="19"/>
                <w:szCs w:val="19"/>
                <w:color w:val="auto"/>
              </w:rPr>
            </w:pPr>
          </w:p>
        </w:tc>
        <w:tc>
          <w:tcPr>
            <w:tcW w:w="1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4"/>
              </w:rPr>
              <w:t>Controls and Procedures</w:t>
            </w:r>
          </w:p>
        </w:tc>
        <w:tc>
          <w:tcPr>
            <w:tcW w:w="7260" w:type="dxa"/>
            <w:vAlign w:val="bottom"/>
            <w:gridSpan w:val="15"/>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680" w:type="dxa"/>
            <w:vAlign w:val="bottom"/>
            <w:gridSpan w:val="5"/>
          </w:tcPr>
          <w:p>
            <w:pPr>
              <w:spacing w:after="0"/>
              <w:rPr>
                <w:sz w:val="19"/>
                <w:szCs w:val="19"/>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640" w:type="dxa"/>
            <w:vAlign w:val="bottom"/>
            <w:gridSpan w:val="17"/>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680" w:type="dxa"/>
            <w:vAlign w:val="bottom"/>
            <w:gridSpan w:val="5"/>
          </w:tcPr>
          <w:p>
            <w:pPr>
              <w:spacing w:after="0"/>
              <w:rPr>
                <w:sz w:val="19"/>
                <w:szCs w:val="19"/>
                <w:color w:val="auto"/>
              </w:rPr>
            </w:pPr>
          </w:p>
        </w:tc>
        <w:tc>
          <w:tcPr>
            <w:tcW w:w="49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80" w:type="dxa"/>
            <w:vAlign w:val="bottom"/>
            <w:gridSpan w:val="6"/>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493"/>
        </w:trPr>
        <w:tc>
          <w:tcPr>
            <w:tcW w:w="120" w:type="dxa"/>
            <w:vAlign w:val="bottom"/>
          </w:tcPr>
          <w:p>
            <w:pPr>
              <w:spacing w:after="0"/>
              <w:rPr>
                <w:sz w:val="24"/>
                <w:szCs w:val="24"/>
                <w:color w:val="auto"/>
              </w:rPr>
            </w:pPr>
          </w:p>
        </w:tc>
        <w:tc>
          <w:tcPr>
            <w:tcW w:w="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6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10.</w:t>
            </w:r>
          </w:p>
        </w:tc>
        <w:tc>
          <w:tcPr>
            <w:tcW w:w="740" w:type="dxa"/>
            <w:vAlign w:val="bottom"/>
            <w:gridSpan w:val="7"/>
          </w:tcPr>
          <w:p>
            <w:pPr>
              <w:spacing w:after="0"/>
              <w:rPr>
                <w:sz w:val="21"/>
                <w:szCs w:val="21"/>
                <w:color w:val="auto"/>
              </w:rPr>
            </w:pPr>
          </w:p>
        </w:tc>
        <w:tc>
          <w:tcPr>
            <w:tcW w:w="41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80" w:type="dxa"/>
            <w:vAlign w:val="bottom"/>
            <w:gridSpan w:val="9"/>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Item 11.</w:t>
            </w: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12.</w:t>
            </w:r>
          </w:p>
        </w:tc>
        <w:tc>
          <w:tcPr>
            <w:tcW w:w="20" w:type="dxa"/>
            <w:vAlign w:val="bottom"/>
            <w:tcBorders>
              <w:bottom w:val="single" w:sz="8" w:color="0000EE"/>
            </w:tcBorders>
          </w:tcPr>
          <w:p>
            <w:pPr>
              <w:spacing w:after="0"/>
              <w:rPr>
                <w:sz w:val="19"/>
                <w:szCs w:val="19"/>
                <w:color w:val="auto"/>
              </w:rPr>
            </w:pPr>
          </w:p>
        </w:tc>
        <w:tc>
          <w:tcPr>
            <w:tcW w:w="720" w:type="dxa"/>
            <w:vAlign w:val="bottom"/>
            <w:gridSpan w:val="6"/>
          </w:tcPr>
          <w:p>
            <w:pPr>
              <w:spacing w:after="0"/>
              <w:rPr>
                <w:sz w:val="19"/>
                <w:szCs w:val="19"/>
                <w:color w:val="auto"/>
              </w:rPr>
            </w:pPr>
          </w:p>
        </w:tc>
        <w:tc>
          <w:tcPr>
            <w:tcW w:w="7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680" w:type="dxa"/>
            <w:vAlign w:val="bottom"/>
            <w:gridSpan w:val="2"/>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20" w:type="dxa"/>
            <w:vAlign w:val="bottom"/>
            <w:tcBorders>
              <w:bottom w:val="single" w:sz="8" w:color="0000EE"/>
            </w:tcBorders>
          </w:tcPr>
          <w:p>
            <w:pPr>
              <w:spacing w:after="0"/>
              <w:rPr>
                <w:sz w:val="19"/>
                <w:szCs w:val="19"/>
                <w:color w:val="auto"/>
              </w:rPr>
            </w:pPr>
          </w:p>
        </w:tc>
        <w:tc>
          <w:tcPr>
            <w:tcW w:w="720" w:type="dxa"/>
            <w:vAlign w:val="bottom"/>
            <w:gridSpan w:val="6"/>
          </w:tcPr>
          <w:p>
            <w:pPr>
              <w:spacing w:after="0"/>
              <w:rPr>
                <w:sz w:val="19"/>
                <w:szCs w:val="19"/>
                <w:color w:val="auto"/>
              </w:rPr>
            </w:pPr>
          </w:p>
        </w:tc>
        <w:tc>
          <w:tcPr>
            <w:tcW w:w="5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520" w:type="dxa"/>
            <w:vAlign w:val="bottom"/>
            <w:gridSpan w:val="5"/>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20" w:type="dxa"/>
            <w:vAlign w:val="bottom"/>
            <w:tcBorders>
              <w:bottom w:val="single" w:sz="8" w:color="0000EE"/>
            </w:tcBorders>
          </w:tcPr>
          <w:p>
            <w:pPr>
              <w:spacing w:after="0"/>
              <w:rPr>
                <w:sz w:val="19"/>
                <w:szCs w:val="19"/>
                <w:color w:val="auto"/>
              </w:rPr>
            </w:pPr>
          </w:p>
        </w:tc>
        <w:tc>
          <w:tcPr>
            <w:tcW w:w="720" w:type="dxa"/>
            <w:vAlign w:val="bottom"/>
            <w:gridSpan w:val="6"/>
          </w:tcPr>
          <w:p>
            <w:pPr>
              <w:spacing w:after="0"/>
              <w:rPr>
                <w:sz w:val="19"/>
                <w:szCs w:val="19"/>
                <w:color w:val="auto"/>
              </w:rPr>
            </w:pPr>
          </w:p>
        </w:tc>
        <w:tc>
          <w:tcPr>
            <w:tcW w:w="2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6120" w:type="dxa"/>
            <w:vAlign w:val="bottom"/>
            <w:gridSpan w:val="12"/>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493"/>
        </w:trPr>
        <w:tc>
          <w:tcPr>
            <w:tcW w:w="120" w:type="dxa"/>
            <w:vAlign w:val="bottom"/>
          </w:tcPr>
          <w:p>
            <w:pPr>
              <w:spacing w:after="0"/>
              <w:rPr>
                <w:sz w:val="24"/>
                <w:szCs w:val="24"/>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E32E1"/>
              </w:rPr>
              <w:t>PART IV</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600" w:type="dxa"/>
            <w:vAlign w:val="bottom"/>
            <w:tcBorders>
              <w:top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100" w:type="dxa"/>
            <w:vAlign w:val="bottom"/>
            <w:tcBorders>
              <w:top w:val="single" w:sz="8" w:color="0E32E1"/>
            </w:tcBorders>
            <w:gridSpan w:val="4"/>
          </w:tcPr>
          <w:p>
            <w:pPr>
              <w:spacing w:after="0"/>
              <w:rPr>
                <w:sz w:val="21"/>
                <w:szCs w:val="21"/>
                <w:color w:val="auto"/>
              </w:rPr>
            </w:pPr>
          </w:p>
        </w:tc>
        <w:tc>
          <w:tcPr>
            <w:tcW w:w="640" w:type="dxa"/>
            <w:vAlign w:val="bottom"/>
            <w:gridSpan w:val="3"/>
          </w:tcPr>
          <w:p>
            <w:pPr>
              <w:spacing w:after="0"/>
              <w:rPr>
                <w:sz w:val="21"/>
                <w:szCs w:val="21"/>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16</w:t>
            </w:r>
          </w:p>
        </w:tc>
        <w:tc>
          <w:tcPr>
            <w:tcW w:w="740" w:type="dxa"/>
            <w:vAlign w:val="bottom"/>
            <w:gridSpan w:val="7"/>
          </w:tcPr>
          <w:p>
            <w:pPr>
              <w:spacing w:after="0"/>
              <w:rPr>
                <w:sz w:val="19"/>
                <w:szCs w:val="19"/>
                <w:color w:val="auto"/>
              </w:rPr>
            </w:pPr>
          </w:p>
        </w:tc>
        <w:tc>
          <w:tcPr>
            <w:tcW w:w="30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900" w:type="dxa"/>
            <w:vAlign w:val="bottom"/>
            <w:gridSpan w:val="11"/>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4"/>
        </w:trPr>
        <w:tc>
          <w:tcPr>
            <w:tcW w:w="1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124"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225" w:lineRule="exact"/>
        <w:rPr>
          <w:rFonts w:ascii="Times New Roman" w:cs="Times New Roman" w:eastAsia="Times New Roman" w:hAnsi="Times New Roman"/>
          <w:sz w:val="18"/>
          <w:szCs w:val="18"/>
          <w:b w:val="1"/>
          <w:bCs w:val="1"/>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TPST-1495 and TPST-1120 and our future product candidates;</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225"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spacing w:after="0" w:line="16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225"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our obligations under our term loan with Oxford Finance LLC, or to obtain a waiver from Oxford for any failure to comply with the covenants contained in such term loan agreement;</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w:t>
      </w:r>
    </w:p>
    <w:p>
      <w:pPr>
        <w:spacing w:after="0" w:line="161" w:lineRule="exact"/>
        <w:rPr>
          <w:rFonts w:ascii="Times New Roman" w:cs="Times New Roman" w:eastAsia="Times New Roman" w:hAnsi="Times New Roman"/>
          <w:sz w:val="18"/>
          <w:szCs w:val="18"/>
          <w:color w:val="auto"/>
        </w:rPr>
      </w:pPr>
    </w:p>
    <w:p>
      <w:pPr>
        <w:ind w:left="1120" w:right="380" w:hanging="363"/>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161" w:lineRule="exact"/>
        <w:rPr>
          <w:rFonts w:ascii="Times New Roman" w:cs="Times New Roman" w:eastAsia="Times New Roman" w:hAnsi="Times New Roman"/>
          <w:sz w:val="18"/>
          <w:szCs w:val="18"/>
          <w:color w:val="auto"/>
        </w:rPr>
      </w:pPr>
    </w:p>
    <w:p>
      <w:pPr>
        <w:jc w:val="both"/>
        <w:ind w:left="1120" w:right="380" w:hanging="363"/>
        <w:spacing w:after="0" w:line="26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herein, the words “Tempest,” “we,” “us,” “our,” and "company" refer to Tempest Therapeutics, Inc. and its direct and indirect subsidiaries, as applicable. In addition, the word “Millendo” refers to the company prior to the completion of the merger with Millendo Therapeutics, Inc. on June 25, 2021 (the “merger”).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oncology company focused on leveraging our deep scientific understanding of cancer biology and medicinal chemistry to develop and advance novel, orally available therapies for the treatment of solid tumors. Our philosophy is to build a company based upon not only good ideas and creative science, but also upon the efficient translation of those ideas into therapies that will improve patients’ lives. To this end, we are advancing TPST-1120 and TPST-1495, two product candidates in clinical trials that we believe are the first clinical-stage molecules designed to inhibit their respective targets; as well as two preclinical programs, including one that could be the first to target TREX-1, a key cellular enzyme that regulates the innate immune response in tumors.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TPST-1120 is a selective antagonist of peroxisome proliferator-activated receptor alpha, or PPARα. Clinical data from initial Phase 1 trials, both as a monotherapy and in combination with an anti-PD1 therapy, nivolumab, were reported at a podium presentation at the American Society of Clinical Oncology (ASCO) conference in June 2022. RECIST responses were observed at the two highest TPST-1120 doses in combination with standard dose nivolumab for an objective response rate ("ORR") of those cohorts of 30% (3 of 10 patients), including in patients who previously progressed on anti-PD-1 (-L1) therapy. TPST-1120 is also being studied in an ongoing global randomized Phase 1b/2 trial in combination with the standard-of-care first-line regimen of atezolizumab and bevacizumab in patients with advanced or metastatic hepatocellular carcinoma, or HCC. The study has fully enrolled (targeting 40 patients in each arm), and we expect the initial data in the first half of 2023. Our second clinical program, TPST-1495, a dual antagonist of the EP2 and EP4 receptors of prostaglandin E2, is in an ongoing Phase 1 monotherapy and combination trial in solid tumors. We expect data from the TPST-1495 Phase 1 trial to be presented at a cancer conference in 2023, if accepted to present. Additionally, we have what we believe to be exciting third and fourth preclinical programs targeting the three prime repair exonuclease (“TREX-1”) and a novel oncology drug target in a newly defined pathway, respectively. Beyond these four ongoing programs, we plan to continue to leverage our drug development and company-building experience along with academic relationships to identify promising new targets that may feed new programs into our pipeline.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product development pipeline consists of the following orally available therapies, which if approved by the U.S. Food and Drug Administration (the "FDA"), we believe will be first in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114300</wp:posOffset>
            </wp:positionV>
            <wp:extent cx="5854700" cy="2837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470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is an estimate based on current projections and status of programs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collaboration with Roche; we retain all product rights. Based on partner projections, ORR on triplet arm expected in the first half of 2023, with additional data later in 2023. Timing of data presentation to be determined with partner.</w:t>
      </w:r>
    </w:p>
    <w:p>
      <w:pPr>
        <w:spacing w:after="0" w:line="161" w:lineRule="exact"/>
        <w:rPr>
          <w:rFonts w:ascii="Times New Roman" w:cs="Times New Roman" w:eastAsia="Times New Roman" w:hAnsi="Times New Roman"/>
          <w:sz w:val="18"/>
          <w:szCs w:val="18"/>
          <w:color w:val="auto"/>
        </w:rPr>
      </w:pPr>
    </w:p>
    <w:p>
      <w:pPr>
        <w:ind w:left="180" w:hanging="171"/>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accepted to present</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and timing of event dependent on program progress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team has come together to build an integrated company that delivers meaningful therapies to cancer patients by leveraging our collective capabilities and experience. We expect to build value for our stockholders with the following over-arching strategy:</w:t>
      </w:r>
    </w:p>
    <w:p>
      <w:pPr>
        <w:spacing w:after="0" w:line="162" w:lineRule="exact"/>
        <w:rPr>
          <w:sz w:val="20"/>
          <w:szCs w:val="20"/>
          <w:color w:val="auto"/>
        </w:rPr>
      </w:pPr>
    </w:p>
    <w:p>
      <w:pPr>
        <w:jc w:val="both"/>
        <w:ind w:left="760" w:hanging="378"/>
        <w:spacing w:after="0" w:line="25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TPST-1120, including by facilitating our collaboration with Hoffman-La Roche Ltd., or Roche, which is evaluating TPST-1120 in a randomized, global, first-line HCC study that commenced enrollment in September 2021. Because TPST-1120 is being combined with a standard-of-care first-line treatment and being compared to that same standard-of-care, we believe positive study results may provide strategic opportunities for us in 2023. We expect to receive objective response rate, or ORR, results from this randomized study in the first half of 2023, and subject to receipt of additional capital, are evaluating further development in RCC and CCA based on the Phase 1 data presented at ASCO 2022.</w:t>
      </w:r>
    </w:p>
    <w:p>
      <w:pPr>
        <w:spacing w:after="0" w:line="18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TPST-1495 through clinical development to near-term meaningful data. We plan to present data from the TPST-1495 monotherapy and combination therapy arms of the Phase 1a/b study at the ASCO conference in 2023, if accepted to present, and continue enrollment of the ongoing combination arm in patients with advanced endometrial cancer, where prostaglandin signaling is implicated. We expect to have ORR data from the endometrial arm in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left="760" w:hanging="378"/>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programs into clinical studies, including our TREX-1 inhibitor. Members of our team developed the first-in-human STING (STimulator of INterferon Genes) agonists in a prior company and are widely acknowledged to be leaders in the field. We believe that a selective TREX-1 inhibitor given orally is an innovative approach to selectively engage the STING pathway broadly in the tumor microenvironment of metastatic disease. Our medicinal chemists have developed a series of potent compounds against human TREX-1, which we are optimizing towards selecting a development candidate for investigational new drug application (“IND”)-enabling activities in 2023.</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business development opportunities to maximize the potential of our pipeline and extend financial resources. We believe that our pipeline has broad potential reach and partnerships that bring in additional expertise and/or geographic presence could be important to increase the likelihood of success. We currently own all rights to our programs. We intend to become a fully integrated biopharmaceutical company and build a targeted sales force in the United States to support the commercialization of our drug candidates, if approved.</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pipeline by identifying novel oncology targets and in-licensing opportunities. Although we believe we have a robust pipeline, we continue to evaluate and pursue novel targets, intellectual property and product candidates for acquisition and in-licensing to supplement our internal research efforts and further build our pipeline of targeted molecules for oncology. Through our team’s focus and expertise in oncology and immunology, as well as established relationships with oncology and immunology thought leaders, we believe we are positioning the company as a partner of choice for innovative oncology drug candidate development. Continued advances in the biological understanding of diseases should provide opportunities to further expand our portfolio with preclinical and/or clinical product candidates.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TPST-1120: PPARα Transcription Factor Antagonist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TPST-1120, potentially a first-in-class oral small molecule antagonist of PPARα, has completed a Phase 1a/b trial, and is currently being studied in a randomized Phase 1b/2 trial. The Phase 1a/b trial was a multicenter, open-label, dose-escalation, that evaluated TPST-1120 as both a monotherapy and in combination with nivolumab in patients with advanced solid tumors. Results from both the monotherapy and combination arms were presented in an oral presentation at the ASCO conference in 2022. The ongoing Phase 1b/2 trial is a randomized, multicenter, global study in collaboration with Roche that is evaluating TPST-1120 in combination with atezolizumab (Tecentriq®) and bevacizumab (Avastin®) in previously untreated patients with advanced HCC, compared to atezolizumab and bevacizumab, which is a standard of care for that indication and patient population. We expect to have initial data from the trial in the first half of 2023.</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Tumors evolve to modulate metabolism to promote their own survival, promote angiogenesis and to evade immune recognition. PPARα is a transcription factor that is activated through binding of long-chain fatty acid ligands, which in turn regulates the expression of &gt;100 genes that control glucose and lipid homeostasis, inflammation, proliferation, differentiation and cell death. Included among these regulated genes are those that enable fatty acid oxidation, or FAO, and β-oxidation metabolic pathways in cellular peroxisomes and in mitochondria. An FAO metabolic profile is associated with tumor proliferation, induction of angiogenesis and immune suppression. Published studies and internal Tempest analyses of over 9,000 primary or metastatic tumor samples in the Human Cancer Genome, or TCGA, public database reveal a metabolic gene expression profile characterized by increased PPARα, FAO genes and lipogenesis associated with increased metastatic potential and reduced survival enrichment among multiple cancers, including HCC, cholangiocarcinoma (CCA), breast carcinoma, colorectal adenocarcinoma, renal cell cancer (RCC), lung adenocarcinoma and prostate adenocarcinoma. TPST-1120 is designed to block the pathways that support tumor cell proliferation, angiogenesis and immune suppression, resulting in reduced disease and patient benefit.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2059940</wp:posOffset>
            </wp:positionH>
            <wp:positionV relativeFrom="page">
              <wp:posOffset>226060</wp:posOffset>
            </wp:positionV>
            <wp:extent cx="3394710" cy="23914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39471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TPST-1120 Preclinical Results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conducted pre-clinical pharmacology studies along with pharmacokinetics, or PK, and toxicology studies with TPST-1120 to support its ongoing evaluation for the treatment of patients with advanced solid tumors. The combined results of the preclinical studies that we have performed indicate that TPST-1120’s anti-tumor mechanism of action involves both directly inhibiting tumor proliferation and targeting suppressive immune response pathways to promote effective tumor-specific immunity. Our preclinical results support the large body of published literature that the PPARα target genes play an integral role in tumor growth, angiogenesis and evasion of immune recognition, and provide the scientific rationale for targeting this pathway with TPST-1120.</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Immune checkpoint blockade enhances anti-tumor immunity by restoring the activity of cytotoxic T (Teff) cells. Emerging experimental results suggest that inhibiting FAO with a PPARα antagonist may target resistance mechanisms to both anti-PD-L1/PD-1 and anti-VEGF therapies, supporting the combination of TPST-1120 with either or both therapies. We have conducted preclinical studies showing that while both TPST-1120 or anti-PD-1 monotherapy inhibited outgrowth of established flank MC38 tumors, the combination of these two agents resulted in synergistic anti-tumor activity. In addition, MC38 tumor-bearing mice cured by the combination therapy, unlike age-matched naïve control mice, were completely refractory to tumor growth when rechallenged with autologous MC38 tumor cells, demonstrating that TPST-1120 in combination with anti-PD-1 induced lasting tumor-specific immune memory. In addition, activating mutations in the Wnt/B-catenin pathway represent the most frequently dysregulated pathway in HCC. Such mutations render a tumor cell dependent upon FAO for its energy source, and in preclinical studies, Tempest has shown reduction and long-term durable cures in mice bearing Wnt/B-catenin activated HCC tumors treated with TPST-1120 and an immune checkpoint inhibitor.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Efficacy in Syngeneic β-Catenin-driven Hepatocellular Carcinoma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19685</wp:posOffset>
            </wp:positionV>
            <wp:extent cx="4568825" cy="267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6882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Tumor resistance to anti-angiogenic drugs is also associated with elevated lipogenesis and FAO, primarily through the vascular regression and hypoxic environment that this class of therapies engenders. In response, tumor cells can switch to FAO as a mechanism of resistance against anti-angiogenic therapy. In a preclinical study, we confirmed that combination of TPST-1120 with tyrosine kinase inhibitor-, or TKI-, based anti-angiogenesis therapy confers potent anti-tumor activity. Taken together, the experimental results provide scientific rationale for the ongoing clinical evaluation of TPST-1120 therapy in first-line HCC in combination with atezolizumab and bevacizumab, as well as the potential evaluation of TPST-1120 in combination with a tyrosine kinase inhibitor, or TKI, in FAO-reliant malignancies such as HCC and RCC.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TPST-1120 Clinical Trials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completed a Phase 1a/b TPST-1120 study and a randomized Phase 1b/2 clinical study is ongoing. The Phase 1a/b trial evaluated both monotherapy and combination therapy with the anti-PD-1 agent nivolumab in patients with advanced solid tumors that our PPARα- dependent transcriptome analysis of diverse human cancers revealed favor the usage of FAO. Results from both the monotherapy and the combination arms were presented in an oral presentation at the ASCO conference in 2022.</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TPST-1120 demonstrated monotherapy clinical benefit in patients with late-line, treatment-refractory cancers where responses would not be expected, including pancreatic, CCA, and colorectal cancers ("CRC"). Results showed that 53% (10/19) of patients experienced clinical benefit in the form of disease control, including tumor shrinkage in 21% of the patients. Shown below, one subject with late line cholangiocarcinoma had a 15% tumor shrinkage and was on study for over nine months of treatment, while also demonstrating on-target inhibition of expression of PPARα target genes on pharmacodynamic, ("PD"), assessment.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363220</wp:posOffset>
            </wp:positionV>
            <wp:extent cx="5854700" cy="3394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5470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combination therapy portion of the trial, 15 evaluable patients with heavily-pretreated RCC, HCC and CCA were treated with oral twice-daily TPST-1120 and the anti-PD-1 therapy, nivolumab. All the HCC and RCC patients had received an approved anti-PD-1 therapy in at least one prior line of therapy and discontinued that treatment due to disease progression. We observed objective responses (RECIST v1.1) in two patients with late-line RCC who had previously progressed on anti-PD-1 therapy without having achieved an objective response (ORR 50%, n=2/4, in evaluable RCC patients), and we observed mixed response in a third RCC IO-refractory patient with significant reduction (&gt;30%) in the target lesion, but also the appearance of new disease that precluded a RECIST PR. A third RECIST response was observed in a patient with late-line, heavily pre-treated CCA, a tumor type generally not responsive to anti-PD-1 therapy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131445</wp:posOffset>
            </wp:positionV>
            <wp:extent cx="4997450" cy="1997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745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Notably, one RCC patient who achieved a partial response after treatment with TPST-1120 and nivolumab had previously been treated with the combination of nivolumab and ipilimumab without experiencing an objective response and progressed on treatment, followed by further progression of cancer on both cabozantinib and everolimus. The initial RECIST PR was seen at the first on-study assessment at eight weeks and included a response in all target lesions as well as complete radiographic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resolution of multiple sites of metastatic disease (see CT scan below), and has been confirmed at subsequent assessments beyond 11 months.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Partial Response in Late-Line RCC Patient Treated with TPST-1120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Nivolumab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280035</wp:posOffset>
            </wp:positionV>
            <wp:extent cx="5854700" cy="2322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5470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TPST-1120 is also under investigation in an ongoing randomized clinical trial in first-line HCC. We entered into a clinical collaboration with Roche to evaluate TPST-1120 in combination with atezolizumab and bevacizumab in patients with advanced/metastatic HCC who have not yet been treated with systemic therapy. Roche is operationalizing this trial to evaluate the triplet regimen of TPST-1120 + atezolizumab + bevacizumab randomized against the standard-of-care doublet of atezolizumab + bevacizumab, targeting 40 patients to participate in each of the two study arms. The primary objective of this trial is to evaluate the anti-tumor efficacy of the combination as determined by confirmed ORR by RECIST 1.1. Additional efficacy endpoints include progression free survival, or PFS, overall survival, or OS, and duration of response, or DOR, while a key exploratory objective is to identify biomarkers that are predictive of response to the experimental treatment, including an assessment activation of the ß-catenin pathway, which is predicted to be present in up to 50% of patients with HCC. The study has fully enrolled, and we anticipate receiving initial ORR results in the first half of 2023, and are considering the additional development of TPST-1120 in selected indications in combination with immunotherapy and/or anti-angiogenesis therapy.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worldwide rights to TPST-1120, and have filed and been issued patents, including composition of matter, pharmaceutical compositions, and related methods of use, that are expected to expire in December 2033, with giving effect to any patent term extensions.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TPST-1495: Dual EP2/EP4 Prostaglandin Receptor Antagonist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second clinical molecule is TPST-1495, a potentially first-in-class, oral, small molecule dual antagonist of the prostaglandin E2, or PGE2, receptors, EP2 and EP4. TPST-1495 is engineered to inhibit only these receptors while sparing the homologous - but differentially active - EP1 and EP3 receptors. There is extensive literature demonstrating that PGE2 both enhances tumor proliferation and inhibits anti-cancer immune function; it is known from the scientific literature that many tumors express elevated levels of the cyclooxygenase enzymes that produce PGE2. We have an ongoing Phase 1a/b dose and schedule optimization study evaluating TPST-1495 in both monotherapy and combination therapy with the anti-PD-1 agent pembrolizumab in patients with advanced solid tumors. In this study, we have observed dose-dependent TPST-1495 exposure, on-target pharmacodynamic changes, a manageable safety profile, and a reduction of tumor burden in some subjects. An ongoing study arm is testing the combination of TPST-1495 (including two doses, which should provide support under the FDA’s Optimus program) and pembrolizumab in patients with advanced endometrial cancer based upon data supporting the role of prostaglandin signaling and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COX-2 over-expression in the disease. We plan to present data from the monotherapy and combination therapy dose and schedule optimization arms at a healthcare conference in 2023 and from the combination arm in patients with endometrial cancer in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Elevated expression of COX-2 and overproduction of PGE2 is correlated with progression of diverse malignancies by stimulating tumor cell proliferation, survival, evasion and metastasis as well as host angiogenesis. In addition, PGE2 suppresses anti-tumor immunity by inhibiting the function of critical anti-tumor immune effector cell populations such as dendritic cells, natural killer ("NK cells"), T cells, and M1 macrophages, while promoting the activity of suppressive immune cell populations including myeloid-derived suppressor cells ("MDSCs"), M2 macrophages, and regulatory T cells. Additionally, recent studies have shown that increased expression of COX-2 and production of PGE2 can play a role in the effectiveness of immune checkpoint inhibitor therapy and in the development of adaptive resistance to therapy. This body of literature provides the scientific rationale for developing therapeutics that maximally inhibit the prostaglandin pathway, as well as for combining TPST-1495 with immune checkpoint inhibitor monoclonal antibodies.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as a dual antagonist targeting EP2 and EP4 while preserving PGE2 signaling through EP1 and EP3 to maintain functional immunity, we believe that TPST-1495 offers the potential for unique therapeutic properties as compared to either broad inhibition of PGE2 signaling via COX inhibitors or EP4 only.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preclinical studies to evaluate the ability of TPST-1495 to reverse PGE2-mediated suppression of primary human monocyte to dendritic cell differentiation and activation in vitro, as well as the comparative capacity for TPST-1495 and the single EP4 antagonist E7046 (TPST-7317) to reverse prostaglandin-mediated immune suppression in conditions of both high and low PGE2 concentrations in human monocyte cultures in vitro in order to test the capacity of TPST-1495 to reverse immune suppression in a broad range of PGE2 levels that may encompass the range in the tumor microenvironment, or TME. The data from the results suggest that at appropriate dose levels, TPST-1495 may completely block signaling through both EP2 and EP4 pathways in the TME and that this dual blockade is more effective than EP4 blockade alone to reverse PGE2-mediated immune suppression.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conducted preclinical studies using several tumor mouse models to evaluate the anti-tumor activity of TPST-1495 and to compare our potency to a single EP4 antagonist, E7046, developed by Eisai Co. Ltd. (“Esai”). We believe that these results demonstrate that TPST-1495 has increased therapeutic activity in tumor-bearing mouse models and has significantly improved anti-tumor activity compared to single EP4 antagonists. As shown in the Figure below, TPST-1495 demonstrated significant efficacy as a monotherapy when given to Balb/c mice bearing established flank CT26 colon tumors. Administration of TPST-1495 at 100 mg/kg twice a day, or BID, significantly increased the total T cell number and percentage of CD4+ and CD8+ T cells within the tumor compared to vehicle control, and consistent with increased T cells in the TME, the absolute number and frequency of AH1 tetramer+ T cells was also significantly elevated in the tumor draining lymph node.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TPST-1495 Anti-Tumor Response in Mice Correlates with Increased CD8+ T cells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Reduced regs in the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297180</wp:posOffset>
            </wp:positionV>
            <wp:extent cx="5203190" cy="2597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0319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Ongoing TPST-1495 Clinical Trials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TPST-1495 is being evaluated in an ongoing first-in-human, Phase 1, multicenter, open-label, schedule and dose optimization trial in subjects with late-stage solid tumor cancers that are deemed incurable. Study objectives include evaluation of safety, tolerability, PK, pharmacodynamics, or PD, and preliminary anti-tumor activity of TPST-1495 as monotherapy and in combination with the checkpoint inhibitor, pembrolizumab. TPST-1495 has been evaluated on a once daily (“QD”) or twice daily (“BID”) schedule and with continuous or intermittent administration as monotherapy and in combination with pembrolizumab. Subjects with all histologic types of solid tumors have been eligible, with an ongoing combination arm enrolling patients with endometrial cancer.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Preliminary PK analysis shows a nearly linear, dose-proportional, relationship of steady state drug exposure to administered dose of TPST-1495, representing data from subjects receiving TPST-1495 on once-daily and twice-daily as well as continuous and intermittent dosing schedules.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preliminary PD assessment in subjects treated with TPST-1495 includes both a PGE2 whole blood immune suppression assay conducted with patient blood and measurements of a stable metabolite of PGE2, known as PGEM, in the urine. Shown in the Figure below, the PD results indicate target engagement in subjects dosed with 100 mg, 25 mg or 15 mg of TPST-1495, as indicated by the reversal of PGE2 immune suppression in the whole blood assay, as indicated by the increase of TNFα production due to TPST-1495 exposure in whole blood monocytes upon lipopolysaccharide ("LPS") stimulation and suppression of exogenously added PGE2. We have also observed increased levels of PGEM in the urine, resulting from TPST-1495 antagonism of EP2 and EP4 receptors (inferred through measurement of the PGEM metabolite).</w:t>
      </w: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evaluated the TME of some patients by immunohistochemistry, or IHC, for infiltration of T cells into the tumor. These studies were conducted with tumor biopsies taken pre- and on-treatment with TPST-1495 revealed in some cases the infiltration of cytotoxic T cells.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Recovery of TNF-a Production in Whole Blood on the First Day Following Dosing of TPST-1495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156845</wp:posOffset>
            </wp:positionV>
            <wp:extent cx="5854700" cy="2871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5470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760" w:right="1320"/>
        <w:spacing w:after="0" w:line="261" w:lineRule="auto"/>
        <w:rPr>
          <w:sz w:val="20"/>
          <w:szCs w:val="20"/>
          <w:color w:val="auto"/>
        </w:rPr>
      </w:pPr>
      <w:r>
        <w:rPr>
          <w:rFonts w:ascii="Times New Roman" w:cs="Times New Roman" w:eastAsia="Times New Roman" w:hAnsi="Times New Roman"/>
          <w:sz w:val="18"/>
          <w:szCs w:val="18"/>
          <w:i w:val="1"/>
          <w:iCs w:val="1"/>
          <w:color w:val="auto"/>
        </w:rPr>
        <w:t>Percent increase of TNF-α measured in subjects’ whole blood as indicated by ELISA following stimulation with LPS alone with and without exogenously added PGE2 sampled at the times indicated in the legend post dosing. The values expressed reflect the percent recovery of TNF-α production observed in the presence of PGE2 and TPST-1495 in subject plasma as compared to the level TNF-α production in subject plasma stimulated with LPS alone (without PGE2).</w:t>
      </w:r>
    </w:p>
    <w:p>
      <w:pPr>
        <w:spacing w:after="0" w:line="3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accepted, we will present the TPST-1495 initial monotherapy and combination therapy results at the ASCO conference in 2023, followed by data from the ongoing arms in patients with endometrial cancer in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own worldwide rights to TPST-1495, and have filed and been issued patents, including composition of matter and pharmaceutical compositions, that are expected to expire between April 2038 and October 2042, without giving effect to any patent term extensions.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TREX-1 Inhibitor Program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the exonuclease TREX-1 may be the optimal approach to drug the STING pathway with an orally available small molecule inhibitor. Extensive genetic evidence from human disease that has been confirmed in numerous mouse knock-out investigations point to the STING pathway as a critical innate immune sensor for the development of anti-tumor immunity. Although the STING pathway has significant scientific validation, clinical trials utilizing synthetic cyclic dinucleotide STING agonists have been somewhat disappointing. The underlying scientific hypothesis for these clinical trials was that localized T cell priming in the lymph nodes draining from the injected tumor would have activity against non-injected distal tumors, referred to as the "abscopal effect." Because metastatic tumors have unique antigenic repertoires, we believe an effective therapeutic would need to catalyze innate activation in the TME of multiple metastases in order to prime T cells that can recognize and eradicate distinct tumors. However, we believe it would be difficult to achieve a therapeutic index with systemically delivered STING-agonists due to the ubiquitous expression of the target as a central innate immune receptor.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color w:val="auto"/>
        </w:rPr>
        <w:t>TREX-1 is a cytosolic exonuclease that inhibits activation of the cGAS/ STING pathway by degrading double-stranded ("ds") DNA in the cytoplasm. TREX-1 expression is increased across diverse malignancies for multiple reasons, including defects in DNA repair mechanism and particular therapeutic interventions such as DNA-modifying chemotherapeutic agents or radiation. The increased expression of TREX-1 in tumors serves as foundational scientific evidence that tumors can hijack this pathway to prevent activation of the STING pathway and avoid immune recognition. In contrast to administering a direct STING agonist systemically, we believe that systemic oral dosing with a potent and specific TREX-1 inhibitor will activate the STING pathway selectively in the "TME" and prime cytolytic CD8+ T cells broadly in tumor draining lymph nodes, thereby serving distinct metastatic lesions having unique antigenic repertoires.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TREX-1 DNA Exonuclease Modulates cGAS/STING Pathway and Innate Immunity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156845</wp:posOffset>
            </wp:positionV>
            <wp:extent cx="2065655" cy="22542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6565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developed small molecule inhibitors of TREX1 with drug-like physicochemical properties and picomolar potency against both human and mouse TREX1. As shown below, we have observed anti-tumor activity in mice treated with TREX1 small molecule inhibitors in combination with low-dose doxorubicin to induce dsDNA breaks and increase TME TREX1 expression.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TREX-1 Inhibitor Anti-Tumor Activity with Tool Compound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156845</wp:posOffset>
            </wp:positionV>
            <wp:extent cx="4791710" cy="2562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9171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We believe we have significantly advanced the program and potentially the field by generating the first human and mouse TREX1 co-crystal structures that will guide our SAR activities to develop new chemical matter with increasingly desirable properties. In addition, we have developed a battery of biochemical, biophysical, and cell-based assays that we believe will enable us to profile new TREX1 inhibitors. We plan to continue development towards selecting a development candidate by the end of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Undisclosed Target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2021, we announced that we entered into an exclusive license agreement with the University of California at Berkeley for intellectual property covering a novel drug target that is a component of, to our knowledge, a newly defined pathway that controls the production of a cytokine that tumors can evolve to block to avoid immune recognition and promote metastasis. Interestingly, the target is a suppressor protein, so is predictably not inactivated by progressing tumors and therefore should remain a target for drug inactivation.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2021, we entered into a collaboration agreement with Roche to accelerate the development of TPST-1120 into a global, first-line, randomized study. Under the terms of the agreement, the companies are evaluating TPST-1120 in a Phase 1b/2 clinical study in combination with the standard-of-care first-line regimen of atezolizumab and bevacizumab in patients with advanced or metastatic HCC, not previously treated with systemic therapy. Pursuant to the terms of the agreement, Roche is managing the study operations for the trial, and we will retain global development and commercialization rights to TPST-1120. According to the agreement, Roche will provide us with notice of the amount of TPST-1120 required for a study and the delivery timeline, and we will supply the TPST-1120 to Roche for the study. All rights to invention and discoveries relating solely to TPST-1120 or biomarkers solely related to TPST-1120 made during any study will be our exclusive property. All data generated in the performance of any study under the collaboration agreement will be the property of Roche, but we are entitled to use the data for any lawful purpose.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applies on a study-by-study basis until the last treatment of the last patient in a study receiving TPST-1120 in accordance with the protocol for such study or until the termination of this collaboration agreement by either party. Each party has the right to terminate the collaboration agreement upon 60 days prior written notice to the other party. Upon any termination of the agreement, neither we nor Roche will be entitled to any compensation, damages or other payment. If any individual study supplement is terminated, Roche must return all unused TPST-1120 to us free of charge or destroy such product at our request.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its commercialization plans. If we build a commercial infrastructure to support marketing in North America, such commercial infrastructure could be expected to include a targeted sales force supported by sales management, internal sales support, an internal marketing group and distribution support. To develop the appropriate commercial infrastructure internally, we would have to invest financial and management resources, some of which would have to be deployed prior to any confirmation that one of our product candidates will be approved.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and expect to continue to rely, on third parties for the manufacture of our product candidates for preclinical and clinical testing, as well as for commercial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manufacture if any of our product candidates obtain marketing approval. We also rely, and expect to continue to rely, on third parties to package, label, store and distribute our investigational product candidates, as well as for our commercial products if marketing approval is obtained. We have internal personnel and utilize consultants with extensive technical, manufacturing, analytical and quality experience to oversee contract manufacturing and testing activities. We will continue to expand and strengthen our network of third-party providers but may also consider investing in internal manufacturing capabilities in the future if there is a technical need, or a strategic or financial benefit.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Manufacturing is subject to extensive regulations that impose procedural and documentation requirements. At a minimum these regulations govern record keeping, manufacturing processes and controls, personnel, quality control and quality assurance. Our systems, procedures and contractors are required to be in compliance with these regulations and are assessed through regular monitoring and formal audits.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biopharmaceutical and immuno-oncology industries are characterized by intense competition and rapid innovation. Any product candidates that we successfully develop and commercialize will have to compete with existing and future new therapies. While we believe that our technology, development experience and scientific knowledge provide us with competitive advantages, we face potential competition from many different sources, including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TPST-1120, TPST-1495, or our other product candidates are approved for the treatment of tumors, they may compete with other products used to treat such diseases. There are a variety of treatments used for cancerous tumors that include chemotherapy drugs, small molecules, monoclonal antibodies, antibody-drug conjugates, bi-specific antibodies, cell therapies, oncolytic viruses and vaccines, as well as other approaches. In addition, there are several competitors in clinical development for the treatment of HCC, RCC, cholangiocarcinoma, CRC and other indications that we may be targeting with TPST-1120 and TPST-1495, including companies such as Agios, Ikena, Ono, Adlai Nortye, Merck, Roche, Exelixis, and AstraZeneca.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TPST-1120, our small molecule designed to be a selective antagonist of PPARα, is the first PPARα antagonist in the clinic. We are not aware of other companies developing such an antagonist. For TPST-1495, our small molecule designed to be a dual antagonist of the EP2 and EP4 receptor, we are aware of other clinical-stage EP-4-only antagonists being developed by Adlai Nortye, Ikena, and Ono.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substantially greater financial, technical and human resources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substantially limited if our competitors develop and commercialize products that are more effective, safer, less toxic,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The key competitive factors affecting the success of all of our programs are likely to be their efficacy, safety, convenience and availability of reimbursement. In addition, our ability to compete may be affected in many cases by insurers or other third-party payors seeking to encourage the use of generic drugs.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obtaining, maintaining, and defending our patent rights. Our policy is to seek to protect our proprietary position by, among other methods, filing patent applications and obtaining issued patents in the United States and in markets outside of the United States directed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of oncology. We also plan to rely on data exclusivity, market exclusivity and patent term extensions when available. Our commercial success will depend in part on our ability to obtain and maintain patent and other proprietary protection for our technology, inventions, improvements, and product candidates; to preserve the confidentiality of our trade secrets; to defend and enforce our proprietary rights, including any patents that we may own or license in the future; and to operate without infringing on the valid and enforceable patents and other proprietary rights of third parties.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our patent portfolio consisted of issued patents and pending patent applications that we own or in-licensed related to TPST-1120, TPST-1495 and various other compounds and programs, such as TREX1 and our fourth, undisclosed program. In total, as of the same date, we owned five issued United States patents, thirteen pending United States patent applications, and in various markets outside of the United States, including Europe, China and Japan: 42 issued patents and 23 pending patent applications.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TPST-1120, we own issued patents and pending patent applications in the United States, Europe, China, Japan, and other markets outside of the United States. The issued United States patents covering TPST-1120 as composition of matter, pharmaceutical compositions, and related methods of use are expected to expire in December 2033, absent any patent term extensions for regulatory delay. Any additional patents that may issue from these pending patent applications are expected to expire between December 2033 and November 2044, absent any patent term adjustments or patent term extensions for regulatory delay.</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TPST-1495, we own issued patents and pending patent applications in the United States, Europe, China, Japan, and other markets outside of the United States. The issued United State patents covering TPST-1495 as composition of matter, pharmaceutical composition, and related methods of use are expected to expire between April 2038 and April 2039, absent any patent term extensions for regulatory delay. Any additional patents that may issue from these pending patent applications are expected to expire between April 2038 and November 2044, absent any patent term adjustments or patent term extensions for regulatory delay.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TREX-1, we own pending patent applications in the United States and Taiwan. Any patents that may issue from these pending patent applications are expected to expire between June 2041 and June 2044, absent any patent term adjustments or patent term extensions for regulatory delay.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our patent portfolio also included a pending patent application in the United States that is exclusively licensed to us by the University of California at Berkeley. The licensed patent application does not cover any of our current product candidates.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possess substantial know-how and trade secrets relating to the development and commercialization of our product candidates, including related manufacturing processes and technology.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our product candidates and processes that we intend to develop and commercialize in the normal course of business, we intend to pursue patent protection covering, when possible, compositions, methods of use, dosing, and formulations. We may also pursue patent protection with respect to manufacturing and drug development processes and technologies.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Issued patents can provide protection for varying periods of time, depending upon the date of filing of the patent application, the date of patent issuance and the legal term of patents in the countries in which they are obtained. In general, patents issued for patent applications filed in the United States can provide exclusionary rights for 20 years from the earliest effective filing date. The term of United States patents may be extended by delays encountered during prosecution that are caused by the USPTO, also known as patent term adjustment. In addition, in certain instances, the term of an issued United States patent that covers or claims an FDA approved product can be extended to recapture a portion of the term effectively lost as a result of the FDA regulatory review period, which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positions of companies like ours are generally uncertain and involve complex legal and factual questions. No consistent policy regarding the scope of claims allowable in patents in the field of oncology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its pending patent applications or with respect to any patent applications we may file in the future, nor can we be sure that any patents that may be granted to us in the future will be commercially useful in protecting its products, the methods of use or manufacture of those products.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even its issued patents may not guarantee us the right to practice our technology in relation to the commercialization of its products.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our issued patents may be challenged, invalidated, or circumvented, which could limit our ability to stop competitors from marketing related products or could limit the term of patent protection that otherwise may exist for its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labeling, packaging, storage, record-keeping, promotion, advertising, distribution, post-approval monitoring and reporting, marketing and export and import of pharmaceutical products, such as our investigational medicines and any future investigational medicines. Generally, before a new pharmaceutical product can be marketed, considerable data demonstrating its quality, safety and efficacy must be obtained, organized into a format specific for each regulatory authority, submitted for review and approved by the regulatory authority.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a New Drug Applications ("NDA") warning or untitled letters, product recalls, product seizures, total or partial suspension of production or distribution, injunctions, fines, civil penalties and criminal prosecution.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investigational medicines and any future investigational medicines must be approved by the FDA pursuant to an NDA before they may be legally marketed in the United States. The process generally involves the following:</w:t>
      </w:r>
    </w:p>
    <w:p>
      <w:pPr>
        <w:spacing w:after="0" w:line="162" w:lineRule="exact"/>
        <w:rPr>
          <w:sz w:val="20"/>
          <w:szCs w:val="20"/>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and animal studies in accordance with applicable regulations, including studies conducted in accordance with Good Laboratory Practice ("GLP") requirements;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or independent ethics committee at each clinical trial site before each clinical trial may be commenced;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Good Clinical Practice (“GCP”) requirements and other clinical trial-related regulations to establish the safety and efficacy of the investigational product for each proposed indication;</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user fees for FDA review of an NDA;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filing for review;</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or components thereof, will be produced to assess compliance with Good Manufacturing Practices (“cGMP”) requirements to assure that the facilities, methods and controls are adequate to preserve the drug’s identity, strength, quality and purity;</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potential FDA audits of the clinical trial sites that generated the data in support of the NDA to assure compliance with GCPs and integrity of the clinical data;</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including consideration of the views of any FDA advisory committee;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strategy (“REMS”), where applicable, and post-approval studies required by the FDA as a condition of approval.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testing any drug product candidates in humans, the product candidate must undergo rigorous preclinical testing. Preclinical tests include laboratory evaluation of product chemistry, formulation and toxicity, as well as in vitro and animal studies to assess the potential for adverse events and in some cases to establish a rationale for therapeutic use. The conduct of the preclinical tests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must comply with federal regulations and requirements, including GLP. An IND sponsor must submit the results of the preclinical tests, together with manufacturing information, analytical data,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long-term preclinical testing may continue after an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healthy volunteers or patients under the supervision of a qualified investigator, generally a physician not employed by or under the trial sponsor’s control.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an IND.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accept a well-designed and well-conducted foreign clinical trial not conducted under an IND if the clinical trial was conducted in accordance with GCP requirements, and the FDA is able to validate the data through an onsite inspection if deemed necessary.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are generally conducted in three sequential phases, known as Phase 1, Phase 2 and Phase 3:</w:t>
      </w:r>
    </w:p>
    <w:p>
      <w:pPr>
        <w:spacing w:after="0" w:line="225" w:lineRule="exact"/>
        <w:rPr>
          <w:sz w:val="20"/>
          <w:szCs w:val="20"/>
          <w:color w:val="auto"/>
        </w:rPr>
      </w:pPr>
    </w:p>
    <w:p>
      <w:pPr>
        <w:jc w:val="both"/>
        <w:ind w:left="760" w:hanging="378"/>
        <w:spacing w:after="0" w:line="26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generally involve studies in disease-affected patients to evaluate proof of concept and/or determine the dosing regimen(s) for subsequent investigations. At the same time, safety and further pharmacokinetic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left="760" w:right="20"/>
        <w:spacing w:after="0" w:line="282" w:lineRule="auto"/>
        <w:rPr>
          <w:sz w:val="20"/>
          <w:szCs w:val="20"/>
          <w:color w:val="auto"/>
        </w:rPr>
      </w:pPr>
      <w:r>
        <w:rPr>
          <w:rFonts w:ascii="Times New Roman" w:cs="Times New Roman" w:eastAsia="Times New Roman" w:hAnsi="Times New Roman"/>
          <w:sz w:val="18"/>
          <w:szCs w:val="18"/>
          <w:color w:val="auto"/>
        </w:rPr>
        <w:t>pharmacodynamic information is collected, possible adverse effects and safety risks are identified, and a preliminary evaluation of efficacy is conducted.</w:t>
      </w:r>
    </w:p>
    <w:p>
      <w:pPr>
        <w:spacing w:after="0" w:line="162" w:lineRule="exact"/>
        <w:rPr>
          <w:sz w:val="20"/>
          <w:szCs w:val="20"/>
          <w:color w:val="auto"/>
        </w:rPr>
      </w:pPr>
    </w:p>
    <w:p>
      <w:pPr>
        <w:jc w:val="both"/>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drug.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dose-escalation stage and a dose 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with other confirmatory evidence may be sufficient in rare instances to provide substantial evidence of effectiveness (generally subject to the requirement of additional post-approval studies). 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Review Process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an NDA is required before marketing of the product may begin in the U.S. An NDA must include the results of all preclinical, clinical and other testing and a compilation of data relating to the product’s pharmacology, chemistry, manufacture and controls. To support marketing approval, the data submitted must be sufficient in quality and quantity to establish the safety and efficacy of the investigational product to the satisfaction of the FDA. FDA approval of an NDA must be obtained before a drug may be marketed in the United States. The cost of preparing and submitting an NDA is substantial. Under the Prescription Drug User Fee Act (“PDUFA”),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 annual program fee.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The FDA reviews each submitted NDA before it determines whether to file it and may request additional information. The FDA must make a decision on whether to file an NDA within 60 days of receipt, and such decision could include a refusal to file by the FDA. Once the submission is filed, the FDA begins an in-depth review of an NDA. The FDA has agreed to certain performance goals in the review of an NDA. Most applications for standard review drug products are reviewed within ten to twelve months; most applications for priority review drugs are reviewed in six to eight months. Priority review can be applied to drugs that the FDA determines may offer significant improvement in safety or effectiveness compared to marketed products or where no adequate therapy exists. The review process for both standard and priority review may be extended by the FDA for three additional months to consider certain late-submitted information, or information intended to clarify information already provided in the submission. The FDA does not always meet its goal dates for standard and priority timeframes for an NDA, and the review process can be extended by FDA requests for additional information or clarification.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typically inspects clinical trial sites to ensure compliance with GCP requirements and the integrity of the data supporting safety and efficacy.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FDA evaluates an NDA and the manufacturing facilities, it issues either an approval letter or a complete response letter. A complete response letter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an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an NDA does not satisfy the criteria for approval.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potential condition of an NDA approval, the FDA may require a REMS to help ensure that the benefits of the drug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an investigational drug product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an NDA filing, the FDA will determine whether to grant priority review designation. Additionally, fast track designation may be withdrawn if the FDA believes that the designation is no longer supported by data emerging in the clinical trial process.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Breakthrough Therapy Designation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drug candidate may request that the FDA designate the candidate for a specific indication as a breakthrough therapy concurrent with, or after, the submission of an IND for the drug candidate. The FDA must determine if the drug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Priority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Pediatric Research Equity Act ("PREA"), an NDA or supplements to an NDA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for an indication for which orphan designation has been granted, with certain exceptions.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control, drug manufacture, packaging and labeling procedures must continue to conform to cGMP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Accordingly, manufacturers must continue to expend time, money and effort in the areas of production and quality-control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183" w:lineRule="exact"/>
        <w:rPr>
          <w:sz w:val="20"/>
          <w:szCs w:val="20"/>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suspension of the approval, complete withdrawal of the product from the market or a product recall;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other enforcement-related letters or holds on post-approval clinical studies;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Act Orange Book Listing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 Waxman Amendments, NDA applicants are required to identify to the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Drugs listed in the Orange Book can, in turn, be cited by potential generic competitors in support of approval of an abbreviated new drug application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w:t>
      </w:r>
    </w:p>
    <w:p>
      <w:pPr>
        <w:jc w:val="both"/>
        <w:ind w:firstLine="8"/>
        <w:spacing w:after="0" w:line="253" w:lineRule="auto"/>
        <w:tabs>
          <w:tab w:leader="none" w:pos="3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carves out) any language regarding the patented method-of-use rather than certify to a listed 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the FDA permits, the omission of such exclusivity-protected information from the ANDA prescribing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an NDA approval of a new chemical entity ("NCE"), which is a drug that contains no active moiety that has been approved by the FDA in any other NDA, that drug receives five years of marketing exclusivity during which the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changes to an approved drug, such as the approval of a new indication, the approval of a new strength, and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package insert.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an NDA approval, owners of relevant drug patents may apply for the extension. The allowable patent term extension is calculated as half of the drug’s testing phase (the time between an IND application and an NDA submission) and all of the review phase (the time between an NDA submission and approval) up to a maximum of five years. The time can be reduced for any time the FDA determines that the applicant did not pursue approval with due diligence.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Patent and Trademark Office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in foreign markets, sales of pharmaceutical products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In the United States, no uniform policy of coverage and reimbursement for products exists among third-party payors. Therefore, coverage and reimbursement for products can differ significantly from payor to payor. Decisions regarding the extent of coverage and amount of reimbursement to be provided for each of our product candidates will be made on a plan-by-plan basis. One payor’s determination to provide coverage for a product does not assure that other payors will also provide coverage, and adequate reimbursement, for the product. Additionally,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have been applied to restrict certain general business and marketing practices in the pharmaceutical industry in recent years. These laws include anti-kickback statutes, false claims statutes and other healthcare laws and regulations.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drawn narrowly, and practices that involve remuneration intended to induce prescribing, purchases or recommendations may be subject to scrutiny if they do not qualify for an exception or safe harbor. In addition, a person or entity does not need to have actual knowledge of the statute or specific intent to violate it in order to commit a violation.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Recently,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government may assert that a claim including items or services resulting from a violation of the federal Anti-Kickback Statute constitutes a false or fraudulent claim for purposes of the federal civil False Claims Act.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offerer or payor knows or should know is likely to influence the beneficiary to order a receive a reimbursable item or service from a particular supplier, and the additional federal criminal statutes created by the Health Insurance Portability and Accountability Act of 1996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 Similar to the federal Anti-Kickback Statute, a person or entity does not need to have actual knowledge of the statute or specific intent to violate it in order to commit a violation.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pursuant to the Patient Protection and Affordable Care Act, as amended by the Health Care and Education Reconciliation (the “Affordable Care Act” or the “ACA”), CMS has issued a final rule that requires manufacturers of prescription drugs to collect and report information on certain payments or transfers of value to physicians (defined to include doctors, dentists, optometrists, podiatrists and chiropractors), other healthcare professionals (such as physicians assistants and nurse practitioners), and teaching hospitals, as well as investment interests held by physicians and their immediate family members. The reports must be submitted on an annual basis. The reported data is made available in searchable form on a public website on an annual basis. Failure to submit required information may result in civil monetary penalties.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imposes obligations, including mandatory contractual terms, on covered entities, business associates and their covered subcontractors with respect to safeguarding the privacy, security and transmission of individually identifiable health information.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drug pricing information, including information pertaining to and justifying price increases.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and medical representatives. Compliance with these laws is difficult and time consuming, and companies that do not comply with these state laws face civil penalties.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Innovation at CMS to test innovative payment and service delivery models to lower Medicare and Medicaid spending, potentially including prescription drug spending.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have been judicial, executive brand, and Congressional challenges to certain aspects of the ACA, to repeal or replace certain aspects, of the ACA. By way of example, the Tax Cuts and Jobs Act of 2017 (the "Tax Act"), was enacted and included, among other things, a provision that repealed, effective January 1, 2019, the tax-based shared responsibility payment imposed by the ACA on certain individuals who fail to maintain qualifying health coverage for all or part of a year that is commonly referred to as the “individual mandate.” There have been subsequent challenges to the constitutionality of the ACA following the repeal of the individual mandate. On June 17, 2021, the U.S. Supreme Court dismissed a challenge on procedural grounds that argued the ACA is unconstitutional in its entirety because the individual mandate was repealed by Congress. In addition,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However, it is possible that the ACA will be subject to judicial or Congressional challenges in the future. It is unclear how such challenges will impact the ACA. Tempest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cannot predict the ultimate content, timing or effect of any healthcare reform legislation or the impact of potential legislation on its business.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to reduce healthcare expenditures. On August 2, 2011, the Budget Control Act of 2011, was enacted which, among other things, included aggregate reductions of Medicare payments to providers of 2% per fiscal year. These reductions went into effect on April 1, 2013 and, due to subsequent legislative amendments to the statute will remain in effect through 2031, unless additional Congressional action is taken. Under current legislation, the actual reduction in Medicare payments will vary from 1% in 2022 to up to 4% in the final fiscal year of this sequester.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Tempest’s ability to develop, market and sell any products Tempest may develop.</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the Medicare Prescription Drug, Improvement, and Modernization Act of 2003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While the MMA only applies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w:t>
      </w:r>
    </w:p>
    <w:p>
      <w:pPr>
        <w:spacing w:after="0" w:line="3" w:lineRule="exact"/>
        <w:rPr>
          <w:sz w:val="20"/>
          <w:szCs w:val="20"/>
          <w:color w:val="auto"/>
        </w:rPr>
      </w:pPr>
    </w:p>
    <w:p>
      <w:pPr>
        <w:jc w:val="both"/>
        <w:ind w:firstLine="8"/>
        <w:spacing w:after="0" w:line="251" w:lineRule="auto"/>
        <w:tabs>
          <w:tab w:leader="none" w:pos="2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had 19 employees, including 12 holding Ph.D., M.D., JD, LL.M., and/or MBA degrees, our employees have established internal expertise in chemistry, biochemistry, molecular biology, immunology, pharmacology, toxicology, pre-clinical development, regulatory and quality, translational medicine, and early-to-late-stage clinical development, as well as finance, business development and strategic transactions. None of our employees are represented by a labor union or covered by collective bargaining agreements. We will continue to add experienced and talented scientists in areas, such as medicinal chemistry, that we believe are critical for the discovery of highly differentiated small-molecule compounds.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bonuses intended to be competitive for our industry, opportunities for equity ownership, development programs that enable continued learning and growth and a benefits package to promote well-being across all aspects of their lives, including health care, retirement planning and paid time off. The principal purposes of our equity incentive plans are to attract, retain and motivate selected employees, consultants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 (DEI)</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a diverse workforce is important to our success and we are fundamentally committed to creating and maintaining a work environment in which employees are treated fairly, with dignity, decency, respect and in accordance with all applicable laws. We understand that varied perspectives lead to the best ideas and outcomes. We believe that by creating a workplace where every individual can feel welcome and valued, we will be better able to achieve our corporate objectives. All employees must adhere to a code of business conduct and ethics and our employee handbook, which combined, define standards for appropriate behavior. Our recruitment, hiring, development, training, compensation, and advancement is based on qualifications, performance, skills, and experience without regard to gender, gender identity, sexual orientation, race, or ethnicity. People of color and those who are part of underrepresented groups in the biotech industry are encouraged to apply for open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internet website address is www.Tempesttx.com.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("SEC"). Additionally, the SEC maintains an internet site that contains reports, proxy and information statements and other information. The address of the SEC’s website is www.sec.gov.</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described below, together with all of the other information contained in this Annual Report on Form 10-K,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Selected Risks Associated with Our Business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162" w:lineRule="exact"/>
        <w:rPr>
          <w:sz w:val="20"/>
          <w:szCs w:val="20"/>
          <w:color w:val="auto"/>
        </w:rPr>
      </w:pPr>
    </w:p>
    <w:p>
      <w:pPr>
        <w:jc w:val="both"/>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may be limited by applicable laws and regulations.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proprietary rights.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obtain regulatory approval for and commercialize TPST-1495 and TPST-1120 and its future product candidates, or if we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manufacture our clinical product supplies, and we may have to rely on third parties to produce and process our product candidates, if approved.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ind w:left="760" w:right="140" w:hanging="378"/>
        <w:spacing w:after="0" w:line="26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TPST-1120, and our other product candidates.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our product candidates, we may be unable to generate any revenues.</w:t>
      </w:r>
    </w:p>
    <w:p>
      <w:pPr>
        <w:spacing w:after="0" w:line="161" w:lineRule="exact"/>
        <w:rPr>
          <w:rFonts w:ascii="Times New Roman" w:cs="Times New Roman" w:eastAsia="Times New Roman" w:hAnsi="Times New Roman"/>
          <w:sz w:val="18"/>
          <w:szCs w:val="18"/>
          <w:color w:val="auto"/>
        </w:rPr>
      </w:pPr>
    </w:p>
    <w:p>
      <w:pPr>
        <w:ind w:left="760" w:right="90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161"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(“FDA”) regulatory approval process is lengthy and time-consuming, and we may experience significant delays in the clinical development and regulatory approval of our product candidates.</w:t>
      </w:r>
    </w:p>
    <w:p>
      <w:pPr>
        <w:spacing w:after="0" w:line="161" w:lineRule="exact"/>
        <w:rPr>
          <w:rFonts w:ascii="Times New Roman" w:cs="Times New Roman" w:eastAsia="Times New Roman" w:hAnsi="Times New Roman"/>
          <w:sz w:val="18"/>
          <w:szCs w:val="18"/>
          <w:color w:val="auto"/>
        </w:rPr>
      </w:pPr>
    </w:p>
    <w:p>
      <w:pPr>
        <w:ind w:left="760" w:right="6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61"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patent applications may not provide sufficient protection of our product candidates or result in any competitive advantage.</w:t>
      </w:r>
    </w:p>
    <w:p>
      <w:pPr>
        <w:spacing w:after="0" w:line="161"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is likely to continue to be volatile, and purchasers of our common stock could incur substantial losses.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share price.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thinly traded and our stockholders may be unable to sell their shares quickly or at market price.</w:t>
      </w:r>
    </w:p>
    <w:p>
      <w:pPr>
        <w:spacing w:after="0" w:line="225"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principal stockholders have the ability to control or significantly influence all matters submitted to our stockholders for approval.</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$35.7 million and $28.3 million for the years ended December 31, 2022 and 2021, respectively. As of December 31, 2022, we had an accumulated deficit of $135.8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any of our product candidates is approved, sales and marketing activities. Our prior losses, combined with our expected future losses, have had and will continue to have an adverse effect on our stockholders’ equity and working capital.</w:t>
      </w:r>
    </w:p>
    <w:p>
      <w:pPr>
        <w:spacing w:after="0" w:line="15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We expect our expenses to increase in connection with our ongoing and planned activities, particularly as we continue to develop and potentially commercialize our product candidates, in addition to costs associated with the acquisition or in-licensing of any additional product candidates we may pursue. Our expenses could increase beyond expectations if the FDA or comparable foreign regulatory authorities require us to perform clinical and other studies in addition to those that we currently anticipate. In addition, if we obtain marketing approval for our product candidates, we expect to incur significant expenses related to sales, marketing, manufacturing and distribution.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we had cash, cash equivalents and marketable securities of $31.2 million. We believe that our cash, cash equivalents and marketable securities as of December 31, 2022 will fund our current operating plans through at least the next 12 months from the date the financial statements were issued. We have based this assessment on assumptions that may prove to be wrong, and it is possible that we will not achieve the progress that we expect with these funds because the actual costs and timing of clinical development and regulatory and commercial activities are difficult to predict and are subject to substantial risks and delays, and that we will use our capital resources sooner than we currently expect. This estimate does not reflect any additional expenditures that may result from any further strategic transactions to expand and diversify our product pipeline, including acquisitions of assets, businesses, rights to products, product candidates or technologies or strategic alliances or collaborations that we may pursue. It also does not reflect the possibility that we may not be able to access a portion of our existing cash, cash equivalents and investments due to unforeseen market conditions. For example, on March 10, 2023, the Federal Deposit Insurance Corporation took control and was appointed receiver of Silicon Valley Bank. Similarly, on March 12, 2023, Signature Bank and Silvergate Capital Corp. were each swept into receivership.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any event, we will require substantial additional capital to develop our product candidates. Such 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 Any additional capital raising efforts may divert our management from their day-to-day activities, which may adversely affect our ability to develop and commercialize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may be limited by applicable laws and regulations.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is limited to one-third of our public float, we may conduct such an offering pursuant to an exemption from registration under the Securities Act or under a Form S-1 registration statement, and we would expect either of those alternatives to increase the cost of raising additional capital relative to utilizing a Form S-3 registration statement.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proprietary rights.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In July 2021, we entered into Sales Agreement, or the ATM Agreement, with Jefferies LLC, for an at-the-market offering program that allows us to sell up to an aggregate of $100 million of our common stock. To the extent that we raise additional capital through the sale of equity or convertible debt securities, your ownership interest may be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and security agreement, or Loan Agreement, with Oxford Finance LLC, or Oxford Finance, are secured by a security interest in all of our assets, including our intellectual property. In addition, the Loan Agreement contains customary covenants that, subject to specific exceptions, restrict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are not related to its existing business.</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62" w:lineRule="exact"/>
        <w:rPr>
          <w:sz w:val="20"/>
          <w:szCs w:val="20"/>
          <w:color w:val="auto"/>
        </w:rPr>
      </w:pPr>
    </w:p>
    <w:p>
      <w:pPr>
        <w:ind w:right="880"/>
        <w:spacing w:after="0" w:line="312" w:lineRule="auto"/>
        <w:rPr>
          <w:sz w:val="20"/>
          <w:szCs w:val="20"/>
          <w:color w:val="auto"/>
        </w:rPr>
      </w:pPr>
      <w:r>
        <w:rPr>
          <w:rFonts w:ascii="Times New Roman" w:cs="Times New Roman" w:eastAsia="Times New Roman" w:hAnsi="Times New Roman"/>
          <w:sz w:val="17"/>
          <w:szCs w:val="17"/>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3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the Loan Agreement with Oxford Finance provide Oxford with a lien against all of our assets, including our intellectual property, and contains financial covenants and other restrictions on our actions that may limit our operational flexibility or otherwise adversely affect our results of operations.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2021, we entered into a Loan Agreement with Oxford Finance that provided us with up to $35.0 million of borrowing capacity across three potential tranches, which was subsequently amended in December 2022. The initial tranche of $15.0 million was funded at the closing of the Loan Agreement. As of December 31, 2022, a total of $10.0 million in borrowing capacity remained available at the option of Oxford Finance. Our overall leverage and certain obligations and affirmative and negative covenants contained in the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spacing w:after="0" w:line="19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If we default under the Loan Agreement, Oxford Finance may accelerate all of our repayment obligations and exercise all of their rights and remedies under the Loan Agreement and applicable law, potentially requiring us to renegotiate our agreement on terms less favorable to us. In addition, since the borrowings under the Loan Agreement are secured by a lien on our assets,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spacing w:after="0" w:line="255" w:lineRule="auto"/>
        <w:rPr>
          <w:sz w:val="20"/>
          <w:szCs w:val="20"/>
          <w:color w:val="auto"/>
        </w:rPr>
      </w:pPr>
      <w:r>
        <w:rPr>
          <w:rFonts w:ascii="Times New Roman" w:cs="Times New Roman" w:eastAsia="Times New Roman" w:hAnsi="Times New Roman"/>
          <w:sz w:val="18"/>
          <w:szCs w:val="18"/>
          <w:color w:val="auto"/>
        </w:rPr>
        <w:t>including our intellectual property, Oxford Finance would be able to foreclose on our assets if we do not cure any default or pay any amounts due and payable under the Loan Agreement. Further, if we are liquidated, the lenders’ right to repayment would be senior to the rights of the holders of our common stock to receive any proceeds from the liquidation. Oxford Finance could declare a default upon the occurrence of an event of default, including events that they interpret as a material adverse change as defined in the Loan Agreement, payment defaults or breaches of certain affirmative and negative covenants, thereby requiring us to repay the loan immediately. Any declaration by Oxford Finance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tax credit carryforwards may be subject to limitations.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jc w:val="both"/>
        <w:spacing w:after="0" w:line="258" w:lineRule="auto"/>
        <w:rPr>
          <w:sz w:val="20"/>
          <w:szCs w:val="20"/>
          <w:color w:val="auto"/>
        </w:rPr>
      </w:pPr>
      <w:r>
        <w:rPr>
          <w:rFonts w:ascii="Times New Roman" w:cs="Times New Roman" w:eastAsia="Times New Roman" w:hAnsi="Times New Roman"/>
          <w:sz w:val="18"/>
          <w:szCs w:val="18"/>
          <w:color w:val="auto"/>
        </w:rPr>
        <w:t>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to succeed.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Stephen Brady, our President, Thomas Dubensky and our Chief Medical Officer, Sam Whiting. The loss of services of Messrs. Brady, Dubensky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87"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obtain regulatory approval for and commercialize TPST-1495 and TPST-1120 and our future product candidates, or if we experience significant delays in doing so, our business will be materially harmed.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plan to invest a substantial amount of our efforts and financial resources in our current lead product candidates, TPST-1495, a dual EP2/EP4 prostaglandin (“PGE2”) receptor antagonist, and TPST-1120, a peroxisome proliferator-activated receptor alpha (“PPARα”) antagonist for the treatment of various cancers. We have initiated Phase 1 clinical trials of TPST-1495 and TPST-1120 for the treatment of advanced solid tumors. In addition, we plan to advance our program targeting the three prime repair exonuclease (“TREX-1”) and select a development candidate for this program during 2023. Our ability to generate product revenue will depend heavily on the successful development and eventual commercialization of TPST-1495 and TPST-1120 and our other product candidates, which may never occur. We currently generate no revenue from sales of any product and we may never be able to develop or commercialize a marketable product.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our other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TPST-1495 and TPST-1120 and our other product candidates depends on multiple factors, including:</w:t>
      </w:r>
    </w:p>
    <w:p>
      <w:pPr>
        <w:spacing w:after="0" w:line="225" w:lineRule="exact"/>
        <w:rPr>
          <w:sz w:val="20"/>
          <w:szCs w:val="20"/>
          <w:color w:val="auto"/>
        </w:rPr>
      </w:pPr>
    </w:p>
    <w:p>
      <w:pPr>
        <w:ind w:left="760" w:right="20" w:hanging="378"/>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175"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other regulatory applications, that allow commencement of our planned clinical trials or future clinical trials for our product candidates in relevant territories;</w:t>
      </w:r>
    </w:p>
    <w:p>
      <w:pPr>
        <w:spacing w:after="0" w:line="161"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clinical development of our product candidates, both in the United States and internationally;</w:t>
      </w:r>
    </w:p>
    <w:p>
      <w:pPr>
        <w:spacing w:after="0" w:line="161"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ind w:left="760" w:right="58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161"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those necessary for pricing and reimbursement of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with developers of other therapies available in the market;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adequate reimbursement from third-party payors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in-license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prosecution, maintenance, enforcement and defense of intellectual property rights and claims;</w:t>
      </w:r>
    </w:p>
    <w:p>
      <w:pPr>
        <w:spacing w:after="0" w:line="225"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factors surrounding the approval process, such as government shutdowns; or</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Russia-Ukraine war, natural disasters including earthquakes, typhoons, floods and fires, and public health crises.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TPST-1495 and TPST-1120 are being evaluated in clinical trials, our other product candidates, such as TREX-1, have not been evaluated in human clinical trials, and we may experience unexpected or negative results in the future if and when TREX-1 or our other product candidates are evaluated in clinical trials. Any positive results we observe for TREX-1 in preclinical animal models may not be predictive of our future clinical trials in humans, as animal models carry inherent limitations relevant to all preclinical studies. Our product candidates, including TREX-1, may also fail to show the desired safety and efficacy in later stages of clinical development even if they successfully advance through initial clinical trials. Even if our clinical trials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demonstrate acceptable safety and efficacy of TPST-1495, TPST-1120 or TREX-1 or any other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76"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the infusion of our product candidates or trial completion.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may delay or prevent patients from enrolling or from receiving treatment in accordance with the protocol and the required timelines, which could delay our clinical trials, or prevent us from completing our clinical trials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commercialization, TPST-1495, TPST-1120 and our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TPST-1120 or any of our other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TPST-1495 and TPST-1120 and our other product candidates may be delayed or refused for many reasons, including:</w:t>
      </w:r>
    </w:p>
    <w:p>
      <w:pPr>
        <w:spacing w:after="0" w:line="22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populations studied in clinical trials may not be sufficiently broad or representative to assure efficacy and safety in the populations for which we seek approval;</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of third-party manufacturers with which we contract or procure certain service or raw materials, may not be adequate to support approval of our product candidates;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TPST-1495, TPST-1120 and our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our other product candidates.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if we or others later identify undesirable side effects caused by our product candidates, several potentially significant negative consequences could result, including:</w:t>
      </w:r>
    </w:p>
    <w:p>
      <w:pPr>
        <w:spacing w:after="0" w:line="16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product labeling;</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and prospects significantly.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product candidates and develop marketable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pipeline includes multiple programs, we are primarily focused on our lead product candidates, TPST-1495 and TPST-1120,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6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candidates, manufacturers or manufacturing processes;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any approved product from the market;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jc w:val="both"/>
        <w:spacing w:after="0" w:line="282" w:lineRule="auto"/>
        <w:rPr>
          <w:sz w:val="20"/>
          <w:szCs w:val="20"/>
          <w:color w:val="auto"/>
        </w:rPr>
      </w:pPr>
      <w:r>
        <w:rPr>
          <w:rFonts w:ascii="Times New Roman" w:cs="Times New Roman" w:eastAsia="Times New Roman" w:hAnsi="Times New Roman"/>
          <w:sz w:val="18"/>
          <w:szCs w:val="18"/>
          <w:color w:val="auto"/>
        </w:rPr>
        <w:t>existing requirements or the adoption of new requirements or policies, or if we are not able to maintain regulatory compliance, it may lose any marketing approval that we have obtained, and we may not achieve or sustain profitability.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Non-compliance with Canadian and European requirements regarding safety monitoring or pharmacovigilance, and with requirements related to the development of products for the pediatric population, can also result in significant financial penalties. Similarly, failure to comply with Canada’s or Europe’s requirements regarding the protection of personal information can also lead to significant penalties and sanctions.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market and sell TPST-1495, TPST-1120 and our other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Manufacturing</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including TPST-1495 and TPST-1120, will depend upon their degree of market acceptance by providers, patients, patient advocacy groups, third-party payors and the general medical community.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our other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 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our other product candidates.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9" w:name="page50"/>
    <w:bookmarkEnd w:id="49"/>
    <w:p>
      <w:pPr>
        <w:jc w:val="both"/>
        <w:spacing w:after="0" w:line="282" w:lineRule="auto"/>
        <w:rPr>
          <w:sz w:val="20"/>
          <w:szCs w:val="20"/>
          <w:color w:val="auto"/>
        </w:rPr>
      </w:pPr>
      <w:r>
        <w:rPr>
          <w:rFonts w:ascii="Times New Roman" w:cs="Times New Roman" w:eastAsia="Times New Roman" w:hAnsi="Times New Roman"/>
          <w:sz w:val="18"/>
          <w:szCs w:val="18"/>
          <w:color w:val="auto"/>
        </w:rPr>
        <w:t>developed by our competitors may render our current or future product candidates uneconomical or obsolete, and we may not be successful in marketing our product candidates against competitors.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manufacture our clinical product supplies, and we may have to rely on third parties to produce and process our product candidates, if approved.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180" w:lineRule="exact"/>
        <w:rPr>
          <w:sz w:val="20"/>
          <w:szCs w:val="20"/>
          <w:color w:val="auto"/>
        </w:rPr>
      </w:pPr>
    </w:p>
    <w:p>
      <w:pPr>
        <w:jc w:val="both"/>
        <w:ind w:left="760" w:hanging="378"/>
        <w:spacing w:after="0" w:line="26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179"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formulate and manufacture our product or produce the quantity and quality required to meet our clinical and commercial needs, if any.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appropriately.</w:t>
      </w:r>
    </w:p>
    <w:p>
      <w:pPr>
        <w:spacing w:after="0" w:line="225"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161" w:lineRule="exact"/>
        <w:rPr>
          <w:rFonts w:ascii="Times New Roman" w:cs="Times New Roman" w:eastAsia="Times New Roman" w:hAnsi="Times New Roman"/>
          <w:sz w:val="18"/>
          <w:szCs w:val="18"/>
          <w:color w:val="auto"/>
        </w:rPr>
      </w:pPr>
    </w:p>
    <w:p>
      <w:pPr>
        <w:jc w:val="both"/>
        <w:ind w:left="760" w:right="260" w:hanging="378"/>
        <w:spacing w:after="0" w:line="26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175"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we will rely upon 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do not have an organization for the sales, marketing and distribution of TPST-1495, TPST-1120, TREX-1 and our other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other product candidates, including in markets outside of the United States or for other large markets that are beyond our resources. This will reduce the revenue generated from the sales of these products.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obtaining regulatory approvals, including but not limited to:</w:t>
      </w:r>
    </w:p>
    <w:p>
      <w:pPr>
        <w:spacing w:after="0" w:line="225"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begin a trial, if applicable;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study protocols and need to conduct additional studies as may be required by a regulator;</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regulation or policy relating to the development and commercialization of our product candidate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the terms of any collaboration agreements we may choose to initiate or conclude;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 including GCPs;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 enroll suitable patients to participate in a trial;</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 new clinical trial sites;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the data generated from our preclinical or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expanding and scaling manufacturing capabilities;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from third parties, sufficient quantities of qualified materials under cGMP, for the completion in pre-clinical and clinical studies;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biopharmaceutical product candidate storage, stability and distribution resulting in global supply chain disruptions;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 for which we may receive regulatory approval in regions where we choose to commercialize our products on our own; or</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restrictions on trade, import or export restrictions, or public health crises.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ultimately lead to the denial of regulatory approval of our product candidates.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decide to submit an NDA seeking accelerated approval or receives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In addition, on August 16, 2022, President Biden signed the Inflation Reduction Act of 2022 ("IRA")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 healthcare reform measures of the Biden administration will impact the ACA and our business. We are continuing to monitor any changes to the ACA that, in turn, may potentially impact our business in the future.</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Recently, the cost of prescription pharmaceuticals has been the subject of considerable discussion in the United States at both the federal and state levels. While several proposed reform measures will require Congress to pass legislation to become effective, Congress and the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President Biden signed an executive order to promote competition in the U.S. economy that included several initiatives aimed prescription drugs. Among other provisions, the executive order directed the Secretary of the U.S. Department of Health and Human Services ("HHS") to issue a report to the White House that includes a plan to, among other things, reduce prices for prescription drugs, including prices paid by the federal government for such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on how the Center for Medicare and Medicaid Innovation can be further leveraged to test new models for lowering drug costs for Medicare and Medicaid beneficiaries. It is unclear whether this executive order or similar policy</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initiatives will be implemented in the future.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the ACA and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 Our internal information technology systems and infrastructure are also vulnerable to damage from natural disasters, terrorism, war, telecommunication and electrical failures.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System failures or outages, including any potential disruptions due to significantly increased global demand on certain cloud-based systems, could compromise our ability to perform our day-to-day operations, which could harm our ability to conduct business or delay our financial reporting. Such failures could materially adversely affect our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privacy and data security laws, and our failure to comply with them could harm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patient health information in connection with our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we may obtain health information from third parties (including research institutions from which it obtains clinical trial data) that are subject to privacy and security requirements under the Health Insurance Portability and Accountability Act of 1996 (“HIPAA”). Depending on the facts and circumstances, we could be subject to criminal penalties if we knowingly obtain, use or disclose individually identifiable health information maintained by a HIPAA covered entity in a manner that is not authorized or permitted by HIPAA.</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For example, California enacted the California Consumer Privacy Act (the “CCPA”), which took effect on January 1, 2020 and the California Privacy Rights Act (“CPRA”), which went into effect on January 1, 2023.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CPRA significantly expanded the CCPA. For example, the CPRA requires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 The CCPA and CPRA may increase our compliance costs and potential liability.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2018, the General Data Protection Regulation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 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annual worldwide gross revenue).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jc w:val="both"/>
        <w:spacing w:after="0" w:line="255" w:lineRule="auto"/>
        <w:rPr>
          <w:sz w:val="20"/>
          <w:szCs w:val="20"/>
          <w:color w:val="auto"/>
        </w:rPr>
      </w:pPr>
      <w:r>
        <w:rPr>
          <w:rFonts w:ascii="Times New Roman" w:cs="Times New Roman" w:eastAsia="Times New Roman" w:hAnsi="Times New Roman"/>
          <w:sz w:val="18"/>
          <w:szCs w:val="18"/>
          <w:color w:val="auto"/>
        </w:rPr>
        <w:t>Further, recent legal developments in Europe have created complexity and compliance uncertainty regarding certain transfers of information from the EEA to the United States. For example, on June 16, 2020, the Court of Justice of the European Union (the “CJEU”), declared the EU-U.S. Privacy Shield framework (the “Privacy Shield”), to be invalid. As a result, the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information, damage our reputation, and subject us to significant financial and legal exposure.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As more companies and individuals work online and work remotely,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under applicable U.S. federal and state healthcare laws and regulations include the following:</w:t>
      </w:r>
    </w:p>
    <w:p>
      <w:pPr>
        <w:spacing w:after="0" w:line="225" w:lineRule="exact"/>
        <w:rPr>
          <w:sz w:val="20"/>
          <w:szCs w:val="20"/>
          <w:color w:val="auto"/>
        </w:rPr>
      </w:pPr>
    </w:p>
    <w:p>
      <w:pPr>
        <w:jc w:val="both"/>
        <w:ind w:left="760" w:hanging="378"/>
        <w:spacing w:after="0" w:line="25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87"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jc w:val="both"/>
        <w:ind w:left="760" w:hanging="378"/>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 chiropractors), other healthcare professionals (such as physician assistants and nurse practitioners), and, teaching hospitals, as well as certain ownership and investment interests held by physicians and their immediate family;</w:t>
      </w:r>
    </w:p>
    <w:p>
      <w:pPr>
        <w:spacing w:after="0" w:line="183"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trade secret and other intellectual property protection of our proprietary technologies and product candidates, which include TPST-1495, TPST-1120 and the other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18"/>
          <w:szCs w:val="18"/>
          <w:color w:val="auto"/>
        </w:rPr>
        <w:t>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intellectual property licensed from third parties, and our current or future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spacing w:after="0" w:line="180"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61" w:lineRule="exact"/>
        <w:rPr>
          <w:rFonts w:ascii="Times New Roman" w:cs="Times New Roman" w:eastAsia="Times New Roman" w:hAnsi="Times New Roman"/>
          <w:sz w:val="18"/>
          <w:szCs w:val="18"/>
          <w:color w:val="auto"/>
        </w:rPr>
      </w:pPr>
    </w:p>
    <w:p>
      <w:pPr>
        <w:ind w:left="5540" w:right="160" w:hanging="5158"/>
        <w:spacing w:after="0" w:line="407" w:lineRule="auto"/>
        <w:tabs>
          <w:tab w:leader="none" w:pos="7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milestone or other payment obligations that may result from the advancement or commercial sale of any of our product candidates; and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product candidates or result in any competitive advantage.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inter partes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5" w:name="page66"/>
    <w:bookmarkEnd w:id="65"/>
    <w:p>
      <w:pPr>
        <w:jc w:val="both"/>
        <w:spacing w:after="0" w:line="253" w:lineRule="auto"/>
        <w:rPr>
          <w:sz w:val="20"/>
          <w:szCs w:val="20"/>
          <w:color w:val="auto"/>
        </w:rPr>
      </w:pPr>
      <w:r>
        <w:rPr>
          <w:rFonts w:ascii="Times New Roman" w:cs="Times New Roman" w:eastAsia="Times New Roman" w:hAnsi="Times New Roman"/>
          <w:sz w:val="18"/>
          <w:szCs w:val="18"/>
          <w:color w:val="auto"/>
        </w:rPr>
        <w:t>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2041,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760" w:right="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active compositions of our product candidates but that are not covered by the claims of our patents;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may fail to meet our or our obligations to the U.S. government regarding any patents and patent applications funded by U.S. government grants, leading to the loss or unenforceability of patent rights;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might not have been the first to file patent applications for certain inventions;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as the case may be, or parts of our owned or in-licensed patents;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current or future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adequately cover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6" w:name="page67"/>
    <w:bookmarkEnd w:id="66"/>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conditions,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obtaining rights to key technologies through in-licenses may not be successful.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7" w:name="page68"/>
    <w:bookmarkEnd w:id="67"/>
    <w:p>
      <w:pPr>
        <w:jc w:val="both"/>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data breach,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delay or otherwise interfere with our product discovery and development efforts.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their intellectual property rights, we may face a number of issues, including, but not limited to:</w:t>
      </w:r>
    </w:p>
    <w:p>
      <w:pPr>
        <w:spacing w:after="0" w:line="162" w:lineRule="exact"/>
        <w:rPr>
          <w:sz w:val="20"/>
          <w:szCs w:val="20"/>
          <w:color w:val="auto"/>
        </w:rPr>
      </w:pPr>
    </w:p>
    <w:p>
      <w:pPr>
        <w:ind w:left="760" w:right="4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that, regardless of merit, may be expensive and time-consuming to litigate and may divert our management’s attention from our core business;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redesign our product candidates or processes so they do not infringe, which may not be possible or may require substantial monetary expenditures and time;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that event, we would be unable to further develop and commercialize our product candidates, which could significantly harm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0" w:name="page71"/>
    <w:bookmarkEnd w:id="7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us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2" w:name="page73"/>
    <w:bookmarkEnd w:id="7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further example, European patent applications will soon have the option, upon grant of a patent, of becoming a Unitary Patent, which will be subject to the jurisdiction of the Unitary Patent Court (UPC). The option of a Unitary Patent will be a significant change in European patent practice. As the UPC is a new court system, there is no precedent for the court, increasing the uncertainty of any litigation in the UPC.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it may develop, our business may be materially harmed.</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march-in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Some of the factors that may cause the market price of our common stock to fluctuate include: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 such as the Russia-Ukraine war;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the recent bank closures and the Russia-Ukraine war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future bank closures or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our stockholders may be unable to sell their shares quickly or at market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2022, our executive officers, directors and stockholders, who hold greater than 5% of our outstanding common stock, beneficially own in the aggregate approximately 79%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Public Company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incur significant legal, accounting and other expenses. The Sarbanes-Oxley Act, the Dodd-Frank Wall Street Reform and Consumer Protection Act, the listing requirements of the Nasdaq Stock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 auditors formally attest to the effectiveness of our internal control over financial reporting until we cease to be a smaller reporting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a material weaknesses was identified in our internal control over financial reporting, which has been remediated. We cannot assure you that there will not be additional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18"/>
          <w:szCs w:val="18"/>
          <w:color w:val="auto"/>
        </w:rPr>
        <w:t>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83"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product recalls, withdrawals or labeling restrictions; 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7"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for nominations to our board of directors;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actions by our stockholders by written consent;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be effected at a duly called stockholders meeting;</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9" w:name="page80"/>
    <w:bookmarkEnd w:id="79"/>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increased litigation, including stockholder litigation, which could have an adverse effect on our business and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 We also remain the subject of various securities class action lawsuits and shareholder derivative lawsuits that were filed against OvaScience and certain of our officer and directors, as described in more detail in Part II, Item 3 under the heading “Legal Proceedings” of the Annual Report on Form 10-K.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2022, we entered into an agreement to lease approximately 20,116 square feet of laboratory and office space at 2000 Sierra Point Parkway, Brisbane, California 94005, which we occupied and began operating as our new headquarters beginning in December 2022. Prior to December 2022, our corporate headquarters were located at 7000 Shoreline Court, Suite 275, South San Francisco, California, 94080, ("SSF Lease") where we occupied approximately 9,780 square feet of office space under a lease agreement entered into in February 2019. The SSF Lease terminated in January 2023.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merger, the Company is party to various litigation matters given Millendo’s role as successor to OvaScience, Inc. (“OvaScience”).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OvaScience merged with Millendo in 2018. Prior to the merger, OvaScience was sued in three matters that are disclosed below.</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9, 2016, a purported shareholder derivative action was filed in Massachusetts State court (Cima v. Dipp) against OvaScience and certain former officers and directors of OvaScience and OvaScience alleging breach of fiduciary duties, unjust enrichment, abuse of control, gross mismanagement and waste of corporate assets for purported actions related to OvaScience’s January 2015 follow-on public offering. As of September 12, 2022, the parties have reached an agreement in principle and have executed a term sheet in connection with a settlement. On September 13, 2022, the parties filed a joint motion to stay the case pending settlement. On September 15, 2022, the court issued a 90-day nisi order. On December 14, 2022, the court extended that order for 60 days to February 20, 2023. The parties have now reached an agreement on all of the material settlement terms and informed the court of this in a joint status update and request for extension of the order until March 22, 2023. On February 17, 2023, the court extended the order until March 22, 2023 and set a court appearance for March 23, 2023. The parties are currently working on the settlement documentation. Any final settlement is subject to Court approval.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2017, a purported shareholder class action lawsuit was filed in Massachusetts Federal court (Dahhan v. OvaScience, Inc.) against OvaScience and certain former officers of OvaScience alleging violations of Sections 10(b) and 20(a) of the Exchange Act (the “Dahhan Action”). On March 4, 2022, the parties filed a motion to preliminarily approve a settlement of the action. The settlement amount of $15 million was funded entirely by insurance. All defendants expressly deny liability. On April 1, 2022, the Court preliminarily approved the settlement. On December 20, 2022, the Court entered final approval of the settlement and dismissed the Dahhan Action with prejudice. The settlement included a release of all claims against the defendants thus no liability and $15 million related to this matter was recorded in our Condensed Consolidated Balance Sheets as of December 31, 2022 and December 31, 2021, respectively.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 As of September 12, 2022, the parties have reached an agreement in principle and have executed a term sheet in connection with the settlement. On February 14, 2023, the parties informed the court that, subject to court approval, they had reached an agreement to settle Chiu v. Dipp as well Cima v. Dipp. The parties requested a 90-day stay in order for the parties to present the settlement to the state court in Cima v. Dipp first. On February 16, 2023, the court granted the 90-day stay. The parties are currently working on the settlement documentation. Any final settlement is subject to Court approval.</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1" w:name="page82"/>
    <w:bookmarkEnd w:id="81"/>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we may be a party to litigation and subject to claims incident to the ordinary course of business from time to time. Regardless of the outcome, litigation can have an adverse impact on the Company because of defense and settlement costs, and diversion of management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June 25, 2021, Millendo completed a merger with TempestTx, Inc. In connection with and immediately following the merger, the combined company changed its name to Tempest Therapeutics. </w:t>
      </w:r>
      <w:r>
        <w:rPr>
          <w:rFonts w:ascii="Times New Roman" w:cs="Times New Roman" w:eastAsia="Times New Roman" w:hAnsi="Times New Roman"/>
          <w:sz w:val="18"/>
          <w:szCs w:val="18"/>
          <w:color w:val="231F20"/>
        </w:rPr>
        <w:t>Millendo’s shares of common stock were listed on the Nasdaq Stock Market through the close of business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Friday, June 25, 2021 under the ticker symbol “MLND.” On Monday, June 28, 2021, we began trading on the Nasdaq Stock Market under the ticker symbol </w:t>
      </w:r>
      <w:r>
        <w:rPr>
          <w:rFonts w:ascii="Times New Roman" w:cs="Times New Roman" w:eastAsia="Times New Roman" w:hAnsi="Times New Roman"/>
          <w:sz w:val="18"/>
          <w:szCs w:val="18"/>
          <w:color w:val="000000"/>
        </w:rPr>
        <w:t>“TPST.”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16, 2023, we had 10,561,700 shares of common stock outstanding held by 83 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future earnings, if any, to fund the development and expansion of our business, and we do not anticipate paying any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financial statements and the related notes to those statements included later in this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particularly in Item 1A. “Risk Factors” and “Special Note Regarding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oncology company focused on leveraging our deep scientific understanding of cancer biology and medicinal chemistry to develop and advance novel, orally available therapies for the treatment of solid tumors. Our philosophy is to build a company based upon not only good ideas and creative science, but also upon the efficient translation of those ideas into therapies that will improve patients’ lives. To this end, we are advancing TPST-1120 and TPST-1495, two product candidates in clinical trials that we believe are the first clinical-stage molecules designed to inhibit their respective targets; as well as two preclinical programs, including one that could be the first to target TREX-1, a key cellular enzyme that regulates the innate immune response in tumors.</w:t>
      </w: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TPST-1120 is a selective antagonist of peroxisome proliferator-activated receptor alpha, or PPARα. Clinical data from initial Phase 1 trials, both as a monotherapy and in combination with an anti-PD1 therapy, nivolumab, were reported at a podium presentation at the American Society of Clinical Oncology (ASCO) conference in June 2022. RECIST responses were observed at the two highest TPST-1120 doses in combination with standard dose nivolumab for an objective response rate ("ORR") of those cohorts of 30% (3 of 10 patients), including in patients who previously progressed on anti-PD-1 (-L1) therapy. TPST-1120 is also being studied in an ongoing global randomized Phase 1b/2 trial in combination with the standard-of-care first-line regimen of atezolizumab and bevacizumab in patients with advanced or metastatic hepatocellular carcinoma, or HCC. The study has fully enrolled (targeting 40 patients in each arm), and we expect the initial data in the first half of 2023. Our second clinical program, TPST-1495, a dual antagonist of the EP2 and EP4 receptors of prostaglandin E2, is in an ongoing Phase 1 monotherapy and combination trial in solid tumors. We expect data from the TPST-1495 Phase 1 trial to be presented at a cancer conference in 2023, if accepted to present. Additionally, we have what we believe to be exciting third and fourth preclinical programs targeting the three prime repair exonuclease (“TREX-1”) and a novel oncology drug target in a newly defined pathway, respectfully. Beyond these four ongoing programs, we plan to continue to leverage our drug development and company-building experience along with academic relationships to identify promising new targets that may feed new programs into our pipeline.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From inception to December 31, 2022, we have raised $164.4 million, through sales of our capital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been profitable and has incurred operating losses in each period since inception. Our net losses were $35.7 million and $28.3 million for the years ended December 31, 2022 and 2021, respectively. As of December 31, 2022, we had an accumulated deficit of $135.8 million. Substantially all of the operating losses resulted from expenses incurred in connection with our research and development programs and from general and administrative costs associated with our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will involve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$31.2 million.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represent costs incurred to conduct research and development, such as the development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all research and development costs as they are incurred. Research and development expenses consist primarily of the following:</w:t>
      </w:r>
    </w:p>
    <w:p>
      <w:pPr>
        <w:spacing w:after="0" w:line="225" w:lineRule="exact"/>
        <w:rPr>
          <w:sz w:val="20"/>
          <w:szCs w:val="20"/>
          <w:color w:val="auto"/>
        </w:rPr>
      </w:pPr>
    </w:p>
    <w:p>
      <w:pPr>
        <w:ind w:left="1500" w:hanging="369"/>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stock-based compensation;</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costs;</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occupancy;</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research and manufacturing;</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arrangements; and</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to advance our research and development activities.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incur additional expenses as a result of becoming a public company following completion of the merger, including expenses related to compliance with the rules and regulations of the SEC and Nasdaq, additional insurance, investor relations and other administrative expenses and professional services.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consists primarily of interest expense, interest income, and various income or expense items of a non-recurring nature.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1"/>
        </w:trPr>
        <w:tc>
          <w:tcPr>
            <w:tcW w:w="7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4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9"/>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34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100" w:type="dxa"/>
            <w:vAlign w:val="bottom"/>
          </w:tcPr>
          <w:p>
            <w:pPr>
              <w:spacing w:after="0"/>
              <w:rPr>
                <w:sz w:val="20"/>
                <w:szCs w:val="20"/>
                <w:color w:val="auto"/>
              </w:rPr>
            </w:pPr>
          </w:p>
        </w:tc>
      </w:tr>
      <w:tr>
        <w:trPr>
          <w:trHeight w:val="247"/>
        </w:trPr>
        <w:tc>
          <w:tcPr>
            <w:tcW w:w="7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expenses</w:t>
            </w: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26,986</w:t>
            </w:r>
          </w:p>
        </w:tc>
        <w:tc>
          <w:tcPr>
            <w:tcW w:w="100" w:type="dxa"/>
            <w:vAlign w:val="bottom"/>
          </w:tcPr>
          <w:p>
            <w:pPr>
              <w:spacing w:after="0"/>
              <w:rPr>
                <w:sz w:val="20"/>
                <w:szCs w:val="20"/>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20"/>
                <w:szCs w:val="20"/>
                <w:color w:val="auto"/>
              </w:rPr>
            </w:pP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(1,618 )</w:t>
            </w:r>
          </w:p>
        </w:tc>
        <w:tc>
          <w:tcPr>
            <w:tcW w:w="5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(1,282 )</w:t>
            </w: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0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tcPr>
          <w:p>
            <w:pPr>
              <w:spacing w:after="0"/>
              <w:rPr>
                <w:sz w:val="21"/>
                <w:szCs w:val="21"/>
                <w:color w:val="auto"/>
              </w:rPr>
            </w:pPr>
          </w:p>
        </w:tc>
        <w:tc>
          <w:tcPr>
            <w:tcW w:w="9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(35,709</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-1447800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3257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-976630</wp:posOffset>
            </wp:positionV>
            <wp:extent cx="685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for the years ended December 31, 2022 and 2021 were primarily incurred in connection with our most advanced product candidates,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1"/>
        </w:trPr>
        <w:tc>
          <w:tcPr>
            <w:tcW w:w="7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w:t>
            </w:r>
          </w:p>
        </w:tc>
        <w:tc>
          <w:tcPr>
            <w:tcW w:w="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TPST-1120</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TPST-1495</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Pr>
          <w:p>
            <w:pPr>
              <w:spacing w:after="0"/>
              <w:rPr>
                <w:sz w:val="20"/>
                <w:szCs w:val="20"/>
                <w:color w:val="auto"/>
              </w:rPr>
            </w:pPr>
          </w:p>
        </w:tc>
      </w:tr>
      <w:tr>
        <w:trPr>
          <w:trHeight w:val="247"/>
        </w:trPr>
        <w:tc>
          <w:tcPr>
            <w:tcW w:w="74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Preclinical and other</w:t>
            </w:r>
          </w:p>
        </w:tc>
        <w:tc>
          <w:tcPr>
            <w:tcW w:w="11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candidate specific research costs</w:t>
            </w: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100" w:type="dxa"/>
            <w:vAlign w:val="bottom"/>
          </w:tcPr>
          <w:p>
            <w:pPr>
              <w:spacing w:after="0"/>
              <w:rPr>
                <w:sz w:val="20"/>
                <w:szCs w:val="20"/>
                <w:color w:val="auto"/>
              </w:rPr>
            </w:pPr>
          </w:p>
        </w:tc>
      </w:tr>
      <w:tr>
        <w:trPr>
          <w:trHeight w:val="247"/>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and other costs</w:t>
            </w:r>
          </w:p>
        </w:tc>
        <w:tc>
          <w:tcPr>
            <w:tcW w:w="1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shd w:val="clear" w:color="auto" w:fill="CCEEFF"/>
          </w:tcPr>
          <w:p>
            <w:pPr>
              <w:spacing w:after="0"/>
              <w:rPr>
                <w:sz w:val="21"/>
                <w:szCs w:val="21"/>
                <w:color w:val="auto"/>
              </w:rPr>
            </w:pP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1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1"/>
                <w:szCs w:val="21"/>
                <w:color w:val="auto"/>
              </w:rPr>
            </w:pPr>
          </w:p>
        </w:tc>
      </w:tr>
      <w:tr>
        <w:trPr>
          <w:trHeight w:val="277"/>
        </w:trPr>
        <w:tc>
          <w:tcPr>
            <w:tcW w:w="7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-659130</wp:posOffset>
            </wp:positionV>
            <wp:extent cx="6858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$5.3 million to $22.5 million for the year ended December 31, 2022. The following table summarizes our research and development expenses for the years ended December 31,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3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outside services</w:t>
            </w:r>
          </w:p>
        </w:tc>
        <w:tc>
          <w:tcPr>
            <w:tcW w:w="3140" w:type="dxa"/>
            <w:vAlign w:val="bottom"/>
            <w:shd w:val="clear" w:color="auto" w:fill="CFF0FC"/>
          </w:tcPr>
          <w:p>
            <w:pPr>
              <w:spacing w:after="0"/>
              <w:rPr>
                <w:sz w:val="21"/>
                <w:szCs w:val="21"/>
                <w:color w:val="auto"/>
              </w:rPr>
            </w:pP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3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140" w:type="dxa"/>
            <w:vAlign w:val="bottom"/>
            <w:shd w:val="clear" w:color="auto" w:fill="CFF0FC"/>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3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140" w:type="dxa"/>
            <w:vAlign w:val="bottom"/>
          </w:tcPr>
          <w:p>
            <w:pPr>
              <w:spacing w:after="0"/>
              <w:rPr>
                <w:sz w:val="20"/>
                <w:szCs w:val="20"/>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100" w:type="dxa"/>
            <w:vAlign w:val="bottom"/>
          </w:tcPr>
          <w:p>
            <w:pPr>
              <w:spacing w:after="0"/>
              <w:rPr>
                <w:sz w:val="20"/>
                <w:szCs w:val="20"/>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14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83</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3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-616585</wp:posOffset>
            </wp:positionV>
            <wp:extent cx="68580"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6" w:name="page87"/>
    <w:bookmarkEnd w:id="86"/>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total research and development expense of $5.3 million for the year ended December 31, 2022 was primarily attributable to expanded research and development efforts incurred from contract research organizations and third-party vendors, as well as compensation expenses due to an increase in employee headcount.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$2.3 million to $12.1 million for the year ended December 31, 2022. The increase was primarily due to an increase of $1.1 million in professional and consulting fees and an increase of $0.5 million in insurance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and 2021, other income (expense), net consisted of total interest expense of $1.6 million and $1.3 million, respectively, related to the Oxford Loan, and interest income of $612 thousand and $7 thousand,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through December 31, 2022, our operations have been financed primarily by net cash proceeds from the sale of our common stock, convertible preferred stock and issuance of debt. As of December 31, 2022, we had $31.2 million in cash and cash equivalents and an accumulated deficit of $135.8 million. We expect that our research and development and general and administrative expenses will increase, and, as a result, we anticipate that we will continue to incur increasing losses in the foreseeable future.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cash and cash equivalents as of December 31, 2022 will fund our ongoing working capital, investing, and financing requirements for at least the next 12 months.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Oxford Finance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2021, we entered into a loan and security agreement with Oxford to borrow a term loan amount of $35.0 million to be funded in three tranches (the "Loan Agreement"). Tranche A of $15.0 million was funded on January 15, 2021. Tranche B of $10.0 million expired on March 31, 2022. Tranche C of $10.0 million is available at Oxford’s option.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23, 2022, the Company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the property of the Company, TempestTx and Millendo, including any intellectual property, was granted to the Lender. In addition, the Lender permitted a one-time prepayment in the amount of $5.0 million which the Company paid on December 23, 2022.</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 loan matures on August 1, 2025 and has an annual floating interest rate of 7.15% which is an Index Rate plus 7.10%. Index Rate is the greater of (i) 1-Month CME Term SOFR or (ii) 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23, 2021, we entered into a sales agreement (the “Sales Agreement”) with Jefferies LLC (the “Agent”), pursuant to which we may sell, from time to time, up to an aggregate sales price of $100.0 million of our common stock through the Agent in a series of one or more ATM equity offerings.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Financing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2022, we completed a private investment in public equity (“PIPE”) financing from the sale of 3,149,912 shares of our common stock at a price per share of $2.36 and, in lieu of shares of common stock, pre-funded warrants to purchase up to 3,206,020 shares of our common stock at a price per pre-funded warrant of $2.359 to EcoR1 Capital, LLC and Versant Venture Capital (the “PIPE Investors”). Net proceeds from the PIPE financings totaled approximately $14.5 million, after deducting offering expenses.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We entered into a registration rights agreement (the “Registration Rights Agreement”) with the PIPE Investors pursuant to which we filed a registration statement with the SEC registering the resale of the 3,149,912 shares common stock and the 3,206,020 shares of common stock underlying the pre-funded warrants issued in the PIPE financing.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2022 and 2021:</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43"/>
        </w:trPr>
        <w:tc>
          <w:tcPr>
            <w:tcW w:w="7520" w:type="dxa"/>
            <w:vAlign w:val="bottom"/>
            <w:tcBorders>
              <w:bottom w:val="single" w:sz="8" w:color="CCEEFF"/>
            </w:tcBorders>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(31,072 )</w:t>
            </w:r>
          </w:p>
        </w:tc>
        <w:tc>
          <w:tcPr>
            <w:tcW w:w="6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(25,957 )</w:t>
            </w:r>
          </w:p>
        </w:tc>
      </w:tr>
      <w:tr>
        <w:trPr>
          <w:trHeight w:val="239"/>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r>
      <w:tr>
        <w:trPr>
          <w:trHeight w:val="247"/>
        </w:trPr>
        <w:tc>
          <w:tcPr>
            <w:tcW w:w="7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0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(20,231 )</w:t>
            </w: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10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2022 was $31.1 million, consisting of a net loss of $35.7 million, add back of non-cash adjustments for depreciation, stock-based compensation, non-cash operating lease expense and other non-cash items totaling $3.8 million, plus changes in operating assets and liabilities of $0.9 million.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2021 was $26.0 million consisting of a net loss of $28.3 million, add back of non-cash adjustments for depreciation, stock-based compensation, non-cash operating lease expense offset by other non-cash items totaling $3.0 million, less changes in operating assets and liabilities of $0.6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years ended December 2022 and 2021 was related to purchases of property and equipment, primarily related to office, laboratory and computer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2022 was $11.4 million, primarily related to proceeds from the issuance of common stock of $8.9 million and pre-funded warrants of $7.3 million related to the PIPE financing, offset by $4.7 million used in the partial repayment of our loan with Oxford.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2021 was $59.1 million consisting of (i) proceeds from Oxford Loan of $14.9 million (net of issuance costs), (ii) issuance of common stock of $30.0 million concurrent with closing of the merger and (iii) cash of $17.0 million brought over by Millendo as a result of the merger, offset by payment of reverse recapitalization costs of $6.4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available cash and cash equivalents are sufficient to fund existing and planned cash requirements.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the following:</w:t>
      </w:r>
    </w:p>
    <w:p>
      <w:pPr>
        <w:spacing w:after="0" w:line="225" w:lineRule="exact"/>
        <w:rPr>
          <w:sz w:val="20"/>
          <w:szCs w:val="20"/>
          <w:color w:val="auto"/>
        </w:rPr>
      </w:pPr>
    </w:p>
    <w:p>
      <w:pPr>
        <w:ind w:left="1020" w:right="2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scope, progress and results of discovery, preclinical development, laboratory testing and clinical trials for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manufacturing of our product candidates;</w:t>
      </w:r>
    </w:p>
    <w:p>
      <w:pPr>
        <w:spacing w:after="0" w:line="225"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the extent to which we enter into partnerships or other arrangements with third parties to further develop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product candidates or technologies;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collaborations on favorable terms, if at all;</w:t>
      </w:r>
    </w:p>
    <w:p>
      <w:pPr>
        <w:spacing w:after="0" w:line="225"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product sales, marketing, manufacturing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 and</w:t>
      </w:r>
    </w:p>
    <w:p>
      <w:pPr>
        <w:spacing w:after="0" w:line="16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our operating plan may change, and we may need additional funds to meet operational needs and capital requirements for clinical trials and other research and development expenditures.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development activities, particularly as we continue the research, development and clinical trials of, and seek regulatory approval for, our product candidates. In addition, subject to obtaining regulatory approval for our product candidates, we anticipate that we will need substantial additional funding in connection with our continuing operations.</w:t>
      </w:r>
    </w:p>
    <w:p>
      <w:pPr>
        <w:spacing w:after="0" w:line="17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Our material cash requirements as of December 31, 2022 primarily relate to the maturities of the principal obligations under our long-term debt, operating leases for office space, trade payables, and accrued expenses. As of December 31, 2022, we have $7.2 million payable within 12 months.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we can generate a sufficient amount of product revenue to finance our cash requirements, we expect to finance our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jc w:val="both"/>
        <w:spacing w:after="0" w:line="282" w:lineRule="auto"/>
        <w:rPr>
          <w:sz w:val="20"/>
          <w:szCs w:val="20"/>
          <w:color w:val="auto"/>
        </w:rPr>
      </w:pPr>
      <w:r>
        <w:rPr>
          <w:rFonts w:ascii="Times New Roman" w:cs="Times New Roman" w:eastAsia="Times New Roman" w:hAnsi="Times New Roman"/>
          <w:sz w:val="18"/>
          <w:szCs w:val="18"/>
          <w:color w:val="auto"/>
        </w:rPr>
        <w:t>terminate our product development or commercialization efforts or grant rights to develop and market product candidates to third parties that we would otherwise prefer to develop and market ourself.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 accrued expenses for estimated costs of our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but not yet invoiced, and we include these costs in accrued liabilities in the consolidated balance sheets and within research and development expense in the consolidated statements of operations. These costs are a significant component of our research and development expenses. We record accrued expenses for these costs based on the estimated amount of work completed and in accordance with agreements established with these third parties.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which includes gathering information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us.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clinical research organizations and other third-party service providers.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noncash stock-based compensation expense related to stock-based awards to employees, non-employees and directors, including stock options, based on the fair value on the grant date using the Black-Scholes option pricing model. The related stock-based compensation is recognized as expense on a straight line-basis over the employee’s, non-employee’s or director’s requisite service period (generally the vesting period). Noncash stock compensation expense is based on awards ultimately expected to vest and is reduced by any forfeitures as they occur.</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stock options, we use the Black-Scholes option-pricing model and assumptions discussed below. Each of these inputs is subjective and generally requires significant judgment to determine.</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—Our expected term represents the period that the stock-based awards are expected to be outstanding and is determined using the simplified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(based on the mid-point between the vesting date and the end of the contractual term) for employee options.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—The expected stock price volatility assumption was determined by examining the historical volatilities for industry peers, as we did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have any trading history for our common stock. We will continue to analyze the historical stock price volatility and expected term assumption as more historical data for our common stock becomes available.</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color w:val="auto"/>
        </w:rPr>
        <w:t>—The risk-free interest rate is based on the U.S. Treasury zero coupon issues in effect at the time of grant for periods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with the expected term of option.</w:t>
      </w:r>
    </w:p>
    <w:p>
      <w:pPr>
        <w:spacing w:after="0" w:line="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Expected Dividend</w:t>
      </w:r>
      <w:r>
        <w:rPr>
          <w:rFonts w:ascii="Times New Roman" w:cs="Times New Roman" w:eastAsia="Times New Roman" w:hAnsi="Times New Roman"/>
          <w:sz w:val="18"/>
          <w:szCs w:val="18"/>
          <w:color w:val="auto"/>
        </w:rPr>
        <w:t>—We have never paid dividends on our common stock and have no plans to pay dividends on our common stock. Therefore, we use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expected dividend yield of zero.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for a description of recent accounting pronouncements applicable to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79" w:lineRule="exact"/>
        <w:rPr>
          <w:sz w:val="20"/>
          <w:szCs w:val="20"/>
          <w:color w:val="auto"/>
        </w:rPr>
      </w:pPr>
    </w:p>
    <w:p>
      <w:pPr>
        <w:ind w:right="394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color w:val="auto"/>
        </w:rPr>
        <w:t>Not required for smaller reporting companies.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9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60" w:type="dxa"/>
            <w:vAlign w:val="bottom"/>
          </w:tcPr>
          <w:p>
            <w:pPr>
              <w:spacing w:after="0"/>
              <w:rPr>
                <w:sz w:val="20"/>
                <w:szCs w:val="20"/>
                <w:color w:val="auto"/>
              </w:rPr>
            </w:pPr>
          </w:p>
        </w:tc>
      </w:tr>
      <w:tr>
        <w:trPr>
          <w:trHeight w:val="410"/>
        </w:trPr>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40" w:type="dxa"/>
            <w:vAlign w:val="bottom"/>
            <w:gridSpan w:val="2"/>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c>
          <w:tcPr>
            <w:tcW w:w="176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8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760" w:type="dxa"/>
            <w:vAlign w:val="bottom"/>
          </w:tcPr>
          <w:p>
            <w:pPr>
              <w:spacing w:after="0"/>
              <w:rPr>
                <w:sz w:val="20"/>
                <w:szCs w:val="20"/>
                <w:color w:val="auto"/>
              </w:rPr>
            </w:pPr>
          </w:p>
        </w:tc>
      </w:tr>
      <w:tr>
        <w:trPr>
          <w:trHeight w:val="472"/>
        </w:trPr>
        <w:tc>
          <w:tcPr>
            <w:tcW w:w="80" w:type="dxa"/>
            <w:vAlign w:val="bottom"/>
          </w:tcPr>
          <w:p>
            <w:pPr>
              <w:spacing w:after="0"/>
              <w:rPr>
                <w:sz w:val="24"/>
                <w:szCs w:val="24"/>
                <w:color w:val="auto"/>
              </w:rPr>
            </w:pPr>
          </w:p>
        </w:tc>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42)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0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817"/>
        </w:trPr>
        <w:tc>
          <w:tcPr>
            <w:tcW w:w="80" w:type="dxa"/>
            <w:vAlign w:val="bottom"/>
          </w:tcPr>
          <w:p>
            <w:pPr>
              <w:spacing w:after="0"/>
              <w:rPr>
                <w:sz w:val="24"/>
                <w:szCs w:val="24"/>
                <w:color w:val="auto"/>
              </w:rPr>
            </w:pPr>
          </w:p>
        </w:tc>
        <w:tc>
          <w:tcPr>
            <w:tcW w:w="3120" w:type="dxa"/>
            <w:vAlign w:val="bottom"/>
            <w:tcBorders>
              <w:top w:val="single" w:sz="8" w:color="0000FF"/>
            </w:tcBorders>
            <w:gridSpan w:val="3"/>
          </w:tcPr>
          <w:p>
            <w:pPr>
              <w:spacing w:after="0"/>
              <w:rPr>
                <w:sz w:val="24"/>
                <w:szCs w:val="24"/>
                <w:color w:val="auto"/>
              </w:rPr>
            </w:pPr>
          </w:p>
        </w:tc>
        <w:tc>
          <w:tcPr>
            <w:tcW w:w="628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89</w:t>
            </w:r>
          </w:p>
        </w:tc>
        <w:tc>
          <w:tcPr>
            <w:tcW w:w="176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Tempest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Tempest Therapeutics, Inc. (the “Company”) as of December 31, 2022 and 2021, the related consolidated statements of operations,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ind w:left="1680"/>
        <w:spacing w:after="0"/>
        <w:rPr>
          <w:sz w:val="20"/>
          <w:szCs w:val="20"/>
          <w:color w:val="auto"/>
        </w:rPr>
      </w:pPr>
      <w:r>
        <w:rPr>
          <w:rFonts w:ascii="Times New Roman" w:cs="Times New Roman" w:eastAsia="Times New Roman" w:hAnsi="Times New Roman"/>
          <w:sz w:val="17"/>
          <w:szCs w:val="17"/>
          <w:b w:val="1"/>
          <w:bCs w:val="1"/>
          <w:i w:val="1"/>
          <w:iCs w:val="1"/>
          <w:color w:val="auto"/>
        </w:rPr>
        <w:t>Accrued research and development expenses</w:t>
      </w:r>
    </w:p>
    <w:p>
      <w:pPr>
        <w:sectPr>
          <w:pgSz w:w="11900" w:h="16838" w:orient="portrait"/>
          <w:cols w:equalWidth="0" w:num="1">
            <w:col w:w="11140"/>
          </w:cols>
          <w:pgMar w:left="320" w:top="630" w:right="439" w:bottom="1440" w:gutter="0" w:footer="0" w:header="0"/>
        </w:sectPr>
      </w:pPr>
    </w:p>
    <w:p>
      <w:pPr>
        <w:spacing w:after="0" w:line="225"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2 to the financial statements under the caption “Research and development expenses and accrued research and development”, the Company records the cost of research and development activities as they are incurred. The Company estimates preclinical studies and clinical trial expenses based on the services performed pursuant to contracts with research institutions and clinical research organizations that conduct and manage preclinical studies and clinical trials on the Company’s behalf. Service fees are accrued based on the Company’s estimates of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As of December 31, 2022, the Company’s accrued clinical trial liability was $2.2 million.</w:t>
      </w:r>
    </w:p>
    <w:p>
      <w:pPr>
        <w:spacing w:after="0" w:line="192" w:lineRule="exact"/>
        <w:rPr>
          <w:sz w:val="20"/>
          <w:szCs w:val="20"/>
          <w:color w:val="auto"/>
        </w:rPr>
      </w:pPr>
    </w:p>
    <w:p>
      <w:pPr>
        <w:sectPr>
          <w:pgSz w:w="11900" w:h="16838" w:orient="portrait"/>
          <w:cols w:equalWidth="0" w:num="2">
            <w:col w:w="1420" w:space="260"/>
            <w:col w:w="9460"/>
          </w:cols>
          <w:pgMar w:left="320" w:top="630" w:right="439" w:bottom="1440" w:gutter="0" w:footer="0" w:header="0"/>
          <w:type w:val="continuous"/>
        </w:sectPr>
      </w:pPr>
    </w:p>
    <w:p>
      <w:pPr>
        <w:jc w:val="both"/>
        <w:ind w:left="1680"/>
        <w:spacing w:after="0" w:line="258" w:lineRule="auto"/>
        <w:rPr>
          <w:sz w:val="20"/>
          <w:szCs w:val="20"/>
          <w:color w:val="auto"/>
        </w:rPr>
      </w:pPr>
      <w:r>
        <w:rPr>
          <w:rFonts w:ascii="Times New Roman" w:cs="Times New Roman" w:eastAsia="Times New Roman" w:hAnsi="Times New Roman"/>
          <w:sz w:val="18"/>
          <w:szCs w:val="18"/>
          <w:color w:val="auto"/>
        </w:rPr>
        <w:t>Auditing the Company’s accrual for research and development expenses was challenging because of the estimation involved in determining the accrual balance, which included information that was accumulated from multiple sources. In certain circumstances, the determination of the nature and level of services that have been received during the reporting period requires judgment because the timing and pattern of vendor invoicing did not correspond to the level of services provided and invoicing from clinical study sites and other vendors may not yet be available to management.</w:t>
      </w:r>
    </w:p>
    <w:p>
      <w:pPr>
        <w:sectPr>
          <w:pgSz w:w="11900" w:h="16838" w:orient="portrait"/>
          <w:cols w:equalWidth="0" w:num="1">
            <w:col w:w="11140"/>
          </w:cols>
          <w:pgMar w:left="320" w:top="630" w:right="439" w:bottom="1440" w:gutter="0" w:footer="0" w:header="0"/>
          <w:type w:val="continuous"/>
        </w:sectPr>
      </w:pP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We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Addressed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Matter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Our Audit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accrued research and development expenses, our audit procedures included, among others, testing the completeness and accuracy of the underlying data used in the estimate, including, but not limited to, estimated project duration, research and manufacturing services incurred to date and terms of contractual arrangements. To assess the reasonableness of the data, we corroborated the progress of the clinical trials with Company research and development personnel and obtained third-party evidence supporting the activities performed to date. We recalculated the accrual based on executed contracts with the clinical research organizations, contract manufacturing organizations, clinical study sites and collaboration partners. We also tested subsequent invoicing received from third parties to assess the impact to the accrual at the balance sheet date and compared that to the Company’s estimates.</w:t>
      </w:r>
    </w:p>
    <w:p>
      <w:pPr>
        <w:spacing w:after="0" w:line="200" w:lineRule="exact"/>
        <w:rPr>
          <w:sz w:val="20"/>
          <w:szCs w:val="20"/>
          <w:color w:val="auto"/>
        </w:rPr>
      </w:pPr>
    </w:p>
    <w:p>
      <w:pPr>
        <w:sectPr>
          <w:pgSz w:w="11900" w:h="16838" w:orient="portrait"/>
          <w:cols w:equalWidth="0" w:num="2">
            <w:col w:w="1120" w:space="560"/>
            <w:col w:w="9460"/>
          </w:cols>
          <w:pgMar w:left="320" w:top="630" w:right="4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2023</w:t>
      </w: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30" w:right="439" w:bottom="1440" w:gutter="0" w:footer="0" w:header="0"/>
          <w:type w:val="continuous"/>
        </w:sectPr>
      </w:pPr>
    </w:p>
    <w:bookmarkStart w:id="94" w:name="page95"/>
    <w:bookmarkEnd w:id="94"/>
    <w:p>
      <w:pPr>
        <w:ind w:left="458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41"/>
        </w:trPr>
        <w:tc>
          <w:tcPr>
            <w:tcW w:w="79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 recovery of legal settlement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7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68,963</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20"/>
                <w:szCs w:val="20"/>
                <w:color w:val="auto"/>
              </w:rPr>
            </w:pPr>
          </w:p>
        </w:tc>
      </w:tr>
      <w:tr>
        <w:trPr>
          <w:trHeight w:val="24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46,089</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10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legal settlement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FF0FC"/>
          </w:tcPr>
          <w:p>
            <w:pPr>
              <w:spacing w:after="0"/>
              <w:rPr>
                <w:sz w:val="21"/>
                <w:szCs w:val="21"/>
                <w:color w:val="auto"/>
              </w:rPr>
            </w:pPr>
          </w:p>
        </w:tc>
      </w:tr>
      <w:tr>
        <w:trPr>
          <w:trHeight w:val="243"/>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payable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r>
      <w:tr>
        <w:trPr>
          <w:trHeight w:val="236"/>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20,026</w:t>
            </w: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payable (net of discount and issuance costs of $454 and $756, respectively)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tcPr>
          <w:p>
            <w:pPr>
              <w:spacing w:after="0"/>
              <w:rPr>
                <w:sz w:val="20"/>
                <w:szCs w:val="20"/>
                <w:color w:val="auto"/>
              </w:rPr>
            </w:pPr>
          </w:p>
        </w:tc>
      </w:tr>
      <w:tr>
        <w:trPr>
          <w:trHeight w:val="24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27,978</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100" w:type="dxa"/>
            <w:vAlign w:val="bottom"/>
          </w:tcPr>
          <w:p>
            <w:pPr>
              <w:spacing w:after="0"/>
              <w:rPr>
                <w:sz w:val="20"/>
                <w:szCs w:val="20"/>
                <w:color w:val="auto"/>
              </w:rPr>
            </w:pPr>
          </w:p>
        </w:tc>
      </w:tr>
      <w:tr>
        <w:trPr>
          <w:trHeight w:val="236"/>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$0.001 par value; 100,000,000 shares authorized; 10,518,539 and 6,910,324 shares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issued and outstanding at December 31, 2022 and 2021, respectively</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136,173</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(135,772 )</w:t>
            </w: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(100,063 )</w:t>
            </w:r>
          </w:p>
        </w:tc>
      </w:tr>
      <w:tr>
        <w:trPr>
          <w:trHeight w:val="237"/>
        </w:trPr>
        <w:tc>
          <w:tcPr>
            <w:tcW w:w="79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36,117</w:t>
            </w:r>
          </w:p>
        </w:tc>
        <w:tc>
          <w:tcPr>
            <w:tcW w:w="100" w:type="dxa"/>
            <w:vAlign w:val="bottom"/>
            <w:tcBorders>
              <w:top w:val="single" w:sz="8" w:color="CFF0FC"/>
            </w:tcBorders>
          </w:tcPr>
          <w:p>
            <w:pPr>
              <w:spacing w:after="0"/>
              <w:rPr>
                <w:sz w:val="20"/>
                <w:szCs w:val="20"/>
                <w:color w:val="auto"/>
              </w:rPr>
            </w:pPr>
          </w:p>
        </w:tc>
      </w:tr>
      <w:tr>
        <w:trPr>
          <w:trHeight w:val="276"/>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46,089</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-3950970</wp:posOffset>
            </wp:positionV>
            <wp:extent cx="7747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-3325495</wp:posOffset>
            </wp:positionV>
            <wp:extent cx="7747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-1430655</wp:posOffset>
            </wp:positionV>
            <wp:extent cx="7747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-350520</wp:posOffset>
            </wp:positionV>
            <wp:extent cx="7747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41"/>
        </w:trPr>
        <w:tc>
          <w:tcPr>
            <w:tcW w:w="76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22,527</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100" w:type="dxa"/>
            <w:vAlign w:val="bottom"/>
          </w:tcPr>
          <w:p>
            <w:pPr>
              <w:spacing w:after="0"/>
              <w:rPr>
                <w:sz w:val="20"/>
                <w:szCs w:val="20"/>
                <w:color w:val="auto"/>
              </w:rPr>
            </w:pPr>
          </w:p>
        </w:tc>
      </w:tr>
      <w:tr>
        <w:trPr>
          <w:trHeight w:val="247"/>
        </w:trPr>
        <w:tc>
          <w:tcPr>
            <w:tcW w:w="7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20"/>
                <w:szCs w:val="20"/>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(34,640 )</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(26,986 )</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 net:</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0"/>
                <w:szCs w:val="20"/>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(1,618 )</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(1,282 )</w:t>
            </w:r>
          </w:p>
        </w:tc>
      </w:tr>
      <w:tr>
        <w:trPr>
          <w:trHeight w:val="247"/>
        </w:trPr>
        <w:tc>
          <w:tcPr>
            <w:tcW w:w="7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and other income (expenses), net</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0"/>
        </w:trPr>
        <w:tc>
          <w:tcPr>
            <w:tcW w:w="76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360" w:type="dxa"/>
            <w:vAlign w:val="bottom"/>
          </w:tcPr>
          <w:p>
            <w:pPr>
              <w:spacing w:after="0"/>
              <w:rPr>
                <w:sz w:val="20"/>
                <w:szCs w:val="20"/>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(1,069 )</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(1,316 )</w:t>
            </w:r>
          </w:p>
        </w:tc>
      </w:tr>
      <w:tr>
        <w:trPr>
          <w:trHeight w:val="23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(35,709 )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(28,302 )</w:t>
            </w:r>
          </w:p>
        </w:tc>
      </w:tr>
      <w:tr>
        <w:trPr>
          <w:trHeight w:val="20"/>
        </w:trPr>
        <w:tc>
          <w:tcPr>
            <w:tcW w:w="7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and pre-funded warrants, basic and diluted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and pre-funded warrants outstanding, basic and diluted</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11,548,907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3,790,303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-1468120</wp:posOffset>
            </wp:positionV>
            <wp:extent cx="6858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-1468120</wp:posOffset>
            </wp:positionV>
            <wp:extent cx="68580"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-842645</wp:posOffset>
            </wp:positionV>
            <wp:extent cx="685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-842645</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-516890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-516890</wp:posOffset>
            </wp:positionV>
            <wp:extent cx="6858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-173990</wp:posOffset>
            </wp:positionV>
            <wp:extent cx="1260475"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60475" cy="17970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14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3"/>
                <w:szCs w:val="13"/>
                <w:color w:val="auto"/>
              </w:rPr>
            </w:pPr>
          </w:p>
        </w:tc>
        <w:tc>
          <w:tcPr>
            <w:tcW w:w="12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2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January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498,269</w:t>
            </w:r>
          </w:p>
        </w:tc>
        <w:tc>
          <w:tcPr>
            <w:tcW w:w="22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(71,761</w:t>
            </w:r>
          </w:p>
        </w:tc>
        <w:tc>
          <w:tcPr>
            <w:tcW w:w="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(68,793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33,127</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28,196</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preferred stock to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3,692,912</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86,703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cash, net of issuance cost of $446</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1,388,374</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33,473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Reverse recapitalization transaction costs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(6,420 )</w:t>
            </w: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(6,420 )</w:t>
            </w: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to Millendo shareholders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1,269,446</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warrants</w:t>
            </w: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(28,302 )</w:t>
            </w:r>
          </w:p>
        </w:tc>
        <w:tc>
          <w:tcPr>
            <w:tcW w:w="1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(28,302 )</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 December 31, 2021</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6,910,324</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136,173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(100,063</w:t>
            </w:r>
          </w:p>
        </w:tc>
        <w:tc>
          <w:tcPr>
            <w:tcW w:w="160" w:type="dxa"/>
            <w:vAlign w:val="bottom"/>
            <w:tcBorders>
              <w:bottom w:val="single" w:sz="8" w:color="CFF0FC"/>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36,117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8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260" w:type="dxa"/>
            <w:vAlign w:val="bottom"/>
            <w:gridSpan w:val="2"/>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cash, net of issuance cost of $489</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3,608,215</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8,857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pre-funded warrants, net of issuance cost $283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(35,709 )</w:t>
            </w:r>
          </w:p>
        </w:tc>
        <w:tc>
          <w:tcPr>
            <w:tcW w:w="1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(35,709 )</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 December 31, 2022</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10,518,539</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153,872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(135,772</w:t>
            </w:r>
          </w:p>
        </w:tc>
        <w:tc>
          <w:tcPr>
            <w:tcW w:w="160" w:type="dxa"/>
            <w:vAlign w:val="bottom"/>
            <w:tcBorders>
              <w:bottom w:val="single" w:sz="8" w:color="CFF0FC"/>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-728345</wp:posOffset>
            </wp:positionV>
            <wp:extent cx="33604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04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-25400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tcPr>
          <w:p>
            <w:pPr>
              <w:spacing w:after="0"/>
              <w:rPr>
                <w:sz w:val="21"/>
                <w:szCs w:val="21"/>
                <w:color w:val="auto"/>
              </w:rPr>
            </w:pPr>
          </w:p>
        </w:tc>
        <w:tc>
          <w:tcPr>
            <w:tcW w:w="2880" w:type="dxa"/>
            <w:vAlign w:val="bottom"/>
            <w:tcBorders>
              <w:bottom w:val="single" w:sz="8" w:color="auto"/>
            </w:tcBorders>
            <w:gridSpan w:val="5"/>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5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(35,709 )</w:t>
            </w:r>
          </w:p>
        </w:tc>
        <w:tc>
          <w:tcPr>
            <w:tcW w:w="180" w:type="dxa"/>
            <w:vAlign w:val="bottom"/>
          </w:tcPr>
          <w:p>
            <w:pPr>
              <w:spacing w:after="0"/>
              <w:rPr>
                <w:sz w:val="20"/>
                <w:szCs w:val="20"/>
                <w:color w:val="auto"/>
              </w:rPr>
            </w:pPr>
          </w:p>
        </w:tc>
        <w:tc>
          <w:tcPr>
            <w:tcW w:w="100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(28,302 )</w:t>
            </w:r>
          </w:p>
        </w:tc>
      </w:tr>
      <w:tr>
        <w:trPr>
          <w:trHeight w:val="247"/>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interest and other expense, net</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(179 )</w:t>
            </w:r>
          </w:p>
        </w:tc>
      </w:tr>
      <w:tr>
        <w:trPr>
          <w:trHeight w:val="23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(209 )</w:t>
            </w:r>
          </w:p>
        </w:tc>
      </w:tr>
      <w:tr>
        <w:trPr>
          <w:trHeight w:val="247"/>
        </w:trPr>
        <w:tc>
          <w:tcPr>
            <w:tcW w:w="7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payable</w:t>
            </w:r>
          </w:p>
        </w:tc>
        <w:tc>
          <w:tcPr>
            <w:tcW w:w="10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(1,501 )</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(1,040 )</w:t>
            </w:r>
          </w:p>
        </w:tc>
      </w:tr>
      <w:tr>
        <w:trPr>
          <w:trHeight w:val="20"/>
        </w:trPr>
        <w:tc>
          <w:tcPr>
            <w:tcW w:w="75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 xml:space="preserve">(31,072 </w:t>
            </w:r>
            <w:r>
              <w:rPr>
                <w:rFonts w:ascii="Times New Roman" w:cs="Times New Roman" w:eastAsia="Times New Roman" w:hAnsi="Times New Roman"/>
                <w:sz w:val="18"/>
                <w:szCs w:val="18"/>
                <w:color w:val="auto"/>
                <w:highlight w:val="white"/>
                <w:w w:val="96"/>
              </w:rPr>
              <w: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 xml:space="preserve">(25,957 </w:t>
            </w:r>
            <w:r>
              <w:rPr>
                <w:rFonts w:ascii="Times New Roman" w:cs="Times New Roman" w:eastAsia="Times New Roman" w:hAnsi="Times New Roman"/>
                <w:sz w:val="18"/>
                <w:szCs w:val="18"/>
                <w:color w:val="auto"/>
                <w:highlight w:val="white"/>
                <w:w w:val="96"/>
              </w:rPr>
              <w:t>)</w:t>
            </w:r>
          </w:p>
        </w:tc>
      </w:tr>
      <w:tr>
        <w:trPr>
          <w:trHeight w:val="237"/>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r>
      <w:tr>
        <w:trPr>
          <w:trHeight w:val="247"/>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 of related party note receivable</w:t>
            </w:r>
          </w:p>
        </w:tc>
        <w:tc>
          <w:tcPr>
            <w:tcW w:w="10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(562 </w:t>
            </w:r>
            <w:r>
              <w:rPr>
                <w:rFonts w:ascii="Times New Roman" w:cs="Times New Roman" w:eastAsia="Times New Roman" w:hAnsi="Times New Roman"/>
                <w:sz w:val="18"/>
                <w:szCs w:val="18"/>
                <w:color w:val="auto"/>
                <w:highlight w:val="white"/>
              </w:rPr>
              <w: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color w:val="auto"/>
                <w:highlight w:val="white"/>
              </w:rPr>
              <w:t>)</w:t>
            </w:r>
          </w:p>
        </w:tc>
      </w:tr>
      <w:tr>
        <w:trPr>
          <w:trHeight w:val="23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net of issuance costs</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33,425</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pre-funded warrants, net of issuance costs</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shd w:val="clear" w:color="auto" w:fill="CCEE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w:t>
            </w:r>
          </w:p>
        </w:tc>
        <w:tc>
          <w:tcPr>
            <w:tcW w:w="10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(4,739 )</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on loan payable</w:t>
            </w:r>
          </w:p>
        </w:tc>
        <w:tc>
          <w:tcPr>
            <w:tcW w:w="10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Payment of loan issuance costs</w:t>
            </w:r>
          </w:p>
        </w:tc>
        <w:tc>
          <w:tcPr>
            <w:tcW w:w="100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r>
      <w:tr>
        <w:trPr>
          <w:trHeight w:val="247"/>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acquired in connection with reverse recapitalization</w:t>
            </w:r>
          </w:p>
        </w:tc>
        <w:tc>
          <w:tcPr>
            <w:tcW w:w="10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Payment of reverse recapitalization transaction costs</w:t>
            </w:r>
          </w:p>
        </w:tc>
        <w:tc>
          <w:tcPr>
            <w:tcW w:w="1000" w:type="dxa"/>
            <w:vAlign w:val="bottom"/>
          </w:tcPr>
          <w:p>
            <w:pPr>
              <w:spacing w:after="0"/>
              <w:rPr>
                <w:sz w:val="20"/>
                <w:szCs w:val="20"/>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(6,420 )</w:t>
            </w:r>
          </w:p>
        </w:tc>
      </w:tr>
      <w:tr>
        <w:trPr>
          <w:trHeight w:val="247"/>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option exercises</w:t>
            </w:r>
          </w:p>
        </w:tc>
        <w:tc>
          <w:tcPr>
            <w:tcW w:w="10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21"/>
                <w:szCs w:val="21"/>
                <w:color w:val="auto"/>
              </w:rPr>
            </w:pPr>
          </w:p>
        </w:tc>
      </w:tr>
      <w:tr>
        <w:trPr>
          <w:trHeight w:val="237"/>
        </w:trPr>
        <w:tc>
          <w:tcPr>
            <w:tcW w:w="752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59,063</w:t>
            </w:r>
          </w:p>
        </w:tc>
        <w:tc>
          <w:tcPr>
            <w:tcW w:w="100" w:type="dxa"/>
            <w:vAlign w:val="bottom"/>
            <w:tcBorders>
              <w:top w:val="single" w:sz="8" w:color="CFF0FC"/>
            </w:tcBorders>
          </w:tcPr>
          <w:p>
            <w:pPr>
              <w:spacing w:after="0"/>
              <w:rPr>
                <w:sz w:val="20"/>
                <w:szCs w:val="20"/>
                <w:color w:val="auto"/>
              </w:rPr>
            </w:pPr>
          </w:p>
        </w:tc>
      </w:tr>
      <w:tr>
        <w:trPr>
          <w:trHeight w:val="23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100" w:type="dxa"/>
            <w:vAlign w:val="bottom"/>
            <w:shd w:val="clear" w:color="auto" w:fill="CFF0FC"/>
          </w:tcPr>
          <w:p>
            <w:pPr>
              <w:spacing w:after="0"/>
              <w:rPr>
                <w:sz w:val="20"/>
                <w:szCs w:val="20"/>
                <w:color w:val="auto"/>
              </w:rPr>
            </w:pPr>
          </w:p>
        </w:tc>
      </w:tr>
      <w:tr>
        <w:trPr>
          <w:trHeight w:val="24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100" w:type="dxa"/>
            <w:vAlign w:val="bottom"/>
          </w:tcPr>
          <w:p>
            <w:pPr>
              <w:spacing w:after="0"/>
              <w:rPr>
                <w:sz w:val="21"/>
                <w:szCs w:val="21"/>
                <w:color w:val="auto"/>
              </w:rPr>
            </w:pPr>
          </w:p>
        </w:tc>
      </w:tr>
      <w:tr>
        <w:trPr>
          <w:trHeight w:val="27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77"/>
        </w:trPr>
        <w:tc>
          <w:tcPr>
            <w:tcW w:w="75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5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recognized in exchange for lease liabilities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Non-cash operating activities: </w:t>
            </w:r>
            <w:r>
              <w:rPr>
                <w:rFonts w:ascii="Times New Roman" w:cs="Times New Roman" w:eastAsia="Times New Roman" w:hAnsi="Times New Roman"/>
                <w:sz w:val="18"/>
                <w:szCs w:val="18"/>
                <w:color w:val="auto"/>
              </w:rPr>
              <w:t>Lease modification</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Non-cash investing activities: </w:t>
            </w:r>
            <w:r>
              <w:rPr>
                <w:rFonts w:ascii="Times New Roman" w:cs="Times New Roman" w:eastAsia="Times New Roman" w:hAnsi="Times New Roman"/>
                <w:sz w:val="18"/>
                <w:szCs w:val="18"/>
                <w:color w:val="auto"/>
              </w:rPr>
              <w:t>Property and equipment in accounts payable</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1"/>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5"/>
        </w:trPr>
        <w:tc>
          <w:tcPr>
            <w:tcW w:w="75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Vesting of early exercise stock options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license agreement</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-2245360</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-2245360</wp:posOffset>
            </wp:positionV>
            <wp:extent cx="6858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-1602105</wp:posOffset>
            </wp:positionV>
            <wp:extent cx="125984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59840" cy="18859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-1259205</wp:posOffset>
            </wp:positionV>
            <wp:extent cx="1259840"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59840" cy="20574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-899160</wp:posOffset>
            </wp:positionV>
            <wp:extent cx="1259840"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59840" cy="20574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-539750</wp:posOffset>
            </wp:positionV>
            <wp:extent cx="1259840"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59840" cy="18034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-205105</wp:posOffset>
            </wp:positionV>
            <wp:extent cx="1259840"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59840" cy="205740"/>
                    </a:xfrm>
                    <a:prstGeom prst="rect">
                      <a:avLst/>
                    </a:prstGeom>
                    <a:noFill/>
                  </pic:spPr>
                </pic:pic>
              </a:graphicData>
            </a:graphic>
          </wp:anchor>
        </w:drawing>
      </w:r>
    </w:p>
    <w:p>
      <w:pPr>
        <w:spacing w:after="0" w:line="17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33" w:right="3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2022 and 2021</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Tempest Therapeutics, Inc. (“Tempest,” or the “Company”) is a clinical-stage oncology company advancing small molecules that combine both tumor-targeted and immune-mediated mechanisms with the potential to treat a wide range of tumors. The Company’s two novel clinical programs are TPST-1120 and TPST-1495, antagonists of PPARα and EP2/EP4, respectively. Both programs are advancing through clinical trials designed to study the agents as monotherapies and in combination with other approved agents. Tempest is also developing an orally available inhibitor of TREX-1, a target that controls activation of the cGAS/STING pathway. Tempest is headquartered in Brisbane, California.</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Merger with Millendo</w:t>
      </w:r>
      <w:r>
        <w:rPr>
          <w:rFonts w:ascii="Times New Roman" w:cs="Times New Roman" w:eastAsia="Times New Roman" w:hAnsi="Times New Roman"/>
          <w:sz w:val="18"/>
          <w:szCs w:val="18"/>
          <w:color w:val="auto"/>
        </w:rPr>
        <w:t>—On March 29, 2021, TempestTx, Inc. (“Private Tempest”) entered into an Agreement and Plan of Merger (the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 Millendo Therapeutics, Inc. (“Millendo”).</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25, 2021, Private Tempest completed the merger with Millendo in accordance with the Merger Agreement. Prior to the effective time of the merger, Millendo effected a 1-for-15 reverse stock split, and right after the merger, Millendo changed its name to Tempest Therapeutics, Inc. Under the terms of the Merger Agreement, immediately prior to the effective time of the merger, each share of Private Tempest’s preferred stock was converted into a share of Private Tempest’s common stock. At closing of the merger,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resulting in approximately 6,635,345 shares of the Company’s common stock being issued and outstanding immediately following the effective time of the merger. The Company also assumed all of the outstanding and unexercised stock options and warrants to purchase shares of Private Tempest capital stock. The assumed options continue to be governed by the terms of the 2011 and 2017 Equity Incentive Plans (as discussed more in Note</w:t>
      </w:r>
    </w:p>
    <w:p>
      <w:pPr>
        <w:spacing w:after="0" w:line="6" w:lineRule="exact"/>
        <w:rPr>
          <w:sz w:val="20"/>
          <w:szCs w:val="20"/>
          <w:color w:val="auto"/>
        </w:rPr>
      </w:pPr>
    </w:p>
    <w:p>
      <w:pPr>
        <w:ind w:firstLine="58"/>
        <w:spacing w:after="0" w:line="260" w:lineRule="auto"/>
        <w:tabs>
          <w:tab w:leader="none" w:pos="2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which the options were originally granted, with such options hence forth representing the right to purchase a number of shares of the Company’s common stock equal to 0.0322 multiplied by the number of shares of Private Tempest common stock previously represented by such options.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in accordance with U.S. generally accepted accounting principles (“GAAP”). Under this method of accounting, Private Tempest was be deemed to be the accounting acquirer for financial reporting purposes. This determination was primarily based on the expectation that, immediately following the merger: (i) Private Tempest stockholders would own a substantial majority of the voting rights; (ii) Private Tempest would designate a substantial majority of the initial members of the board of directors of the combined company; (iii) Private Tempest’s executive management team would become the management of the combined company; and (iv) the combined company would be named Tempest Therapeutics, Inc. Accordingly, for accounting purposes, the merger was treated as the equivalent of Tempest issuing stock to acquire the net assets of Millendo. As a result of the merger, the net assets of Millendo were recorded at their acquisition-date fair value in the financial statements of Private Tempest and the reported operating results prior to the merger will be those of</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Private Tempest. Historical per share figures of Private Tempest have been retroactively restated based on the exchange ratio of 0.0322.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256" w:lineRule="exact"/>
        <w:rPr>
          <w:sz w:val="20"/>
          <w:szCs w:val="20"/>
          <w:color w:val="auto"/>
        </w:rPr>
      </w:pPr>
    </w:p>
    <w:p>
      <w:pPr>
        <w:jc w:val="both"/>
        <w:ind w:right="380"/>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The Company has incurred operating losses since inception. As of December 31, 2022, we had cash and cash equivalents of $31.2 million.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spacing w:after="0" w:line="187"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On April 29, 2022, the Company completed a private investment in public equity (“PIPE”) financing from the sale of 3,149,912 shares of its common stock at a price per share of $2.36 and, and in lieu of shares of common stock, pre-funded warrants to purchase up to 3,206,020 shares of its common stock at a price per pre-funded warrant of $2.359 to EcoR1 Capital, LLC and Versant Venture Capital (the “PIPE Investors”). Net proceeds from the PIPE financings totaled approximately $14.5 million, after deducting offering expenses. The Company entered into a registration rights agreement (the “Registration Rights Agreement”) with the PIPE Investors pursuant to which the Company filed a registration statement with the SEC registering the resale of the 3,149,912 shares common stock and the 3,206,020 shares of common stock underlying the pre-funded warrants issued in the PIPE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Basis of Presentation</w:t>
      </w:r>
      <w:r>
        <w:rPr>
          <w:rFonts w:ascii="Times New Roman" w:cs="Times New Roman" w:eastAsia="Times New Roman" w:hAnsi="Times New Roman"/>
          <w:sz w:val="18"/>
          <w:szCs w:val="18"/>
          <w:color w:val="auto"/>
        </w:rPr>
        <w:t>—The accompanying Consolidated Financial Statements have been prepared in accordance with US generally accepted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("GAAP") and necessarily include amounts based on estimates and assumptions by management.</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Segment Information</w:t>
      </w:r>
      <w:r>
        <w:rPr>
          <w:rFonts w:ascii="Times New Roman" w:cs="Times New Roman" w:eastAsia="Times New Roman" w:hAnsi="Times New Roman"/>
          <w:sz w:val="18"/>
          <w:szCs w:val="18"/>
          <w:color w:val="auto"/>
        </w:rPr>
        <w:t>—The Company operates and manages its business as one reportable and operating segment, which is the business of discovery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small molecule drugs to treat cancers. All assets and operations are in the U.S. The Company’s Chief Executive Officer, who is the chief operating decision maker, reviews financial information on an aggregate basis for purposes of allocating resources and evaluating financial performance.</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Risks and Uncertainties</w:t>
      </w:r>
      <w:r>
        <w:rPr>
          <w:rFonts w:ascii="Times New Roman" w:cs="Times New Roman" w:eastAsia="Times New Roman" w:hAnsi="Times New Roman"/>
          <w:sz w:val="18"/>
          <w:szCs w:val="18"/>
          <w:color w:val="auto"/>
        </w:rPr>
        <w:t>—The Company is subject to risks and uncertainties common to early-stage companies in the biotechnology industry,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but not limited to, development by competitors of new technological innovations, protection of proprietary technology, dependence on key personnel, reliance on single-source vendors, availability of raw materials, patentability of the Company’s products and processes and clinical efficacy and safety of the Company’s products under development,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will require significant amounts of additional capital, adequate personnel infrastructure and extensive compliance and reporting. The Company’s product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0" w:name="page101"/>
    <w:bookmarkEnd w:id="100"/>
    <w:p>
      <w:pPr>
        <w:jc w:val="both"/>
        <w:spacing w:after="0" w:line="255" w:lineRule="auto"/>
        <w:rPr>
          <w:sz w:val="20"/>
          <w:szCs w:val="20"/>
          <w:color w:val="auto"/>
        </w:rPr>
      </w:pPr>
      <w:r>
        <w:rPr>
          <w:rFonts w:ascii="Times New Roman" w:cs="Times New Roman" w:eastAsia="Times New Roman" w:hAnsi="Times New Roman"/>
          <w:sz w:val="18"/>
          <w:szCs w:val="18"/>
          <w:color w:val="auto"/>
        </w:rPr>
        <w:t>candidates are still in development and, to date, none of the Company’s product candidates have been approved for sale and, therefore, the Company has not generated any revenue from product sales.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r>
        <w:rPr>
          <w:rFonts w:ascii="Times New Roman" w:cs="Times New Roman" w:eastAsia="Times New Roman" w:hAnsi="Times New Roman"/>
          <w:sz w:val="18"/>
          <w:szCs w:val="18"/>
          <w:color w:val="auto"/>
        </w:rPr>
        <w:t>—Financial instruments, which potentially subject the Company to concentration of risk, consist principally of cash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money market fund. All of the Company’s cash and money market fund are deposited in accounts with a major financial institution in excess of federally insured limits. The Company is exposed to credit risk in the event of default by the financial institutions holding its cash and cash equivalents to the extent recorded in the balance sheets. While the Company has not experienced any losses in such accounts, the recent failure of Silicon Valley Bank (SVB), at which the Company held cash and cash equivalents in multiple accounts, exposed the Company to significant credit risk prior to the completion by the Federal Deposit Insurance Corporation of the resolution of SVB in a manner that fully protected all depositors. The Company had subsequently transferred its accounts to one or more alternate depository institutions. The Company has no off-balance sheet concentrations of credit risk, such as foreign currency exchange contracts, option contracts or other hedging arrangements.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—The Company considers all highly liquid investments purchased with original maturities of 90 days or less at acquisitions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cash equivalents. As of December 31, 2022 and 2021, the Company’s cash and cash equivalents consisted of bank deposits and money market funds.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—The Company determines if an arrangement is a lease at contract inception. A lease exists when a contract conveys to the customer the right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liabilities are initially and subsequently measured at the present value of the unpaid lease payments at the lease commencement date. When readily determinable, the Company uses the implicit rate in determining the present value of lease payments. When leases do not provide an implicit rate, the Company uses its incremental borrowing rate based on the information available at the lease commencement date, including the lease term.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ROU asset is initially measured at cost, which comprises the initial amount of the lease liability adjusted for lease payments made at or before the lease commencement date, plus any initial direct costs incurred less any lease incentives received. 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w:t>
      </w:r>
      <w:r>
        <w:rPr>
          <w:rFonts w:ascii="Times New Roman" w:cs="Times New Roman" w:eastAsia="Times New Roman" w:hAnsi="Times New Roman"/>
          <w:sz w:val="18"/>
          <w:szCs w:val="18"/>
          <w:color w:val="auto"/>
        </w:rPr>
        <w:t>—Property and equipment is recorded at cost and depreciated over the estimated useful lives of the related assets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straight-line method. Upon disposal of an asset, the related cost and accumulated depreciation are removed from the asset accounts and any resulting gain or loss is included in the consolidated statements of operations. Repair and maintenance costs are expensed as incurred, whereas major improvements are capitalized as additions to property and equipment. The estimated useful lives of the Company’s respective assets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7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3 years</w:t>
            </w:r>
          </w:p>
        </w:tc>
      </w:tr>
      <w:tr>
        <w:trPr>
          <w:trHeight w:val="338"/>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Furniture and fixtures</w:t>
            </w:r>
          </w:p>
        </w:tc>
        <w:tc>
          <w:tcPr>
            <w:tcW w:w="7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7 years</w:t>
            </w:r>
          </w:p>
        </w:tc>
      </w:tr>
      <w:tr>
        <w:trPr>
          <w:trHeight w:val="337"/>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Laboratory equipment</w:t>
            </w:r>
          </w:p>
        </w:tc>
        <w:tc>
          <w:tcPr>
            <w:tcW w:w="7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5 years</w:t>
            </w:r>
          </w:p>
        </w:tc>
      </w:tr>
      <w:tr>
        <w:trPr>
          <w:trHeight w:val="338"/>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Leasehold improvements</w:t>
            </w:r>
          </w:p>
        </w:tc>
        <w:tc>
          <w:tcPr>
            <w:tcW w:w="72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Shorter of the useful life of the asset or the life of the lease</w:t>
            </w:r>
          </w:p>
        </w:tc>
      </w:tr>
      <w:tr>
        <w:trPr>
          <w:trHeight w:val="580"/>
        </w:trPr>
        <w:tc>
          <w:tcPr>
            <w:tcW w:w="4040" w:type="dxa"/>
            <w:vAlign w:val="bottom"/>
          </w:tcPr>
          <w:p>
            <w:pPr>
              <w:spacing w:after="0"/>
              <w:rPr>
                <w:sz w:val="24"/>
                <w:szCs w:val="24"/>
                <w:color w:val="auto"/>
              </w:rPr>
            </w:pPr>
          </w:p>
        </w:tc>
        <w:tc>
          <w:tcPr>
            <w:tcW w:w="720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98</w:t>
            </w:r>
          </w:p>
        </w:tc>
      </w:tr>
      <w:tr>
        <w:trPr>
          <w:trHeight w:val="115"/>
        </w:trPr>
        <w:tc>
          <w:tcPr>
            <w:tcW w:w="4040" w:type="dxa"/>
            <w:vAlign w:val="bottom"/>
            <w:tcBorders>
              <w:bottom w:val="single" w:sz="8" w:color="9A9A9A"/>
            </w:tcBorders>
          </w:tcPr>
          <w:p>
            <w:pPr>
              <w:spacing w:after="0"/>
              <w:rPr>
                <w:sz w:val="10"/>
                <w:szCs w:val="10"/>
                <w:color w:val="auto"/>
              </w:rPr>
            </w:pPr>
          </w:p>
        </w:tc>
        <w:tc>
          <w:tcPr>
            <w:tcW w:w="7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r>
        <w:rPr>
          <w:rFonts w:ascii="Times New Roman" w:cs="Times New Roman" w:eastAsia="Times New Roman" w:hAnsi="Times New Roman"/>
          <w:sz w:val="18"/>
          <w:szCs w:val="18"/>
          <w:color w:val="auto"/>
        </w:rPr>
        <w:t>—Long-lived assets are reviewed for impairment if events or circumstances indicate the carrying amount of these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not be recoverable. If this review indicates that these assets will not be recoverable, based on the forecasted undiscounted future operating cash flows expected to result from the use of long-lived assets and their eventual disposition, the Company’s carrying value of the long-lived assets is reduced to fair value based on a discounted future cash flow approach or quoted market values.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Accrued Research and Development</w:t>
      </w:r>
      <w:r>
        <w:rPr>
          <w:rFonts w:ascii="Times New Roman" w:cs="Times New Roman" w:eastAsia="Times New Roman" w:hAnsi="Times New Roman"/>
          <w:sz w:val="18"/>
          <w:szCs w:val="18"/>
          <w:color w:val="auto"/>
        </w:rPr>
        <w:t>—Research and development expenses are charged to expense as incurred.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Research and development expenses include certain payroll and personnel expenses including stock-based compensation, laboratory supplies, consulting costs, external contract research and development expenses and facility or lease expenses. In-licensing fees and other costs to acquire technologies that are utilized in research and development, and that are not expected to have alternative future use, are expensed when incurred. Advance payments for goods or services for future research and development activities are deferred and expensed as the goods are delivered or the related services are performed.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 These estimates are based on communications with the third-party service providers, the Company’s estimates of accrued expenses and on information available at each balance sheet date. If the actual timing of the performance of services or the level of effort varies from the estimate, the Company will adjust the accrual accordingly. The estimates are trued up to reflect the best information available at the time of the financial statement issuance. Although the Company does not expect its estimates to be materially different from amounts actually incurred, the Company’s estimate of the status and timing of services performed relative to the actual status and timing of services performed may vary.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Costs</w:t>
      </w: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patent-related legal costs are reported as a component of general and administrative expenses.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r>
        <w:rPr>
          <w:rFonts w:ascii="Times New Roman" w:cs="Times New Roman" w:eastAsia="Times New Roman" w:hAnsi="Times New Roman"/>
          <w:sz w:val="18"/>
          <w:szCs w:val="18"/>
          <w:color w:val="auto"/>
        </w:rPr>
        <w:t>—General and administrative costs are expensed as incurred and include employee-related expenses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salaries, benefits, travel and stock-based compensation for the Company’s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Fair Value Measurements</w:t>
      </w: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market participants at the measurement date. As such, fair value is a market-based measurement that should be determined based on assumptions that market participants would use in pricing an asset or liability. The carrying amounts of the Company’s financial instruments approximate fair value due to their short-term maturities.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r>
        <w:rPr>
          <w:rFonts w:ascii="Times New Roman" w:cs="Times New Roman" w:eastAsia="Times New Roman" w:hAnsi="Times New Roman"/>
          <w:sz w:val="18"/>
          <w:szCs w:val="18"/>
          <w:color w:val="auto"/>
        </w:rPr>
        <w:t>—The Company accounts for stock-based compensation by measuring and recognizing compensation expense for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share-based payments made to employees, directors and non-employees based on estimated grant-date fair values. The Company uses the straight-line method to allocate compensation cost to reporting periods over each optionee’s requisite service period, which is generally the vesting period.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to employees, directors and non-employees using the Black-Scholes option-valuation model. The Black-Scholes model requires the input of subjective assumptions, including expected volatility, expected dividend yield, expected term, risk-free rate of return, and the fair value of the underlying common stock on the date of grant. Due to the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life science industry. The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jc w:val="both"/>
        <w:spacing w:after="0" w:line="255" w:lineRule="auto"/>
        <w:rPr>
          <w:sz w:val="20"/>
          <w:szCs w:val="20"/>
          <w:color w:val="auto"/>
        </w:rPr>
      </w:pPr>
      <w:r>
        <w:rPr>
          <w:rFonts w:ascii="Times New Roman" w:cs="Times New Roman" w:eastAsia="Times New Roman" w:hAnsi="Times New Roman"/>
          <w:sz w:val="18"/>
          <w:szCs w:val="18"/>
          <w:color w:val="auto"/>
        </w:rPr>
        <w:t>Company uses the simplified method to calculate the expected term for options granted to employees as it does not have sufficient historical exercise data to provide a reasonable basis upon which to estimate the expected term. The simplified method is based on the vesting period and the contractual term for each grant, or for each vesting 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r>
        <w:rPr>
          <w:rFonts w:ascii="Times New Roman" w:cs="Times New Roman" w:eastAsia="Times New Roman" w:hAnsi="Times New Roman"/>
          <w:sz w:val="18"/>
          <w:szCs w:val="18"/>
          <w:color w:val="auto"/>
        </w:rPr>
        <w:t>—The Company follows the two-class method when computing net loss per share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—The Company accounts for income taxes using the asset and liability method. The Company recognizes deferred tax assets and liabilities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2022 and 2021, the Company has recorded a full valuation allowance on its deferred tax assets.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3. MILLENDO MERGER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1, Private Tempest merged with the Company on June 25, 2021. The merger was accounted for as a reverse recapitalization with Private Tempest as the accounting acquirer. The primary pre-combination assets of Millendo were cash, cash equivalents and restricted cash. Under reverse recapitalization accounting, the assets and liabilities of Millendo were recorded at their fair value which approximated book value due to the short-term nature of the instruments. No goodwill or intangible assets were recognized. Consequently, the Condensed Consolidated Financial Statements of Tempest reflect the operations of Millendo for accounting purposes together with a deemed issuance of shares, equivalent to the shares held by the former stockholders of the legal acquirer and a recapitalization of the equity of the accounting acquirer.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reverse recapitalization, the Company obtained approximately $17.0 million of cash, cash equivalents and restricted cash. The Company also obtained prepaids and other assets of approximately $1.4 million and assumed payables and accruals of approximately $0.5 million. The Company also acquired the operating lease right-of-use asset of $2.1 million and the related operating lease liability of $2.1 million. All of the development programs and associated collaboration arrangements were terminated prior to the merger and were deemed to have no value at the transaction date and the Company has since wound down the legacy Millendo operations.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and liabilities measured at fair value on a recurring basis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45"/>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7"/>
        </w:trPr>
        <w:tc>
          <w:tcPr>
            <w:tcW w:w="5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45"/>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51,829</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-993775</wp:posOffset>
            </wp:positionV>
            <wp:extent cx="76835" cy="3346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33464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-993775</wp:posOffset>
            </wp:positionV>
            <wp:extent cx="68580" cy="3346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-993775</wp:posOffset>
            </wp:positionV>
            <wp:extent cx="68580" cy="3346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3346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651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ITEMS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 consist of the following as of December 31, 2022 and 2021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Pr>
          <w:p>
            <w:pPr>
              <w:spacing w:after="0"/>
              <w:rPr>
                <w:sz w:val="21"/>
                <w:szCs w:val="21"/>
                <w:color w:val="auto"/>
              </w:rPr>
            </w:pP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54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3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5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540" w:type="dxa"/>
            <w:vAlign w:val="bottom"/>
          </w:tcPr>
          <w:p>
            <w:pPr>
              <w:spacing w:after="0"/>
              <w:rPr>
                <w:sz w:val="20"/>
                <w:szCs w:val="20"/>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tcPr>
          <w:p>
            <w:pPr>
              <w:spacing w:after="0"/>
              <w:rPr>
                <w:sz w:val="20"/>
                <w:szCs w:val="20"/>
                <w:color w:val="auto"/>
              </w:rPr>
            </w:pP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54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2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0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-599440</wp:posOffset>
            </wp:positionV>
            <wp:extent cx="6858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December 31, 2022 and 2021 (in thousands):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74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r>
      <w:tr>
        <w:trPr>
          <w:trHeight w:val="23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shd w:val="clear" w:color="auto" w:fill="CCEEFF"/>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4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(1,361 )</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(824 )</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were $638 and $374, respectively.</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as of December 31, 2022 and 2021 consist of the following (in thousands):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74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trial liability</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-1344930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-1327785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5"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b w:val="1"/>
          <w:bCs w:val="1"/>
          <w:color w:val="auto"/>
        </w:rPr>
        <w:t>Facilities Lease Agreements</w:t>
      </w:r>
      <w:r>
        <w:rPr>
          <w:rFonts w:ascii="Times New Roman" w:cs="Times New Roman" w:eastAsia="Times New Roman" w:hAnsi="Times New Roman"/>
          <w:sz w:val="18"/>
          <w:szCs w:val="18"/>
          <w:color w:val="auto"/>
        </w:rPr>
        <w:t>—In February 2019, the Company entered into a 5-year office lease agreement for a 9,780 square feet facility in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 Francisco, California. The original lease term expires on February 29, 2024. In June 2022, the lease was amended to terminate early on January 31, 2023. The amendment was not accounted for as a separate contract and the lease liability and the right-of-use asset were remeasured on the lease modification date.</w:t>
      </w:r>
    </w:p>
    <w:p>
      <w:pPr>
        <w:spacing w:after="0" w:line="180"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As a result of the merger with Millendo, the Company assumed Millendo’s noncancelable operating leases for office space which have remaining lease terms of approximately 1.2 years. In February 2019 and October 2018, Millendo entered into two noncancellable operating leases for office space in Ann Arbor, Michigan (“Ann Arbor Leases”), one that Millendo took possession of in April 2019 and the other that Millendo took possession of in July 2019, respectively. One of its leases in Ann Arbor, Michigan expires in June 2024 and the other expires in March 2024.</w:t>
      </w:r>
    </w:p>
    <w:p>
      <w:pPr>
        <w:spacing w:after="0" w:line="180"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In January 2022, the Company entered into a new 8-year office lease agreement for a 20,116 square feet facility in Brisbane, California ("Brisbane Lease"). The lease commenced in December 2022.</w:t>
      </w:r>
    </w:p>
    <w:p>
      <w:pPr>
        <w:spacing w:after="0" w:line="162"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balance of the operating lease right of use assets were $11,650 and $3,051, respectively, and the related operating lease liability were $11,744 and $3,468, respectively, as shown in the accompanying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was $1,445 and $1,039 for the years ended December 31, 2022 and 2021, respectively.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As of December 31, 2022, future minimum annual lease payments under the Company’s operating lease liabilities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 Commitment</w:t>
            </w:r>
          </w:p>
        </w:tc>
      </w:tr>
      <w:tr>
        <w:trPr>
          <w:trHeight w:val="241"/>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w:t>
            </w:r>
          </w:p>
        </w:tc>
        <w:tc>
          <w:tcPr>
            <w:tcW w:w="1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45"/>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FF0FC"/>
          </w:tcPr>
          <w:p>
            <w:pPr>
              <w:spacing w:after="0"/>
              <w:rPr>
                <w:sz w:val="21"/>
                <w:szCs w:val="21"/>
                <w:color w:val="auto"/>
              </w:rPr>
            </w:pPr>
          </w:p>
        </w:tc>
      </w:tr>
      <w:tr>
        <w:trPr>
          <w:trHeight w:val="24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beyond</w:t>
            </w: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00" w:type="dxa"/>
            <w:vAlign w:val="bottom"/>
          </w:tcPr>
          <w:p>
            <w:pPr>
              <w:spacing w:after="0"/>
              <w:rPr>
                <w:sz w:val="21"/>
                <w:szCs w:val="21"/>
                <w:color w:val="auto"/>
              </w:rPr>
            </w:pPr>
          </w:p>
        </w:tc>
      </w:tr>
      <w:tr>
        <w:trPr>
          <w:trHeight w:val="237"/>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shd w:val="clear" w:color="auto" w:fill="CFF0FC"/>
          </w:tcPr>
          <w:p>
            <w:pPr>
              <w:spacing w:after="0"/>
              <w:rPr>
                <w:sz w:val="20"/>
                <w:szCs w:val="20"/>
                <w:color w:val="auto"/>
              </w:rPr>
            </w:pPr>
          </w:p>
        </w:tc>
      </w:tr>
      <w:tr>
        <w:trPr>
          <w:trHeight w:val="24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(5,161 )</w:t>
            </w:r>
          </w:p>
        </w:tc>
      </w:tr>
      <w:tr>
        <w:trPr>
          <w:trHeight w:val="237"/>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operating lease obligations</w:t>
            </w:r>
          </w:p>
        </w:tc>
        <w:tc>
          <w:tcPr>
            <w:tcW w:w="180" w:type="dxa"/>
            <w:vAlign w:val="bottom"/>
            <w:tcBorders>
              <w:top w:val="single" w:sz="8" w:color="auto"/>
            </w:tcBorders>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00" w:type="dxa"/>
            <w:vAlign w:val="bottom"/>
            <w:shd w:val="clear" w:color="auto" w:fill="CFF0FC"/>
          </w:tcPr>
          <w:p>
            <w:pPr>
              <w:spacing w:after="0"/>
              <w:rPr>
                <w:sz w:val="20"/>
                <w:szCs w:val="20"/>
                <w:color w:val="auto"/>
              </w:rPr>
            </w:pPr>
          </w:p>
        </w:tc>
      </w:tr>
      <w:tr>
        <w:trPr>
          <w:trHeight w:val="24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(1,413 )</w:t>
            </w:r>
          </w:p>
        </w:tc>
      </w:tr>
      <w:tr>
        <w:trPr>
          <w:trHeight w:val="277"/>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to this Brisbane Lease agreement, the Company entered into a letter of credit with a bank to deposit $368 in a separate account that is restricted cash to serve as security rent deposit. This amount is included in other noncurrent assets in the accompanying Consolidated Balance Sheets as of December 31, 2022.</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Guarantees and Indemnifications</w:t>
      </w:r>
      <w:r>
        <w:rPr>
          <w:rFonts w:ascii="Times New Roman" w:cs="Times New Roman" w:eastAsia="Times New Roman" w:hAnsi="Times New Roman"/>
          <w:sz w:val="18"/>
          <w:szCs w:val="18"/>
          <w:color w:val="auto"/>
        </w:rPr>
        <w:t>—In the normal course of business, the Company enters into agreements that contain a variety of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2022 and 2021, the Company does not have any material indemnification claims that were probable or reasonably possible and consequently has not recorded related liabilities.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probable that a liability has been incurred and the amount can be reasonably estimated. 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9, 2016, a purported shareholder derivative action was filed in Massachusetts State court (Cima v. Dipp) against OvaScience and certain former officers and directors of OvaScience and OvaScience alleging breach of fiduciary duties, unjust enrichment, abuse of control, gross mismanagement and waste of corporate assets for purported actions related to OvaScience’s January 2015 follow-on public offering. As of September 12, 2022, the parties have reached an agreement in principle and have executed a term sheet in connection with a settlement. On September 13, 2022, the parties filed a joint motion to stay the case pending settlement. On September 15, 2022, the court issued a 90-day nisi order. On December 14, 2022, the court extended that order for 60 days to February 20, 2023. The parties have now reached an agreement on all of the material settlement terms and informed the court of this in a joint status update and request for extension of the order until March 22, 2023. On February 17, 2023, the court extended the order until March 22, 2023 and set a court appearance for March 23, 2023. The parties are currently working on the settlement documentation. Any final settlement is subject to Court approval.</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24, 2017, a purported shareholder class action lawsuit was filed in Massachusetts Federal court (Dahhan v. OvaScience, Inc.) against OvaScience and certain former officers of OvaScience alleging violations of Sections 10(b) and 20(a) of the Exchange Act (the “Dahhan Action”). On March 4, 2022, the parties filed a motion to preliminarily approve a settlement of the action. The settlement amount of $15 million was funded entirely by insurance. All defendants expressly deny liability. On April 1, 2022, the Court preliminarily approved the settlement. On December 20, 2022, the Court entered final approval of the settlement and dismissed the Dahhan Action with prejudice. The settlement included a release of all claims against the defendants. The settlement included a release of all claims against the defendants thus no liability and $15 million related to this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matter was recorded in our Condensed Consolidated Balance Sheets as of December 31, 2022 and December 31, 2021, respectively.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 As of September 12, 2022, the parties have reached an agreement in principle and have executed a term sheet in connection with the settlement. On February 14, 2023, the parties informed the court that, subject to court approval, they had reached an agreement to settle Chiu v. Dipp as well Cima v. Dipp. The parties requested a 90-day stay in order for the parties to present the settlement to the state court in Cima v. Dipp first. On February 16, 2023, the court granted the 90-day stay. The parties are currently working on the settlement documentation. Any final settlement is subject to Court approval.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LOAN PAYABLE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2021, the Company entered into a loan agreement with Oxford Finance LLC (the "Lender")to borrow a term loan amount of $35,000 to be funded in three tranches. Tranche A of $15,000 was wired to the Company on January 15, 2021. Tranche B of $10,000 expired on March 31, 2022. Tranche C of $10,000 is available at the Lender’s option.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23, 2022, the Company entered into a First Amendment to the loan agreement. The amendment modified the agreement as follows: (i) 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amendment to the loan agreement, the term loan matures on August 1, 2025 and has an annual floating interest rate of 7.15% which is an Index Rate plus 7.10%. Index Rate is the greater of (i) 1-Month CME Term SOFR or (ii) 0.05%. Monthly principal payments of $513 will begin on January 1, 2024. Related to this borrowing, the Company recorded loan discounts totaling $898 and paid $95 of debt issuance costs. These amounts would be amortized as additional interest expense over the life of the loan. As of December 31, 2022, the balance of the loan payable (net of debt issuance costs) was $10.4 million. The carrying value of the loan approximates fair value (Level 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and 2021, total interest expense was $1,618 and $1,282, respectively.</w:t>
      </w:r>
    </w:p>
    <w:p>
      <w:pPr>
        <w:spacing w:after="0" w:line="221" w:lineRule="exact"/>
        <w:rPr>
          <w:sz w:val="20"/>
          <w:szCs w:val="20"/>
          <w:color w:val="auto"/>
        </w:rPr>
      </w:pPr>
    </w:p>
    <w:p>
      <w:pPr>
        <w:ind w:right="8740" w:firstLine="8"/>
        <w:spacing w:after="0" w:line="503" w:lineRule="auto"/>
        <w:tabs>
          <w:tab w:leader="none" w:pos="1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Convertible Preferred Stock</w:t>
      </w: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merger with Millendo on June 25, 2021, Private Tempest had issued and outstanding convertible preferred stock. The authorized, issued and outstanding shares of the convertible preferred stock and liquidation preferences of Private Tempest as of December 31, 2020 and June 24, 2021 were as follows (in thousands, except share and per share amounts):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Liquidatio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Proceeds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 Issued and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Liquidation</w:t>
            </w:r>
          </w:p>
        </w:tc>
        <w:tc>
          <w:tcPr>
            <w:tcW w:w="10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of Issuance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r>
      <w:tr>
        <w:trPr>
          <w:trHeight w:val="25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 Authorized</w:t>
            </w:r>
          </w:p>
        </w:tc>
        <w:tc>
          <w:tcPr>
            <w:tcW w:w="140" w:type="dxa"/>
            <w:vAlign w:val="bottom"/>
          </w:tcPr>
          <w:p>
            <w:pPr>
              <w:spacing w:after="0"/>
              <w:rPr>
                <w:sz w:val="21"/>
                <w:szCs w:val="21"/>
                <w:color w:val="auto"/>
              </w:rPr>
            </w:pPr>
          </w:p>
        </w:tc>
        <w:tc>
          <w:tcPr>
            <w:tcW w:w="1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1"/>
                <w:szCs w:val="21"/>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Preference</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r>
      <w:tr>
        <w:trPr>
          <w:trHeight w:val="237"/>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1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00" w:type="dxa"/>
            <w:vAlign w:val="bottom"/>
            <w:shd w:val="clear" w:color="auto" w:fill="CFF0FC"/>
          </w:tcPr>
          <w:p>
            <w:pPr>
              <w:spacing w:after="0"/>
              <w:rPr>
                <w:sz w:val="20"/>
                <w:szCs w:val="20"/>
                <w:color w:val="auto"/>
              </w:rPr>
            </w:pPr>
          </w:p>
        </w:tc>
      </w:tr>
      <w:tr>
        <w:trPr>
          <w:trHeight w:val="23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25,186,738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25,186,738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100" w:type="dxa"/>
            <w:vAlign w:val="bottom"/>
          </w:tcPr>
          <w:p>
            <w:pPr>
              <w:spacing w:after="0"/>
              <w:rPr>
                <w:sz w:val="20"/>
                <w:szCs w:val="20"/>
                <w:color w:val="auto"/>
              </w:rPr>
            </w:pPr>
          </w:p>
        </w:tc>
      </w:tr>
      <w:tr>
        <w:trPr>
          <w:trHeight w:val="247"/>
        </w:trPr>
        <w:tc>
          <w:tcPr>
            <w:tcW w:w="2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B-1</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93,749,993</w:t>
            </w:r>
          </w:p>
        </w:tc>
        <w:tc>
          <w:tcPr>
            <w:tcW w:w="1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72,499,993</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57,489</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135,936,731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114,686,731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86,706</w:t>
            </w:r>
          </w:p>
        </w:tc>
        <w:tc>
          <w:tcPr>
            <w:tcW w:w="100" w:type="dxa"/>
            <w:vAlign w:val="bottom"/>
          </w:tcPr>
          <w:p>
            <w:pPr>
              <w:spacing w:after="0"/>
              <w:rPr>
                <w:sz w:val="20"/>
                <w:szCs w:val="20"/>
                <w:color w:val="auto"/>
              </w:rPr>
            </w:pPr>
          </w:p>
        </w:tc>
      </w:tr>
      <w:tr>
        <w:trPr>
          <w:trHeight w:val="20"/>
        </w:trPr>
        <w:tc>
          <w:tcPr>
            <w:tcW w:w="29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-187960</wp:posOffset>
            </wp:positionV>
            <wp:extent cx="7683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-187960</wp:posOffset>
            </wp:positionV>
            <wp:extent cx="7747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-187960</wp:posOffset>
            </wp:positionV>
            <wp:extent cx="6858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completion of the merger on June 25, 2021,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(3,692,912 common shares) and those shares of common stock issued with its pre-merger financing of $30.0 million (1,136,849 common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and December 31, 2021, the Company was authorized to issue 100,000,000 shares of common stock and 5,000,000 shares of preferred stock, each with a par value of $0.001 per share. Of the common stock shares authorized, 10,518,539 and 6,910,324 were issued and outstanding at December 31, 2022 and December 31, 2021, respectively. There were no shares subject to repurchase due to remaining vesting requirements. Common stockholders are entitled to dividends as declared by the Board of Directors, subject to rights of holders of all classes of stock outstanding having priority rights as to dividends. There was no preferred stock issued nor outstanding as of December 31, 2022 and December 31, 2021.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2021, the Company entered into a sales agreement with Jefferies LLC, pursuant to which the Company may sell, from time to time, up to an aggregate sales price of $100,000,000 of its common stock through Jefferies LLC (the "ATM Program"). Our ability to sell securities under the ATM program will be limited until we are no longer subject to the SEC’s “baby shelf” limitations.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2022, the Company completed a PIPE financing, which included the issuance of pre-funded warrants to purchase up to 3,206,020 shares of its common stock at a price per pre-funded warrant of $2.359 to the PIPE Investors.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to the Company, but not to any percentage in excess of 19.99%.</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8" w:name="page109"/>
    <w:bookmarkEnd w:id="108"/>
    <w:p>
      <w:pPr>
        <w:ind w:right="8240" w:firstLine="8"/>
        <w:spacing w:after="0" w:line="503" w:lineRule="auto"/>
        <w:tabs>
          <w:tab w:leader="none" w:pos="1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Plans</w:t>
      </w:r>
    </w:p>
    <w:p>
      <w:pPr>
        <w:jc w:val="both"/>
        <w:spacing w:after="0" w:line="282" w:lineRule="auto"/>
        <w:rPr>
          <w:sz w:val="20"/>
          <w:szCs w:val="20"/>
          <w:color w:val="auto"/>
        </w:rPr>
      </w:pPr>
      <w:r>
        <w:rPr>
          <w:rFonts w:ascii="Times New Roman" w:cs="Times New Roman" w:eastAsia="Times New Roman" w:hAnsi="Times New Roman"/>
          <w:sz w:val="18"/>
          <w:szCs w:val="18"/>
          <w:color w:val="auto"/>
        </w:rPr>
        <w:t>In 2011, Private Tempest adopted the 2011 Equity Incentive Plan (the “2011 Plan), and in 2017, Private Tempest adopted the 2017 Equity Incentive Plan (the “2017 Plan”), and together with the 2011 Plan, “the Tempest Equity Plans”. Upon adoption of the 2017 Plan, the 2011 Plan was terminated.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Millendo adopted the 2019 Equity Incentive Plan (the “2019 Plan”) on April 29, 2019, subject to approval by the Company’s stockholders, and became effective with such stockholder approval on June 11, 2019. As a result of the merger, the Tempest Equity Plans were assumed by the Company. The number of shares of the Company's common stock reserved for issuance under the 2019 Plan will automatically increase on January 1st of each year, for a period of 10 years, from January 1, 2020 continuing through January 1, 2029, by 4% of the total number of shares of the Company's common stock outstanding on December 31 of the preceding calendar year, or a lesser number of shares as may be determined by the Board of Directors.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17, 2022, the Company’s stockholders approved the Amended and Restated 2019 Equity Incentive Plan (the “A&amp;R 2019 Plan”), which amends and restates the 2019 Plan and will be a successor to, and replacement of, the 2019 Plan. The A&amp;R 2019 Plan had been adopted by the Company’s Board of Directors and one of the material changes was to increase the number of shares available for issuance by 1,132,252. The A&amp;R 2019 Plan still includes the annual evergreen provision of automatically increasing on January 1st of each year the number of option shares available for issuance by 4% of the total number of shares of the Company's common stock outstanding on December 31 of the preceding calendar year, or a lesser number of shares as may be determined by the Board of Directors. On January 1, 2023, the common stock reserved for issuance was increased by 420,742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the 2017 Plan and the A&amp;R 2019 Plan allow the Company to grant stock awards to employees, directors and consultants of the Company, including incentive stock options (“ISOs”), nonqualified stock options (“NSOs”), stock appreciation rights, restricted stock awards, restricted stock unit awards and other stock awards. The Company measures employee and non-employee stock-based awards at grant date fair value and records compensation expense on a straight-line basis over the vesting period of the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 total of 1,039,010 shares are available for future grant under the 2017 Plan and A&amp;R 2019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Millendo adopted the 2019 Employee Stock Purchase Plan on April 29, 2019, which became effective upon such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500,000 shares of Common Stock, or (iii) such lesser number of shares of Common Stock as determined by the Board of Directors (which may be zero). On January 1, 2023, the common stock reserved for issuance was increased by 157,778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137,097 shares of common stock remained available for future issuance under the 2019 ESPP. As of December 31, 2022, 6,120 shares of common stock had been issued under the 2019 ESPP during the 12 months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both"/>
        <w:spacing w:after="0" w:line="261" w:lineRule="auto"/>
        <w:rPr>
          <w:sz w:val="20"/>
          <w:szCs w:val="20"/>
          <w:color w:val="auto"/>
        </w:rPr>
      </w:pPr>
      <w:r>
        <w:rPr>
          <w:rFonts w:ascii="Times New Roman" w:cs="Times New Roman" w:eastAsia="Times New Roman" w:hAnsi="Times New Roman"/>
          <w:sz w:val="18"/>
          <w:szCs w:val="18"/>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merger, the grant date fair market value of the shares of common stock underlying stock options has historically been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stock option activities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Total Options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00" w:type="dxa"/>
            <w:vAlign w:val="bottom"/>
          </w:tcPr>
          <w:p>
            <w:pPr>
              <w:spacing w:after="0"/>
              <w:rPr>
                <w:sz w:val="18"/>
                <w:szCs w:val="18"/>
                <w:color w:val="auto"/>
              </w:rPr>
            </w:pPr>
          </w:p>
        </w:tc>
      </w:tr>
      <w:tr>
        <w:trPr>
          <w:trHeight w:val="245"/>
        </w:trPr>
        <w:tc>
          <w:tcPr>
            <w:tcW w:w="5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Pr>
          <w:p>
            <w:pPr>
              <w:spacing w:after="0"/>
              <w:rPr>
                <w:sz w:val="21"/>
                <w:szCs w:val="2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Balance—December 31, 2020</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452,165</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FF0FC"/>
          </w:tcPr>
          <w:p>
            <w:pPr>
              <w:spacing w:after="0"/>
              <w:rPr>
                <w:sz w:val="21"/>
                <w:szCs w:val="21"/>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Assumed in reverse recapitalization</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177,591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w:t>
            </w:r>
          </w:p>
        </w:tc>
        <w:tc>
          <w:tcPr>
            <w:tcW w:w="100" w:type="dxa"/>
            <w:vAlign w:val="bottom"/>
          </w:tcPr>
          <w:p>
            <w:pPr>
              <w:spacing w:after="0"/>
              <w:rPr>
                <w:sz w:val="20"/>
                <w:szCs w:val="20"/>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307,529</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FF0FC"/>
          </w:tcPr>
          <w:p>
            <w:pPr>
              <w:spacing w:after="0"/>
              <w:rPr>
                <w:sz w:val="21"/>
                <w:szCs w:val="21"/>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(33,127 )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0"/>
                <w:szCs w:val="20"/>
                <w:color w:val="auto"/>
              </w:rPr>
            </w:pPr>
          </w:p>
        </w:tc>
      </w:tr>
      <w:tr>
        <w:trPr>
          <w:trHeight w:val="243"/>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Cancelled and forfeited</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(113,521 )</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shd w:val="clear" w:color="auto" w:fill="CFF0FC"/>
          </w:tcPr>
          <w:p>
            <w:pPr>
              <w:spacing w:after="0"/>
              <w:rPr>
                <w:sz w:val="21"/>
                <w:szCs w:val="21"/>
                <w:color w:val="auto"/>
              </w:rPr>
            </w:pPr>
          </w:p>
        </w:tc>
      </w:tr>
      <w:tr>
        <w:trPr>
          <w:trHeight w:val="237"/>
        </w:trPr>
        <w:tc>
          <w:tcPr>
            <w:tcW w:w="5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12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790,637</w:t>
            </w:r>
          </w:p>
        </w:tc>
        <w:tc>
          <w:tcPr>
            <w:tcW w:w="20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00" w:type="dxa"/>
            <w:vAlign w:val="bottom"/>
            <w:tcBorders>
              <w:top w:val="single" w:sz="8" w:color="CFF0FC"/>
            </w:tcBorders>
          </w:tcPr>
          <w:p>
            <w:pPr>
              <w:spacing w:after="0"/>
              <w:rPr>
                <w:sz w:val="20"/>
                <w:szCs w:val="20"/>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909,527</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21"/>
                <w:szCs w:val="21"/>
                <w:color w:val="auto"/>
              </w:rPr>
            </w:pPr>
          </w:p>
        </w:tc>
      </w:tr>
      <w:tr>
        <w:trPr>
          <w:trHeight w:val="239"/>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Cancelled and forfeited</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(147,123 )</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shd w:val="clear" w:color="auto" w:fill="CFF0FC"/>
          </w:tcPr>
          <w:p>
            <w:pPr>
              <w:spacing w:after="0"/>
              <w:rPr>
                <w:sz w:val="21"/>
                <w:szCs w:val="21"/>
                <w:color w:val="auto"/>
              </w:rPr>
            </w:pPr>
          </w:p>
        </w:tc>
      </w:tr>
      <w:tr>
        <w:trPr>
          <w:trHeight w:val="236"/>
        </w:trPr>
        <w:tc>
          <w:tcPr>
            <w:tcW w:w="5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Balance—December 31, 2022</w:t>
            </w:r>
          </w:p>
        </w:tc>
        <w:tc>
          <w:tcPr>
            <w:tcW w:w="12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0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1,553,041</w:t>
            </w:r>
          </w:p>
        </w:tc>
        <w:tc>
          <w:tcPr>
            <w:tcW w:w="20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top w:val="single" w:sz="8" w:color="CFF0FC"/>
            </w:tcBorders>
          </w:tcPr>
          <w:p>
            <w:pPr>
              <w:spacing w:after="0"/>
              <w:rPr>
                <w:sz w:val="20"/>
                <w:szCs w:val="20"/>
                <w:color w:val="auto"/>
              </w:rPr>
            </w:pPr>
          </w:p>
        </w:tc>
      </w:tr>
      <w:tr>
        <w:trPr>
          <w:trHeight w:val="20"/>
        </w:trPr>
        <w:tc>
          <w:tcPr>
            <w:tcW w:w="7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5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8"/>
                <w:szCs w:val="18"/>
                <w:color w:val="auto"/>
              </w:rPr>
            </w:pPr>
          </w:p>
        </w:tc>
      </w:tr>
      <w:tr>
        <w:trPr>
          <w:trHeight w:val="245"/>
        </w:trPr>
        <w:tc>
          <w:tcPr>
            <w:tcW w:w="5700" w:type="dxa"/>
            <w:vAlign w:val="bottom"/>
          </w:tcPr>
          <w:p>
            <w:pPr>
              <w:spacing w:after="0"/>
              <w:rPr>
                <w:sz w:val="21"/>
                <w:szCs w:val="21"/>
                <w:color w:val="auto"/>
              </w:rPr>
            </w:pPr>
          </w:p>
        </w:tc>
        <w:tc>
          <w:tcPr>
            <w:tcW w:w="12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0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1"/>
                <w:szCs w:val="2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1,553,041</w:t>
            </w:r>
          </w:p>
        </w:tc>
        <w:tc>
          <w:tcPr>
            <w:tcW w:w="240" w:type="dxa"/>
            <w:vAlign w:val="bottom"/>
            <w:shd w:val="clear" w:color="auto" w:fill="CFF0FC"/>
          </w:tcPr>
          <w:p>
            <w:pPr>
              <w:spacing w:after="0"/>
              <w:rPr>
                <w:sz w:val="21"/>
                <w:szCs w:val="21"/>
                <w:color w:val="auto"/>
              </w:rPr>
            </w:pPr>
          </w:p>
        </w:tc>
        <w:tc>
          <w:tcPr>
            <w:tcW w:w="1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1,553,041</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40" w:type="dxa"/>
            <w:vAlign w:val="bottom"/>
          </w:tcPr>
          <w:p>
            <w:pPr>
              <w:spacing w:after="0"/>
              <w:rPr>
                <w:sz w:val="20"/>
                <w:szCs w:val="20"/>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473,471</w:t>
            </w:r>
          </w:p>
        </w:tc>
        <w:tc>
          <w:tcPr>
            <w:tcW w:w="1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-2399665</wp:posOffset>
            </wp:positionV>
            <wp:extent cx="6858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-1773555</wp:posOffset>
            </wp:positionV>
            <wp:extent cx="685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granted employees and non-employees stock options to purchase 909,527 and 307,529 shares of common stock with a weighted-average grant date fair value of $2.82 and $16.78 per share, respectively. As of December 31, 2022 and 2021, total unrecognized compensation costs related to unvested employee stock options were $4,012 and $3,341, respectively. These costs are expected to be recognized over a weighted-average period of approximately 2.6 years and 1.4 years,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years ended December 31, 2022 and 2021:</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45"/>
        </w:trPr>
        <w:tc>
          <w:tcPr>
            <w:tcW w:w="7680" w:type="dxa"/>
            <w:vAlign w:val="bottom"/>
          </w:tcPr>
          <w:p>
            <w:pPr>
              <w:spacing w:after="0"/>
              <w:rPr>
                <w:sz w:val="21"/>
                <w:szCs w:val="21"/>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5.5 - 6.1</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5.7 - 6.1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- 112%</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- 69%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- 3.9%</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 - 1.3%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84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w w:val="90"/>
              </w:rPr>
              <w:t>— %</w:t>
            </w:r>
          </w:p>
        </w:tc>
      </w:tr>
    </w:tbl>
    <w:p>
      <w:pPr>
        <w:spacing w:after="0" w:line="202"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—The expected term of options granted represents the period of time that the options are expected to be outstanding. Due to the lack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exercise history, the expected term of the Company’s employee stock options has been determined utilizing the simplified method for awards that qualify as plain-vanilla options.</w:t>
      </w:r>
    </w:p>
    <w:p>
      <w:pPr>
        <w:spacing w:after="0" w:line="17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—The expected stock price volatility assumption was determined by examining the historical volatilities for industry peers,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71"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instruments whose term was consistent with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of the Company’s stock options.</w:t>
      </w:r>
    </w:p>
    <w:p>
      <w:pPr>
        <w:spacing w:after="0" w:line="155"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—The Company has not paid any cash dividends on common stock since inception and does not anticipate paying any dividends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foreseeable future. Consequently, an expected dividend yield of zero was used.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consolidated statements of operations for the years ended December 31,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40" w:type="dxa"/>
            <w:vAlign w:val="bottom"/>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r>
      <w:tr>
        <w:trPr>
          <w:trHeight w:val="277"/>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There was no provision for income taxes for the years ended December 31, 2022 and 2021, because the Company has incurred losses since inception. At December 31, 2022 and 2021 the Company concluded it was not more likely than not that it would realize its deferred tax assets, and therefore has recorded a full valuation allowance.</w:t>
      </w:r>
    </w:p>
    <w:p>
      <w:pPr>
        <w:spacing w:after="0" w:line="17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income tax provision (benefit) related to continuing operations differ from the amounts computed by applying the statutory income tax rate of 21% to pre-tax loss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4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U.S. federal provision (benefit)</w:t>
            </w:r>
          </w:p>
        </w:tc>
        <w:tc>
          <w:tcPr>
            <w:tcW w:w="3340" w:type="dxa"/>
            <w:vAlign w:val="bottom"/>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statutory rate</w:t>
            </w:r>
          </w:p>
        </w:tc>
        <w:tc>
          <w:tcPr>
            <w:tcW w:w="45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(7,497 )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(5,906 )</w:t>
            </w: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3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(2,733 )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(3,887 )</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(1,173 )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(767 )</w:t>
            </w: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3340" w:type="dxa"/>
            <w:vAlign w:val="bottom"/>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40" w:type="dxa"/>
            <w:vAlign w:val="bottom"/>
          </w:tcPr>
          <w:p>
            <w:pPr>
              <w:spacing w:after="0"/>
              <w:rPr>
                <w:sz w:val="20"/>
                <w:szCs w:val="20"/>
                <w:color w:val="auto"/>
              </w:rPr>
            </w:pP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340" w:type="dxa"/>
            <w:vAlign w:val="bottom"/>
            <w:vMerge w:val="restart"/>
          </w:tcPr>
          <w:p>
            <w:pPr>
              <w:jc w:val="right"/>
              <w:ind w:right="1430"/>
              <w:spacing w:after="0"/>
              <w:rPr>
                <w:sz w:val="20"/>
                <w:szCs w:val="20"/>
                <w:color w:val="auto"/>
              </w:rPr>
            </w:pPr>
            <w:r>
              <w:rPr>
                <w:rFonts w:ascii="Times New Roman" w:cs="Times New Roman" w:eastAsia="Times New Roman" w:hAnsi="Times New Roman"/>
                <w:sz w:val="18"/>
                <w:szCs w:val="18"/>
                <w:color w:val="auto"/>
              </w:rPr>
              <w:t>108</w:t>
            </w: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9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47" w:right="2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at December 31, 2022 and 2022 are shown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131,346</w:t>
            </w:r>
          </w:p>
        </w:tc>
        <w:tc>
          <w:tcPr>
            <w:tcW w:w="3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125,111</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18,122</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R&amp;D</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2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158,990</w:t>
            </w:r>
          </w:p>
        </w:tc>
        <w:tc>
          <w:tcPr>
            <w:tcW w:w="34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147,940</w:t>
            </w:r>
          </w:p>
        </w:tc>
        <w:tc>
          <w:tcPr>
            <w:tcW w:w="100" w:type="dxa"/>
            <w:vAlign w:val="bottom"/>
            <w:tcBorders>
              <w:top w:val="single" w:sz="8" w:color="CFF0FC"/>
            </w:tcBorders>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5"/>
              </w:rPr>
              <w:t>(155,514 )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(146,933 )</w:t>
            </w:r>
          </w:p>
        </w:tc>
      </w:tr>
      <w:tr>
        <w:trPr>
          <w:trHeight w:val="236"/>
        </w:trPr>
        <w:tc>
          <w:tcPr>
            <w:tcW w:w="72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3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Borders>
              <w:top w:val="single" w:sz="8" w:color="CFF0FC"/>
            </w:tcBorders>
          </w:tcPr>
          <w:p>
            <w:pPr>
              <w:spacing w:after="0"/>
              <w:rPr>
                <w:sz w:val="20"/>
                <w:szCs w:val="20"/>
                <w:color w:val="auto"/>
              </w:rPr>
            </w:pPr>
          </w:p>
        </w:tc>
      </w:tr>
      <w:tr>
        <w:trPr>
          <w:trHeight w:val="23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1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(3,476 )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(903 )</w:t>
            </w: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(104 )</w:t>
            </w:r>
          </w:p>
        </w:tc>
      </w:tr>
      <w:tr>
        <w:trPr>
          <w:trHeight w:val="20"/>
        </w:trPr>
        <w:tc>
          <w:tcPr>
            <w:tcW w:w="7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10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(3,476 )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(1,007 )</w:t>
            </w:r>
          </w:p>
        </w:tc>
      </w:tr>
      <w:tr>
        <w:trPr>
          <w:trHeight w:val="277"/>
        </w:trPr>
        <w:tc>
          <w:tcPr>
            <w:tcW w:w="7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100" w:type="dxa"/>
            <w:vAlign w:val="bottom"/>
            <w:tcBorders>
              <w:top w:val="single" w:sz="8" w:color="auto"/>
              <w:bottom w:val="single" w:sz="8" w:color="auto"/>
            </w:tcBorders>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-1302385</wp:posOffset>
            </wp:positionV>
            <wp:extent cx="6858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-985520</wp:posOffset>
            </wp:positionV>
            <wp:extent cx="6858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-351155</wp:posOffset>
            </wp:positionV>
            <wp:extent cx="6858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tax assets and valuation allowance increased by $8.6 million from December 31, 2021 to December 31, 2022 due primarily to the generation of net operating losses and research and development credits.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has net operating loss carryforwards for federal and state income tax purposes of approximately $466.0 million and $434.4 million, respectively. As of December 31, 2021, the Company has net operating loss carryforwards for federal and state income tax purposes of approximately $452.4 million and $394.1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federal and state net operating loss carryforwards begin to expire in 2031 and 2022, respectively, if not utilized. Federal net operating losses of $244.8 million are not subject to expiration.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has federal and state research and development carryforwards of approximately $11.7 million and $3.6 million, respectively. The Company also has $7.4 million of Orphan Drug Credit. As of December 31, 2021, the Company has federal and state research and development carryforwards of approximately $10.2 million and $3.2 million, respectively. The federal and state credits begin to expire in 2031 and 2029, respectively, if not utilized; $2.5 million of the state credits can be carried forward indefinitely.</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Utilization of some of the federal and state net operating loss and credit carryforwards may be subject to annual limitations due to the “change in ownership” provisions of the Internal Revenue Code of 1986 and similar state provisions. The annual limitations may result in the expiration of net operating losses and credits before utilization. The Company has not performed a Section 382 study as of December 31, 2022. At least $455.8 thousand of legacy Millendo federal net operating losses are expected to expire unused due to prior ownership changes.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activity relating to unrecognized tax benefits as of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30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28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FF0FC"/>
          </w:tcPr>
          <w:p>
            <w:pPr>
              <w:spacing w:after="0"/>
              <w:rPr>
                <w:sz w:val="21"/>
                <w:szCs w:val="2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 - tax positions in prior periods</w:t>
            </w:r>
          </w:p>
        </w:tc>
        <w:tc>
          <w:tcPr>
            <w:tcW w:w="3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decrease - tax positions in prior periods</w:t>
            </w:r>
          </w:p>
        </w:tc>
        <w:tc>
          <w:tcPr>
            <w:tcW w:w="3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 - tax position in current period</w:t>
            </w:r>
          </w:p>
        </w:tc>
        <w:tc>
          <w:tcPr>
            <w:tcW w:w="3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Lapses in statutes of limitations</w:t>
            </w:r>
          </w:p>
        </w:tc>
        <w:tc>
          <w:tcPr>
            <w:tcW w:w="33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3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0"/>
        </w:trPr>
        <w:tc>
          <w:tcPr>
            <w:tcW w:w="4400" w:type="dxa"/>
            <w:vAlign w:val="bottom"/>
          </w:tcPr>
          <w:p>
            <w:pPr>
              <w:spacing w:after="0"/>
              <w:rPr>
                <w:sz w:val="24"/>
                <w:szCs w:val="24"/>
                <w:color w:val="auto"/>
              </w:rPr>
            </w:pPr>
          </w:p>
        </w:tc>
        <w:tc>
          <w:tcPr>
            <w:tcW w:w="3300" w:type="dxa"/>
            <w:vAlign w:val="bottom"/>
          </w:tcPr>
          <w:p>
            <w:pPr>
              <w:jc w:val="right"/>
              <w:ind w:right="1850"/>
              <w:spacing w:after="0"/>
              <w:rPr>
                <w:sz w:val="20"/>
                <w:szCs w:val="20"/>
                <w:color w:val="auto"/>
              </w:rPr>
            </w:pPr>
            <w:r>
              <w:rPr>
                <w:rFonts w:ascii="Times New Roman" w:cs="Times New Roman" w:eastAsia="Times New Roman" w:hAnsi="Times New Roman"/>
                <w:sz w:val="18"/>
                <w:szCs w:val="18"/>
                <w:color w:val="auto"/>
              </w:rPr>
              <w:t>109</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40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-445135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-427990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2" w:name="page113"/>
    <w:bookmarkEnd w:id="112"/>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and 2021, none of the unrecognized tax benefits would impact the Company's effective tax rate due to the valuation allowance. The Company does not anticipate the uncertain tax positions will materially change in the next 12 months. The Company’s practice is to recognize interest and penalties related to income tax matters in income tax expense. The Company had no accrual for interest and penalties on the accompanying consolidated balance sheets as of December 31, 2022 and 2021, respectively, and has not recognized penalties and interest in the accompanying statements of operations for the years ended December 31, 2022 and 2021,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California, Massachusetts, and Michigan. The Company’s tax years from inception are subject to examination by the IRS and state tax authorities due to the carryforward of unutilized net operating losses and research and development credits.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RETIREMENT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year ended December 31, 2022, the Company contributed $126 to the 401(k) Plan. There was no contribution from the Company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years ended December 31, 2022 and 2021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tcBorders>
              <w:bottom w:val="single" w:sz="8" w:color="CCEEFF"/>
            </w:tcBorders>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(35,709 )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(28,302 )</w:t>
            </w: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11,548,907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3,799,392</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Weighted-average unvested restricted shares and shares subject to repurchase</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(9,089 )</w:t>
            </w:r>
          </w:p>
        </w:tc>
      </w:tr>
      <w:tr>
        <w:trPr>
          <w:trHeight w:val="237"/>
        </w:trPr>
        <w:tc>
          <w:tcPr>
            <w:tcW w:w="7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net loss per share</w:t>
            </w: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11,548,907</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3,790,303</w:t>
            </w:r>
          </w:p>
        </w:tc>
        <w:tc>
          <w:tcPr>
            <w:tcW w:w="100" w:type="dxa"/>
            <w:vAlign w:val="bottom"/>
            <w:tcBorders>
              <w:top w:val="single" w:sz="8" w:color="CFF0FC"/>
            </w:tcBorders>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52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15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r>
      <w:tr>
        <w:trPr>
          <w:trHeight w:val="263"/>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stockholders—basic and diluted</w:t>
            </w:r>
          </w:p>
        </w:tc>
        <w:tc>
          <w:tcPr>
            <w:tcW w:w="20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(7.47 )</w:t>
            </w: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-522605</wp:posOffset>
            </wp:positionV>
            <wp:extent cx="68580" cy="3429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3429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and 2021,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have been included in the computation of basic and diluted net loss per share attributable to common stockholders. Based on the amounts outstanding as of December 31, 2022 and 2021, the Company excluded the following potential common shares from the computation of diluted net loss per share attributable to common stockholders because including them would have had an anti-dilutive effect: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20" w:type="dxa"/>
            <w:vAlign w:val="bottom"/>
          </w:tcPr>
          <w:p>
            <w:pPr>
              <w:spacing w:after="0"/>
              <w:rPr>
                <w:sz w:val="21"/>
                <w:szCs w:val="21"/>
                <w:color w:val="auto"/>
              </w:rPr>
            </w:pPr>
          </w:p>
        </w:tc>
        <w:tc>
          <w:tcPr>
            <w:tcW w:w="17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620" w:type="dxa"/>
            <w:vAlign w:val="bottom"/>
            <w:tcBorders>
              <w:top w:val="single" w:sz="8" w:color="CCEEFF"/>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0" w:type="dxa"/>
            <w:vAlign w:val="bottom"/>
            <w:shd w:val="clear" w:color="auto" w:fill="CFF0FC"/>
          </w:tcPr>
          <w:p>
            <w:pPr>
              <w:spacing w:after="0"/>
              <w:rPr>
                <w:sz w:val="21"/>
                <w:szCs w:val="21"/>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1,553,041</w:t>
            </w:r>
          </w:p>
        </w:tc>
        <w:tc>
          <w:tcPr>
            <w:tcW w:w="220" w:type="dxa"/>
            <w:vAlign w:val="bottom"/>
            <w:shd w:val="clear" w:color="auto" w:fill="CFF0FC"/>
          </w:tcPr>
          <w:p>
            <w:pPr>
              <w:spacing w:after="0"/>
              <w:rPr>
                <w:sz w:val="21"/>
                <w:szCs w:val="21"/>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790,637</w:t>
            </w:r>
          </w:p>
        </w:tc>
        <w:tc>
          <w:tcPr>
            <w:tcW w:w="100" w:type="dxa"/>
            <w:vAlign w:val="bottom"/>
            <w:shd w:val="clear" w:color="auto" w:fill="CFF0FC"/>
          </w:tcPr>
          <w:p>
            <w:pPr>
              <w:spacing w:after="0"/>
              <w:rPr>
                <w:sz w:val="21"/>
                <w:szCs w:val="2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21"/>
                <w:szCs w:val="21"/>
                <w:color w:val="auto"/>
              </w:rPr>
            </w:pPr>
          </w:p>
        </w:tc>
      </w:tr>
      <w:tr>
        <w:trPr>
          <w:trHeight w:val="272"/>
        </w:trPr>
        <w:tc>
          <w:tcPr>
            <w:tcW w:w="76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1,559,077</w:t>
            </w:r>
          </w:p>
        </w:tc>
        <w:tc>
          <w:tcPr>
            <w:tcW w:w="220" w:type="dxa"/>
            <w:vAlign w:val="bottom"/>
            <w:tcBorders>
              <w:bottom w:val="single" w:sz="8" w:color="CFF0FC"/>
            </w:tcBorders>
            <w:shd w:val="clear" w:color="auto" w:fill="CFF0FC"/>
          </w:tcPr>
          <w:p>
            <w:pPr>
              <w:spacing w:after="0"/>
              <w:rPr>
                <w:sz w:val="23"/>
                <w:szCs w:val="23"/>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796,673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3" w:name="page114"/>
    <w:bookmarkEnd w:id="113"/>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recorded, processed, summarized and reported within the time periods specified in the SEC’s rules and forms and accumulated and communicated to our management, including our principal executive and principal financial officers, or persons performing similar functions, as appropriate to allow timely decisions regarding required disclosure.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Vice-President, Strategy and Finance (principal financial officer), evaluated the effectiveness of our disclosure controls and procedures (as defined in the Securities Exchange Act of 1934 Rules 13a-15(e) or 15d-15(e)) as required by paragraph (b) of Exchange Act Rules 13a-15 or 15d-15, as of December 31, 2022. Based on the evaluation of our disclosure controls and procedures as of December 31, 2022, our Chief Executive Officer and Vice-President, Strategy and Finance concluded that, as of such date, our disclosure controls and procedures were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w:t>
      </w:r>
    </w:p>
    <w:p>
      <w:pPr>
        <w:spacing w:after="0" w:line="27" w:lineRule="exact"/>
        <w:rPr>
          <w:sz w:val="20"/>
          <w:szCs w:val="20"/>
          <w:color w:val="auto"/>
        </w:rPr>
      </w:pPr>
    </w:p>
    <w:p>
      <w:pPr>
        <w:jc w:val="both"/>
        <w:ind w:firstLine="8"/>
        <w:spacing w:after="0" w:line="253" w:lineRule="auto"/>
        <w:tabs>
          <w:tab w:leader="none" w:pos="2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Internal control over financial reporting is a process designed to provide reasonable assurance regarding the reliability of financial reporting and the preparation of financial statements for external reporting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2022. In making this assessment, management used the criteria set forth by the Committee of Sponsoring organizations of the Treadway Commission (COSO) in Internal Control – Integrated Framework (2013). Based on that assessment, our management concluded that, as of December 31, 2022, our internal control over financial reporting was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Reported Material Weakness and Remediation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preparing the financial statements as of and for the year ended December 31, 2020, our management identified material weaknesses in its internal control over financial reporting. The material weaknesses identified were as follows:</w:t>
      </w:r>
    </w:p>
    <w:p>
      <w:pPr>
        <w:spacing w:after="0" w:line="162" w:lineRule="exact"/>
        <w:rPr>
          <w:sz w:val="20"/>
          <w:szCs w:val="20"/>
          <w:color w:val="auto"/>
        </w:rPr>
      </w:pPr>
    </w:p>
    <w:p>
      <w:pPr>
        <w:ind w:left="1500" w:right="60" w:hanging="690"/>
        <w:spacing w:after="0" w:line="282" w:lineRule="auto"/>
        <w:tabs>
          <w:tab w:leader="none" w:pos="11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material weakness in our internal control environment over financial reporting as a result of insufficient resources with appropriate knowledge and expertise to design, implement, document and operate effective internal controls over financial reporting.</w:t>
      </w:r>
    </w:p>
    <w:p>
      <w:pPr>
        <w:spacing w:after="0" w:line="161" w:lineRule="exact"/>
        <w:rPr>
          <w:rFonts w:ascii="Times New Roman" w:cs="Times New Roman" w:eastAsia="Times New Roman" w:hAnsi="Times New Roman"/>
          <w:sz w:val="18"/>
          <w:szCs w:val="18"/>
          <w:color w:val="auto"/>
        </w:rPr>
      </w:pPr>
    </w:p>
    <w:p>
      <w:pPr>
        <w:ind w:left="1500" w:hanging="690"/>
        <w:spacing w:after="0" w:line="266" w:lineRule="auto"/>
        <w:tabs>
          <w:tab w:leader="none" w:pos="11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 material weakness in our internal control activities due to a failure in design and implementation of controls to review clinical trial expenses, including the evaluation of the terms of clinical trial contracts. Specifically, we failed to properly review and evaluate progress of expense incurred in clinical trial contracts which resulted in the inaccurate actual of its clinical trial expenses.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completed the remediation of the previously identified material weaknesses described above during the year ended December 31, 2022. Remedial actions include adjustments to the methodology used to reflect clinical trial expenses in our financial statements. In addition, management also (i) hired additional accounting personnel with appropriate experience, certification, education and training to help design, implement, document and operate effective internal controls over financial reporting; and (ii) with the assistance of such personnel, finalized our internal control design and implemented management review controls to review clinical trial expenses and the completeness of our reserves based on the status of clinical development and the progress of expense incurred.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and therefore our independent registered public accounting firm has not issued a report on the effectiveness of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remediation measures discussed above, there were no changes in internal control over financial reporting during the quarter ended December 31, 2022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our Directors required by this item will be contained in our 2023 Proxy Statement under the caption “Information Regarding Director Nominees and Continuing Directors,” and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our Executive Officers required by this item will be contained in our 2023 Proxy Statement under the caption “Executive Officers,” and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of Audit Committee and Financial Experts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our Audit Committee and Financial Experts required by this item will be contained in our 2023 Proxy Statement under the caption “Information Regarding the Board of Directors and Corporate Governance—Audit Committee,” and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to Procedures for Recommending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our Procedures for Recommending Directors required by this item will be contained in our 2023 Proxy Statement under the caption “Information Regarding the Board of Directors and Corporate Governance—Nominating and Corporate Governance Committee,” and is hereby incorporated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Information regarding our Code of Business Conduct and Ethics (the “Code of Conduct”) required by this item will be contained in our 2023 Proxy Statement under the caption “Information Regarding the Board of Directors and Corporate Governance—Code of Ethics,” and is hereby incorporated by reference. If we make any substantive amendments to the Code of Conduct or grant any waiver from a provision of the Code of Conduct to any executive officer or director, we will promptly disclose the nature of the amendment or waiver on its website. The full text of our Code of Conduct is available at the investors section of our website at </w:t>
      </w:r>
      <w:r>
        <w:rPr>
          <w:rFonts w:ascii="Times New Roman" w:cs="Times New Roman" w:eastAsia="Times New Roman" w:hAnsi="Times New Roman"/>
          <w:sz w:val="18"/>
          <w:szCs w:val="18"/>
          <w:i w:val="1"/>
          <w:iCs w:val="1"/>
          <w:color w:val="auto"/>
        </w:rPr>
        <w:t>www.tempesttx.com.</w:t>
      </w:r>
      <w:r>
        <w:rPr>
          <w:rFonts w:ascii="Times New Roman" w:cs="Times New Roman" w:eastAsia="Times New Roman" w:hAnsi="Times New Roman"/>
          <w:sz w:val="18"/>
          <w:szCs w:val="18"/>
          <w:color w:val="auto"/>
        </w:rPr>
        <w:t xml:space="preserve"> The reference to our website address does not constitute incorporation by reference of the information contained at or available through our website, and you should not consider it to be a part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compliance with Section 16(a) of the Exchange Act required by this item will be contained in our 2023 Proxy Statement under the caption “Security Ownership of Certain Beneficial Owners and Management—Delinquent Section 16(A) Reports,” if any, and is hereby incorporated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Information regarding our Executive Compensation required by this item will be contained in our 2023 Proxy Statement under the caption “Executive and Director Compensation,” and is hereby incorporated by reference.</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Ownership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our Ownership of Securities required by this item will be contained in our 2023 Proxy Statement under the caption “Security Ownership of Certain Beneficial Owners and Management,” and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 required by this item will be contained in our 2023 Proxy Statement under the caption “Equity Compensation Plan Information,” and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Information regarding Related Transactions and Director Independence required by this item will be contained in our 2023 Proxy Statement under the caption “Transactions with Related Persons and Indemnification,” and “Information Regarding the Board of Directors and Corporate Governance – Independence of the Board of Directors,” and is hereby incorporated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Information regarding Accounting Fees and Services required by this item will be contained in our 2023 Proxy Statement in Proposal 3 under the captions “—Principal Accountant Fees and Services” and “—Pre-Approval Policies and Procedures,” and is hereby incorporated by reference.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(a)(1)</w:t>
        <w:tab/>
        <w:t>Financial Statements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financial statements are included in Item 8. “Financial Statements and Supplementary Data.”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(a)(2)</w:t>
        <w:tab/>
        <w:t>Financial Statement Schedules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schedules are omitted as information required is inapplicable or the information is presented in the financial statements and the related notes.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(a)(3)</w:t>
        <w:tab/>
        <w:t>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78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8"/>
        </w:trPr>
        <w:tc>
          <w:tcPr>
            <w:tcW w:w="10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1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10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gridSpan w:val="17"/>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3"/>
        </w:trPr>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Agreement and Plan of Merger, dated as of March 29, 2021, by and among Tempest Therapeutics,</w:t>
              </w:r>
            </w:hyperlink>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3/29/2021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3280" w:type="dxa"/>
            <w:vAlign w:val="bottom"/>
            <w:tcBorders>
              <w:top w:val="single" w:sz="8" w:color="0000FF"/>
              <w:bottom w:val="single" w:sz="8" w:color="0000EE"/>
            </w:tcBorders>
            <w:gridSpan w:val="12"/>
          </w:tcPr>
          <w:p>
            <w:pPr>
              <w:spacing w:after="0" w:line="129" w:lineRule="exact"/>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Inc., Mars Merger Corp. and Tempest Therapeutics, Inc.</w:t>
              </w:r>
            </w:hyperlink>
          </w:p>
        </w:tc>
        <w:tc>
          <w:tcPr>
            <w:tcW w:w="242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Restated Certificate of Incorporation of the Registrant, as amended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5/15/2019</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Certificate of Amendment to the Restated Certificate of Incorporation of the Company, as filed</w:t>
              </w:r>
            </w:hyperlink>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6/28/2021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552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with the Secretary of State of the State of Delaware on June 24, 2021</w:t>
              </w:r>
            </w:hyperlink>
          </w:p>
        </w:tc>
        <w:tc>
          <w:tcPr>
            <w:tcW w:w="4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Certificate of Amendment to the Restated Certificate of Incorporation of the Company, as filed</w:t>
              </w:r>
            </w:hyperlink>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6/28/2021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552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with the Secretary of State of the State of Delaware on June 25, 2021</w:t>
              </w:r>
            </w:hyperlink>
          </w:p>
        </w:tc>
        <w:tc>
          <w:tcPr>
            <w:tcW w:w="4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Amended and Restated Bylaws of the Registrant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9/24/2021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Description of Securities Registered Pursuant to Section 12 of the Securities Exchange Act of 1934</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10-K/A</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4/1/2022</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Form of Tempest Therapeutics, Inc. Warrant to Purchase Stock</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S-4/A</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333-255198</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64">
              <w:r>
                <w:rPr>
                  <w:rFonts w:ascii="Times New Roman" w:cs="Times New Roman" w:eastAsia="Times New Roman" w:hAnsi="Times New Roman"/>
                  <w:sz w:val="14"/>
                  <w:szCs w:val="14"/>
                  <w:color w:val="0000FF"/>
                </w:rPr>
                <w:t>Form of Pre-Funded Warrant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5/2/2022</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10.1</w:t>
            </w:r>
            <w:r>
              <w:rPr>
                <w:rFonts w:ascii="Times New Roman" w:cs="Times New Roman" w:eastAsia="Times New Roman" w:hAnsi="Times New Roman"/>
                <w:sz w:val="19"/>
                <w:szCs w:val="19"/>
                <w:color w:val="auto"/>
                <w:w w:val="94"/>
                <w:vertAlign w:val="superscript"/>
              </w:rPr>
              <w:t>+</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5800" w:type="dxa"/>
            <w:vAlign w:val="bottom"/>
            <w:gridSpan w:val="26"/>
          </w:tcPr>
          <w:p>
            <w:pPr>
              <w:spacing w:after="0"/>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2011 Equity Incentive Plan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333-257727</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10.2</w:t>
            </w:r>
            <w:r>
              <w:rPr>
                <w:rFonts w:ascii="Times New Roman" w:cs="Times New Roman" w:eastAsia="Times New Roman" w:hAnsi="Times New Roman"/>
                <w:sz w:val="19"/>
                <w:szCs w:val="19"/>
                <w:color w:val="auto"/>
                <w:w w:val="94"/>
                <w:vertAlign w:val="superscript"/>
              </w:rPr>
              <w:t>+</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5800" w:type="dxa"/>
            <w:vAlign w:val="bottom"/>
            <w:gridSpan w:val="26"/>
          </w:tcPr>
          <w:p>
            <w:pPr>
              <w:spacing w:after="0"/>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2017 Equity Incentive Plan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333-257727</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7/7/2021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10.3</w:t>
            </w:r>
            <w:r>
              <w:rPr>
                <w:rFonts w:ascii="Times New Roman" w:cs="Times New Roman" w:eastAsia="Times New Roman" w:hAnsi="Times New Roman"/>
                <w:sz w:val="19"/>
                <w:szCs w:val="19"/>
                <w:color w:val="auto"/>
                <w:w w:val="94"/>
                <w:vertAlign w:val="superscript"/>
              </w:rPr>
              <w:t>+</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5800" w:type="dxa"/>
            <w:vAlign w:val="bottom"/>
            <w:gridSpan w:val="26"/>
          </w:tcPr>
          <w:p>
            <w:pPr>
              <w:spacing w:after="0"/>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Form of Stock Option Agreement under the 2017 Equity Incentive Plan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3/29/2022</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10.13</w:t>
            </w:r>
            <w:r>
              <w:rPr>
                <w:rFonts w:ascii="Times New Roman" w:cs="Times New Roman" w:eastAsia="Times New Roman" w:hAnsi="Times New Roman"/>
                <w:sz w:val="19"/>
                <w:szCs w:val="19"/>
                <w:color w:val="auto"/>
                <w:w w:val="98"/>
                <w:vertAlign w:val="superscript"/>
              </w:rPr>
              <w:t>+</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5800" w:type="dxa"/>
            <w:vAlign w:val="bottom"/>
            <w:gridSpan w:val="26"/>
          </w:tcPr>
          <w:p>
            <w:pPr>
              <w:spacing w:after="0"/>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Amended and Restated 2019 Equity Incentive Plan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6/21/2022</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10.14</w:t>
            </w:r>
            <w:r>
              <w:rPr>
                <w:rFonts w:ascii="Times New Roman" w:cs="Times New Roman" w:eastAsia="Times New Roman" w:hAnsi="Times New Roman"/>
                <w:sz w:val="19"/>
                <w:szCs w:val="19"/>
                <w:color w:val="auto"/>
                <w:w w:val="98"/>
                <w:vertAlign w:val="superscript"/>
              </w:rPr>
              <w:t>+</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5800" w:type="dxa"/>
            <w:vAlign w:val="bottom"/>
            <w:gridSpan w:val="26"/>
          </w:tcPr>
          <w:p>
            <w:pPr>
              <w:spacing w:after="0"/>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Form of Option Grant Package under 2019 Equity Incentive Plan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8/12/2019</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10.15</w:t>
            </w:r>
            <w:r>
              <w:rPr>
                <w:rFonts w:ascii="Times New Roman" w:cs="Times New Roman" w:eastAsia="Times New Roman" w:hAnsi="Times New Roman"/>
                <w:sz w:val="19"/>
                <w:szCs w:val="19"/>
                <w:color w:val="auto"/>
                <w:w w:val="98"/>
                <w:vertAlign w:val="superscript"/>
              </w:rPr>
              <w:t>+</w:t>
            </w: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continue"/>
          </w:tcPr>
          <w:p>
            <w:pPr>
              <w:spacing w:after="0"/>
              <w:rPr>
                <w:sz w:val="21"/>
                <w:szCs w:val="21"/>
                <w:color w:val="auto"/>
              </w:rPr>
            </w:pPr>
          </w:p>
        </w:tc>
        <w:tc>
          <w:tcPr>
            <w:tcW w:w="5800" w:type="dxa"/>
            <w:vAlign w:val="bottom"/>
            <w:gridSpan w:val="26"/>
          </w:tcPr>
          <w:p>
            <w:pPr>
              <w:spacing w:after="0"/>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Form of RSU Grant Package under 2019 Equity Incentive Plan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8/12/2019</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tcBorders>
              <w:left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10.16</w:t>
            </w:r>
            <w:r>
              <w:rPr>
                <w:rFonts w:ascii="Times New Roman" w:cs="Times New Roman" w:eastAsia="Times New Roman" w:hAnsi="Times New Roman"/>
                <w:sz w:val="19"/>
                <w:szCs w:val="19"/>
                <w:color w:val="auto"/>
                <w:w w:val="98"/>
                <w:vertAlign w:val="superscript"/>
              </w:rPr>
              <w:t>+</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Form of Stock Option Agreement under the Sub Plan for French Residents under 2019 Equity</w:t>
              </w:r>
            </w:hyperlink>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3/11/2020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84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Incentive Plan</w:t>
              </w:r>
            </w:hyperlink>
          </w:p>
        </w:tc>
        <w:tc>
          <w:tcPr>
            <w:tcW w:w="40" w:type="dxa"/>
            <w:vAlign w:val="bottom"/>
            <w:tcBorders>
              <w:top w:val="single" w:sz="8" w:color="0000FF"/>
              <w:bottom w:val="single" w:sz="8" w:color="0000EE"/>
            </w:tcBorders>
          </w:tcPr>
          <w:p>
            <w:pPr>
              <w:spacing w:after="0"/>
              <w:rPr>
                <w:sz w:val="11"/>
                <w:szCs w:val="11"/>
                <w:color w:val="auto"/>
              </w:rPr>
            </w:pPr>
          </w:p>
        </w:tc>
        <w:tc>
          <w:tcPr>
            <w:tcW w:w="4580" w:type="dxa"/>
            <w:vAlign w:val="bottom"/>
            <w:tcBorders>
              <w:top w:val="single" w:sz="8" w:color="0000FF"/>
            </w:tcBorders>
            <w:gridSpan w:val="15"/>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10.17</w:t>
            </w:r>
            <w:r>
              <w:rPr>
                <w:rFonts w:ascii="Times New Roman" w:cs="Times New Roman" w:eastAsia="Times New Roman" w:hAnsi="Times New Roman"/>
                <w:sz w:val="19"/>
                <w:szCs w:val="19"/>
                <w:color w:val="auto"/>
                <w:w w:val="98"/>
                <w:vertAlign w:val="superscript"/>
              </w:rPr>
              <w:t>+</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Form of Inducement Nonqualified Stock Option Agreement subject to the terms of the 2019 Equity</w:t>
              </w:r>
            </w:hyperlink>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3/11/2020</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84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Incentive Plan</w:t>
              </w:r>
            </w:hyperlink>
          </w:p>
        </w:tc>
        <w:tc>
          <w:tcPr>
            <w:tcW w:w="4920" w:type="dxa"/>
            <w:vAlign w:val="bottom"/>
            <w:tcBorders>
              <w:top w:val="single" w:sz="8" w:color="0000FF"/>
            </w:tcBorders>
            <w:gridSpan w:val="22"/>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10.18</w:t>
            </w:r>
            <w:r>
              <w:rPr>
                <w:rFonts w:ascii="Times New Roman" w:cs="Times New Roman" w:eastAsia="Times New Roman" w:hAnsi="Times New Roman"/>
                <w:sz w:val="19"/>
                <w:szCs w:val="19"/>
                <w:color w:val="auto"/>
                <w:w w:val="98"/>
                <w:vertAlign w:val="superscript"/>
              </w:rPr>
              <w:t>+</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Amended and Restated 2019 Employee Stock Purchase Plan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6/21/2022</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gridSpan w:val="4"/>
            <w:shd w:val="clear" w:color="auto" w:fill="0000FF"/>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Loan and Security Agreement, dated January 15, 2021, by and among Oxford Finance LLC, the</w:t>
              </w:r>
            </w:hyperlink>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S-4/A</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333-255198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5/4/2021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204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274">
              <w:r>
                <w:rPr>
                  <w:rFonts w:ascii="Times New Roman" w:cs="Times New Roman" w:eastAsia="Times New Roman" w:hAnsi="Times New Roman"/>
                  <w:sz w:val="14"/>
                  <w:szCs w:val="14"/>
                  <w:color w:val="0000FF"/>
                </w:rPr>
                <w:t>Lenders party thereto, and Tempest</w:t>
              </w:r>
            </w:hyperlink>
          </w:p>
        </w:tc>
        <w:tc>
          <w:tcPr>
            <w:tcW w:w="20" w:type="dxa"/>
            <w:vAlign w:val="bottom"/>
            <w:tcBorders>
              <w:top w:val="single" w:sz="8" w:color="0000FF"/>
              <w:bottom w:val="single" w:sz="8" w:color="0000EE"/>
            </w:tcBorders>
          </w:tcPr>
          <w:p>
            <w:pPr>
              <w:spacing w:after="0"/>
              <w:rPr>
                <w:sz w:val="11"/>
                <w:szCs w:val="11"/>
                <w:color w:val="auto"/>
              </w:rPr>
            </w:pPr>
          </w:p>
        </w:tc>
        <w:tc>
          <w:tcPr>
            <w:tcW w:w="3500" w:type="dxa"/>
            <w:vAlign w:val="bottom"/>
            <w:tcBorders>
              <w:top w:val="single" w:sz="8" w:color="0000FF"/>
            </w:tcBorders>
            <w:gridSpan w:val="14"/>
          </w:tcPr>
          <w:p>
            <w:pPr>
              <w:spacing w:after="0"/>
              <w:rPr>
                <w:sz w:val="11"/>
                <w:szCs w:val="11"/>
                <w:color w:val="auto"/>
              </w:rPr>
            </w:pPr>
          </w:p>
        </w:tc>
        <w:tc>
          <w:tcPr>
            <w:tcW w:w="240" w:type="dxa"/>
            <w:vAlign w:val="bottom"/>
            <w:gridSpan w:val="4"/>
          </w:tcPr>
          <w:p>
            <w:pPr>
              <w:spacing w:after="0"/>
              <w:rPr>
                <w:sz w:val="11"/>
                <w:szCs w:val="11"/>
                <w:color w:val="auto"/>
              </w:rPr>
            </w:pPr>
          </w:p>
        </w:tc>
        <w:tc>
          <w:tcPr>
            <w:tcW w:w="6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10.20</w:t>
            </w:r>
            <w:r>
              <w:rPr>
                <w:rFonts w:ascii="Times New Roman" w:cs="Times New Roman" w:eastAsia="Times New Roman" w:hAnsi="Times New Roman"/>
                <w:sz w:val="19"/>
                <w:szCs w:val="19"/>
                <w:color w:val="auto"/>
                <w:w w:val="98"/>
                <w:vertAlign w:val="superscript"/>
              </w:rPr>
              <w:t>+</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75">
              <w:r>
                <w:rPr>
                  <w:rFonts w:ascii="Times New Roman" w:cs="Times New Roman" w:eastAsia="Times New Roman" w:hAnsi="Times New Roman"/>
                  <w:sz w:val="14"/>
                  <w:szCs w:val="14"/>
                  <w:color w:val="0000FF"/>
                </w:rPr>
                <w:t>Form of Indemnification Agreement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7/07/2021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10.21</w:t>
            </w:r>
            <w:r>
              <w:rPr>
                <w:rFonts w:ascii="Times New Roman" w:cs="Times New Roman" w:eastAsia="Times New Roman" w:hAnsi="Times New Roman"/>
                <w:sz w:val="19"/>
                <w:szCs w:val="19"/>
                <w:color w:val="auto"/>
                <w:w w:val="98"/>
                <w:vertAlign w:val="superscript"/>
              </w:rPr>
              <w:t>+</w:t>
            </w:r>
          </w:p>
        </w:tc>
        <w:tc>
          <w:tcPr>
            <w:tcW w:w="34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60" w:type="dxa"/>
            <w:vAlign w:val="bottom"/>
            <w:gridSpan w:val="11"/>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vMerge w:val="continue"/>
          </w:tcPr>
          <w:p>
            <w:pPr>
              <w:spacing w:after="0"/>
              <w:rPr>
                <w:sz w:val="24"/>
                <w:szCs w:val="24"/>
                <w:color w:val="auto"/>
              </w:rPr>
            </w:pPr>
          </w:p>
        </w:tc>
        <w:tc>
          <w:tcPr>
            <w:tcW w:w="5800" w:type="dxa"/>
            <w:vAlign w:val="bottom"/>
            <w:gridSpan w:val="26"/>
          </w:tcPr>
          <w:p>
            <w:pPr>
              <w:spacing w:after="0"/>
              <w:rPr>
                <w:rFonts w:ascii="Times New Roman" w:cs="Times New Roman" w:eastAsia="Times New Roman" w:hAnsi="Times New Roman"/>
                <w:sz w:val="14"/>
                <w:szCs w:val="14"/>
                <w:color w:val="0000FF"/>
              </w:rPr>
            </w:pPr>
            <w:hyperlink r:id="rId276">
              <w:r>
                <w:rPr>
                  <w:rFonts w:ascii="Times New Roman" w:cs="Times New Roman" w:eastAsia="Times New Roman" w:hAnsi="Times New Roman"/>
                  <w:sz w:val="14"/>
                  <w:szCs w:val="14"/>
                  <w:color w:val="0000FF"/>
                </w:rPr>
                <w:t>Employment Agreement, dated July 7, 2021, by and between the Company and Stephen Brady</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7/07/2021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Borders>
              <w:left w:val="single" w:sz="8" w:color="0000EE"/>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120" w:type="dxa"/>
            <w:vAlign w:val="bottom"/>
            <w:tcBorders>
              <w:right w:val="single" w:sz="8" w:color="0000EE"/>
            </w:tcBorders>
            <w:gridSpan w:val="18"/>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10.22</w:t>
            </w:r>
            <w:r>
              <w:rPr>
                <w:rFonts w:ascii="Times New Roman" w:cs="Times New Roman" w:eastAsia="Times New Roman" w:hAnsi="Times New Roman"/>
                <w:sz w:val="19"/>
                <w:szCs w:val="19"/>
                <w:color w:val="auto"/>
                <w:w w:val="98"/>
                <w:vertAlign w:val="superscript"/>
              </w:rPr>
              <w:t>+</w:t>
            </w:r>
          </w:p>
        </w:tc>
        <w:tc>
          <w:tcPr>
            <w:tcW w:w="5800" w:type="dxa"/>
            <w:vAlign w:val="bottom"/>
            <w:gridSpan w:val="26"/>
          </w:tcPr>
          <w:p>
            <w:pPr>
              <w:spacing w:after="0"/>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Employment Agreement, dated July 7, 2021, by and between the Company and Thomas Dubensky,</w:t>
              </w:r>
            </w:hyperlink>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001-35890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7/07/2021</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3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277">
              <w:r>
                <w:rPr>
                  <w:rFonts w:ascii="Times New Roman" w:cs="Times New Roman" w:eastAsia="Times New Roman" w:hAnsi="Times New Roman"/>
                  <w:sz w:val="14"/>
                  <w:szCs w:val="14"/>
                  <w:color w:val="0000FF"/>
                </w:rPr>
                <w:t>Ph.D.</w:t>
              </w:r>
            </w:hyperlink>
          </w:p>
        </w:tc>
        <w:tc>
          <w:tcPr>
            <w:tcW w:w="40" w:type="dxa"/>
            <w:vAlign w:val="bottom"/>
            <w:tcBorders>
              <w:top w:val="single" w:sz="8" w:color="0000FF"/>
              <w:bottom w:val="single" w:sz="8" w:color="0000EE"/>
            </w:tcBorders>
          </w:tcPr>
          <w:p>
            <w:pPr>
              <w:spacing w:after="0"/>
              <w:rPr>
                <w:sz w:val="11"/>
                <w:szCs w:val="11"/>
                <w:color w:val="auto"/>
              </w:rPr>
            </w:pPr>
          </w:p>
        </w:tc>
        <w:tc>
          <w:tcPr>
            <w:tcW w:w="5380" w:type="dxa"/>
            <w:vAlign w:val="bottom"/>
            <w:tcBorders>
              <w:top w:val="single" w:sz="8" w:color="0000FF"/>
            </w:tcBorders>
            <w:gridSpan w:val="23"/>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8" w:name="page119"/>
    <w:bookmarkEnd w:id="118"/>
    <w:tbl>
      <w:tblPr>
        <w:tblLayout w:type="fixed"/>
        <w:tblInd w:w="220" w:type="dxa"/>
        <w:tblCellMar>
          <w:top w:w="0" w:type="dxa"/>
          <w:left w:w="0" w:type="dxa"/>
          <w:bottom w:w="0" w:type="dxa"/>
          <w:right w:w="0" w:type="dxa"/>
        </w:tblCellMar>
      </w:tblPr>
      <w:tr>
        <w:trPr>
          <w:trHeight w:val="161"/>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8"/>
              </w:rPr>
              <w:t>10.23</w:t>
            </w:r>
            <w:r>
              <w:rPr>
                <w:rFonts w:ascii="Times New Roman" w:cs="Times New Roman" w:eastAsia="Times New Roman" w:hAnsi="Times New Roman"/>
                <w:sz w:val="19"/>
                <w:szCs w:val="19"/>
                <w:color w:val="auto"/>
                <w:w w:val="98"/>
                <w:vertAlign w:val="superscript"/>
              </w:rPr>
              <w:t>+</w:t>
            </w:r>
          </w:p>
        </w:tc>
        <w:tc>
          <w:tcPr>
            <w:tcW w:w="5760" w:type="dxa"/>
            <w:vAlign w:val="bottom"/>
            <w:gridSpan w:val="21"/>
          </w:tcPr>
          <w:p>
            <w:pPr>
              <w:spacing w:after="0"/>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Employment Agreement, dated July 7, 2021, by and between the Company and Samuel Whiting,</w:t>
              </w:r>
            </w:hyperlink>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001-35890</w:t>
            </w: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10.4</w:t>
            </w:r>
          </w:p>
        </w:tc>
        <w:tc>
          <w:tcPr>
            <w:tcW w:w="148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7/07/2021</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72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rPr>
            </w:pPr>
            <w:hyperlink r:id="rId279">
              <w:r>
                <w:rPr>
                  <w:rFonts w:ascii="Times New Roman" w:cs="Times New Roman" w:eastAsia="Times New Roman" w:hAnsi="Times New Roman"/>
                  <w:sz w:val="14"/>
                  <w:szCs w:val="14"/>
                  <w:color w:val="0000FF"/>
                </w:rPr>
                <w:t>M.D., Ph.D.</w:t>
              </w:r>
            </w:hyperlink>
          </w:p>
        </w:tc>
        <w:tc>
          <w:tcPr>
            <w:tcW w:w="20" w:type="dxa"/>
            <w:vAlign w:val="bottom"/>
            <w:tcBorders>
              <w:top w:val="single" w:sz="8" w:color="0000FF"/>
              <w:bottom w:val="single" w:sz="8" w:color="0000EE"/>
            </w:tcBorders>
          </w:tcPr>
          <w:p>
            <w:pPr>
              <w:spacing w:after="0"/>
              <w:rPr>
                <w:sz w:val="11"/>
                <w:szCs w:val="11"/>
                <w:color w:val="auto"/>
              </w:rPr>
            </w:pPr>
          </w:p>
        </w:tc>
        <w:tc>
          <w:tcPr>
            <w:tcW w:w="4880" w:type="dxa"/>
            <w:vAlign w:val="bottom"/>
            <w:tcBorders>
              <w:top w:val="single" w:sz="8" w:color="0000FF"/>
            </w:tcBorders>
            <w:gridSpan w:val="1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10.24</w:t>
            </w: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Lease Agreement, dated January 24, 2022, by and between HCP Life Science REIT, Inc. and</w:t>
            </w: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9"/>
        </w:trPr>
        <w:tc>
          <w:tcPr>
            <w:tcW w:w="800" w:type="dxa"/>
            <w:vAlign w:val="bottom"/>
            <w:vMerge w:val="continue"/>
          </w:tcPr>
          <w:p>
            <w:pPr>
              <w:spacing w:after="0"/>
              <w:rPr>
                <w:sz w:val="11"/>
                <w:szCs w:val="11"/>
                <w:color w:val="auto"/>
              </w:rPr>
            </w:pPr>
          </w:p>
        </w:tc>
        <w:tc>
          <w:tcPr>
            <w:tcW w:w="1600" w:type="dxa"/>
            <w:vAlign w:val="bottom"/>
            <w:tcBorders>
              <w:top w:val="single" w:sz="8" w:color="0000FF"/>
              <w:bottom w:val="single" w:sz="8" w:color="0000EE"/>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Tempest Therapeutics, Inc.</w:t>
            </w:r>
          </w:p>
        </w:tc>
        <w:tc>
          <w:tcPr>
            <w:tcW w:w="378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10.25</w:t>
            </w:r>
          </w:p>
        </w:tc>
        <w:tc>
          <w:tcPr>
            <w:tcW w:w="5760" w:type="dxa"/>
            <w:vAlign w:val="bottom"/>
            <w:gridSpan w:val="21"/>
          </w:tcPr>
          <w:p>
            <w:pPr>
              <w:spacing w:after="0"/>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Securities Purchase Agreement, dated April 26, 22, by and among Tempest Therapeutics, Inc. and</w:t>
              </w:r>
            </w:hyperlink>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001-35890</w:t>
            </w: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vMerge w:val="restart"/>
          </w:tcPr>
          <w:p>
            <w:pPr>
              <w:jc w:val="right"/>
              <w:ind w:right="548"/>
              <w:spacing w:after="0"/>
              <w:rPr>
                <w:sz w:val="20"/>
                <w:szCs w:val="20"/>
                <w:color w:val="auto"/>
              </w:rPr>
            </w:pPr>
            <w:r>
              <w:rPr>
                <w:rFonts w:ascii="Times New Roman" w:cs="Times New Roman" w:eastAsia="Times New Roman" w:hAnsi="Times New Roman"/>
                <w:sz w:val="14"/>
                <w:szCs w:val="14"/>
                <w:color w:val="auto"/>
              </w:rPr>
              <w:t>5/2/2022</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72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280">
              <w:r>
                <w:rPr>
                  <w:rFonts w:ascii="Times New Roman" w:cs="Times New Roman" w:eastAsia="Times New Roman" w:hAnsi="Times New Roman"/>
                  <w:sz w:val="14"/>
                  <w:szCs w:val="14"/>
                  <w:color w:val="0000FF"/>
                </w:rPr>
                <w:t>the persons party thereto</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10.26</w:t>
            </w:r>
          </w:p>
        </w:tc>
        <w:tc>
          <w:tcPr>
            <w:tcW w:w="5760" w:type="dxa"/>
            <w:vAlign w:val="bottom"/>
            <w:gridSpan w:val="21"/>
          </w:tcPr>
          <w:p>
            <w:pPr>
              <w:spacing w:after="0"/>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Registration Rights Agreement, dated April 26, 22, by and among Tempest Therapeutics, Inc. and</w:t>
              </w:r>
            </w:hyperlink>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001-35890</w:t>
            </w: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rPr>
              <w:t>5/2/2022</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70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281">
              <w:r>
                <w:rPr>
                  <w:rFonts w:ascii="Times New Roman" w:cs="Times New Roman" w:eastAsia="Times New Roman" w:hAnsi="Times New Roman"/>
                  <w:sz w:val="14"/>
                  <w:szCs w:val="14"/>
                  <w:color w:val="0000FF"/>
                </w:rPr>
                <w:t>the persons party thereto</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760" w:type="dxa"/>
            <w:vAlign w:val="bottom"/>
            <w:gridSpan w:val="21"/>
          </w:tcPr>
          <w:p>
            <w:pPr>
              <w:spacing w:after="0"/>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First Amendment to Loan and Security Agreement, dated December 23, 2022, by and among</w:t>
              </w:r>
            </w:hyperlink>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10.27</w:t>
            </w:r>
          </w:p>
        </w:tc>
        <w:tc>
          <w:tcPr>
            <w:tcW w:w="5400" w:type="dxa"/>
            <w:vAlign w:val="bottom"/>
            <w:tcBorders>
              <w:top w:val="single" w:sz="8" w:color="0000FF"/>
              <w:bottom w:val="single" w:sz="8" w:color="0000FF"/>
            </w:tcBorders>
            <w:gridSpan w:val="12"/>
          </w:tcPr>
          <w:p>
            <w:pPr>
              <w:spacing w:after="0" w:line="129" w:lineRule="exact"/>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Oxford Finance LLC, Tempest Therapeutics, Inc., Tempest TX, Inc. and Millendo Therapeutics</w:t>
              </w:r>
            </w:hyperlink>
          </w:p>
        </w:tc>
        <w:tc>
          <w:tcPr>
            <w:tcW w:w="10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0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001-35890</w:t>
            </w: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color w:val="auto"/>
              </w:rPr>
              <w:t>12/29/2022</w:t>
            </w:r>
          </w:p>
        </w:tc>
        <w:tc>
          <w:tcPr>
            <w:tcW w:w="0" w:type="dxa"/>
            <w:vAlign w:val="bottom"/>
          </w:tcPr>
          <w:p>
            <w:pPr>
              <w:spacing w:after="0"/>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540" w:type="dxa"/>
            <w:vAlign w:val="bottom"/>
            <w:gridSpan w:val="15"/>
          </w:tcPr>
          <w:p>
            <w:pPr>
              <w:spacing w:after="0" w:line="129" w:lineRule="exact"/>
              <w:rPr>
                <w:rFonts w:ascii="Times New Roman" w:cs="Times New Roman" w:eastAsia="Times New Roman" w:hAnsi="Times New Roman"/>
                <w:sz w:val="14"/>
                <w:szCs w:val="14"/>
                <w:color w:val="0000FF"/>
              </w:rPr>
            </w:pPr>
            <w:hyperlink r:id="rId282">
              <w:r>
                <w:rPr>
                  <w:rFonts w:ascii="Times New Roman" w:cs="Times New Roman" w:eastAsia="Times New Roman" w:hAnsi="Times New Roman"/>
                  <w:sz w:val="14"/>
                  <w:szCs w:val="14"/>
                  <w:color w:val="0000FF"/>
                </w:rPr>
                <w:t>US, Inc.</w:t>
              </w:r>
            </w:hyperlink>
          </w:p>
        </w:tc>
        <w:tc>
          <w:tcPr>
            <w:tcW w:w="1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21.1</w:t>
            </w:r>
          </w:p>
        </w:tc>
        <w:tc>
          <w:tcPr>
            <w:tcW w:w="5760" w:type="dxa"/>
            <w:vAlign w:val="bottom"/>
            <w:gridSpan w:val="21"/>
          </w:tcPr>
          <w:p>
            <w:pPr>
              <w:spacing w:after="0"/>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Subsidiaries of the Registrant</w:t>
              </w:r>
            </w:hyperlink>
          </w:p>
        </w:tc>
        <w:tc>
          <w:tcPr>
            <w:tcW w:w="8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10-K/A</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001-35890</w:t>
            </w: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21.1</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4/1/2022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4"/>
            <w:shd w:val="clear" w:color="auto" w:fill="0000FF"/>
          </w:tcPr>
          <w:p>
            <w:pPr>
              <w:spacing w:after="0" w:line="20" w:lineRule="exact"/>
              <w:rPr>
                <w:sz w:val="1"/>
                <w:szCs w:val="1"/>
                <w:color w:val="auto"/>
              </w:rPr>
            </w:pPr>
          </w:p>
        </w:tc>
        <w:tc>
          <w:tcPr>
            <w:tcW w:w="64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23.1</w:t>
            </w: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 firm</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4"/>
            <w:shd w:val="clear" w:color="auto" w:fill="0000FF"/>
          </w:tcPr>
          <w:p>
            <w:pPr>
              <w:spacing w:after="0" w:line="20" w:lineRule="exact"/>
              <w:rPr>
                <w:sz w:val="1"/>
                <w:szCs w:val="1"/>
                <w:color w:val="auto"/>
              </w:rPr>
            </w:pPr>
          </w:p>
        </w:tc>
        <w:tc>
          <w:tcPr>
            <w:tcW w:w="1700" w:type="dxa"/>
            <w:vAlign w:val="bottom"/>
            <w:tcBorders>
              <w:right w:val="single" w:sz="8" w:color="0000FF"/>
            </w:tcBorders>
            <w:gridSpan w:val="4"/>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24.1</w:t>
            </w: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Power of Attorney (included on signature page)</w:t>
            </w: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4"/>
            <w:shd w:val="clear" w:color="auto" w:fill="0000FF"/>
          </w:tcPr>
          <w:p>
            <w:pPr>
              <w:spacing w:after="0" w:line="20" w:lineRule="exact"/>
              <w:rPr>
                <w:sz w:val="1"/>
                <w:szCs w:val="1"/>
                <w:color w:val="auto"/>
              </w:rPr>
            </w:pPr>
          </w:p>
        </w:tc>
        <w:tc>
          <w:tcPr>
            <w:tcW w:w="1700" w:type="dxa"/>
            <w:vAlign w:val="bottom"/>
            <w:tcBorders>
              <w:right w:val="single" w:sz="8" w:color="0000EE"/>
            </w:tcBorders>
            <w:gridSpan w:val="4"/>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promulgated</w:t>
            </w: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rPr>
              <w:t>31.1</w:t>
            </w:r>
          </w:p>
        </w:tc>
        <w:tc>
          <w:tcPr>
            <w:tcW w:w="5760" w:type="dxa"/>
            <w:vAlign w:val="bottom"/>
            <w:tcBorders>
              <w:top w:val="single" w:sz="8" w:color="0000FF"/>
            </w:tcBorders>
            <w:gridSpan w:val="21"/>
          </w:tcPr>
          <w:p>
            <w:pPr>
              <w:spacing w:after="0" w:line="129" w:lineRule="exact"/>
              <w:rPr>
                <w:sz w:val="20"/>
                <w:szCs w:val="20"/>
                <w:color w:val="auto"/>
              </w:rPr>
            </w:pPr>
            <w:r>
              <w:rPr>
                <w:rFonts w:ascii="Times New Roman" w:cs="Times New Roman" w:eastAsia="Times New Roman" w:hAnsi="Times New Roman"/>
                <w:sz w:val="14"/>
                <w:szCs w:val="14"/>
                <w:color w:val="0000FF"/>
              </w:rPr>
              <w:t>under the Securities Exchange Act of 1934, as adopted pursuant to Section 302 of the Sarbanes-</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080" w:type="dxa"/>
            <w:vAlign w:val="bottom"/>
            <w:tcBorders>
              <w:left w:val="single" w:sz="8" w:color="0000EE"/>
            </w:tcBorders>
            <w:gridSpan w:val="4"/>
            <w:shd w:val="clear" w:color="auto" w:fill="0000FF"/>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520" w:type="dxa"/>
            <w:vAlign w:val="bottom"/>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Oxley Act of 2002</w:t>
            </w:r>
          </w:p>
        </w:tc>
        <w:tc>
          <w:tcPr>
            <w:tcW w:w="160" w:type="dxa"/>
            <w:vAlign w:val="bottom"/>
            <w:gridSpan w:val="3"/>
            <w:vMerge w:val="continue"/>
          </w:tcPr>
          <w:p>
            <w:pPr>
              <w:spacing w:after="0"/>
              <w:rPr>
                <w:sz w:val="11"/>
                <w:szCs w:val="11"/>
                <w:color w:val="auto"/>
              </w:rPr>
            </w:pPr>
          </w:p>
        </w:tc>
        <w:tc>
          <w:tcPr>
            <w:tcW w:w="60" w:type="dxa"/>
            <w:vAlign w:val="bottom"/>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4"/>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promulgated</w:t>
            </w: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rPr>
              <w:t>31.2</w:t>
            </w:r>
          </w:p>
        </w:tc>
        <w:tc>
          <w:tcPr>
            <w:tcW w:w="5740" w:type="dxa"/>
            <w:vAlign w:val="bottom"/>
            <w:tcBorders>
              <w:top w:val="single" w:sz="8" w:color="0000FF"/>
            </w:tcBorders>
            <w:gridSpan w:val="20"/>
          </w:tcPr>
          <w:p>
            <w:pPr>
              <w:spacing w:after="0" w:line="129" w:lineRule="exact"/>
              <w:rPr>
                <w:sz w:val="20"/>
                <w:szCs w:val="20"/>
                <w:color w:val="auto"/>
              </w:rPr>
            </w:pPr>
            <w:r>
              <w:rPr>
                <w:rFonts w:ascii="Times New Roman" w:cs="Times New Roman" w:eastAsia="Times New Roman" w:hAnsi="Times New Roman"/>
                <w:sz w:val="14"/>
                <w:szCs w:val="14"/>
                <w:color w:val="0000FF"/>
              </w:rPr>
              <w:t>under the Securities Exchange Act of 1934, as adopted pursuant to section 302 of the Sarbanes-</w:t>
            </w: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4440" w:type="dxa"/>
            <w:vAlign w:val="bottom"/>
            <w:tcBorders>
              <w:left w:val="single" w:sz="8" w:color="0000EE"/>
            </w:tcBorders>
            <w:gridSpan w:val="9"/>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500" w:type="dxa"/>
            <w:vAlign w:val="bottom"/>
            <w:gridSpan w:val="13"/>
          </w:tcPr>
          <w:p>
            <w:pPr>
              <w:spacing w:after="0" w:line="129" w:lineRule="exact"/>
              <w:rPr>
                <w:sz w:val="20"/>
                <w:szCs w:val="20"/>
                <w:color w:val="auto"/>
              </w:rPr>
            </w:pPr>
            <w:r>
              <w:rPr>
                <w:rFonts w:ascii="Times New Roman" w:cs="Times New Roman" w:eastAsia="Times New Roman" w:hAnsi="Times New Roman"/>
                <w:sz w:val="14"/>
                <w:szCs w:val="14"/>
                <w:color w:val="0000FF"/>
              </w:rPr>
              <w:t>Oxley Act of 2002</w:t>
            </w:r>
          </w:p>
        </w:tc>
        <w:tc>
          <w:tcPr>
            <w:tcW w:w="180" w:type="dxa"/>
            <w:vAlign w:val="bottom"/>
            <w:gridSpan w:val="4"/>
            <w:vMerge w:val="continue"/>
          </w:tcPr>
          <w:p>
            <w:pPr>
              <w:spacing w:after="0"/>
              <w:rPr>
                <w:sz w:val="11"/>
                <w:szCs w:val="11"/>
                <w:color w:val="auto"/>
              </w:rPr>
            </w:pPr>
          </w:p>
        </w:tc>
        <w:tc>
          <w:tcPr>
            <w:tcW w:w="80" w:type="dxa"/>
            <w:vAlign w:val="bottom"/>
            <w:gridSpan w:val="4"/>
            <w:vMerge w:val="continue"/>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80" w:type="dxa"/>
            <w:vAlign w:val="bottom"/>
            <w:tcBorders>
              <w:left w:val="single" w:sz="8" w:color="0000EE"/>
            </w:tcBorders>
            <w:gridSpan w:val="4"/>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0" w:type="dxa"/>
            <w:vAlign w:val="bottom"/>
          </w:tcPr>
          <w:p>
            <w:pPr>
              <w:spacing w:after="0"/>
              <w:rPr>
                <w:sz w:val="24"/>
                <w:szCs w:val="24"/>
                <w:color w:val="auto"/>
              </w:rPr>
            </w:pP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Rules 13a-</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40" w:type="dxa"/>
            <w:vAlign w:val="bottom"/>
            <w:tcBorders>
              <w:left w:val="single" w:sz="8" w:color="0000EE"/>
            </w:tcBorders>
            <w:gridSpan w:val="9"/>
            <w:shd w:val="clear" w:color="auto" w:fill="0000FF"/>
          </w:tcPr>
          <w:p>
            <w:pPr>
              <w:spacing w:after="0" w:line="20" w:lineRule="exact"/>
              <w:rPr>
                <w:sz w:val="1"/>
                <w:szCs w:val="1"/>
                <w:color w:val="auto"/>
              </w:rPr>
            </w:pPr>
          </w:p>
        </w:tc>
        <w:tc>
          <w:tcPr>
            <w:tcW w:w="1240" w:type="dxa"/>
            <w:vAlign w:val="bottom"/>
            <w:tcBorders>
              <w:right w:val="single" w:sz="8" w:color="0000EE"/>
            </w:tcBorders>
            <w:gridSpan w:val="8"/>
            <w:shd w:val="clear" w:color="auto" w:fill="0000FF"/>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8"/>
              </w:rPr>
              <w:t>32.1</w:t>
            </w:r>
            <w:r>
              <w:rPr>
                <w:rFonts w:ascii="Times New Roman" w:cs="Times New Roman" w:eastAsia="Times New Roman" w:hAnsi="Times New Roman"/>
                <w:sz w:val="19"/>
                <w:szCs w:val="19"/>
                <w:color w:val="auto"/>
                <w:w w:val="98"/>
                <w:vertAlign w:val="superscript"/>
              </w:rPr>
              <w:t>^</w:t>
            </w:r>
          </w:p>
        </w:tc>
        <w:tc>
          <w:tcPr>
            <w:tcW w:w="5680" w:type="dxa"/>
            <w:vAlign w:val="bottom"/>
            <w:gridSpan w:val="17"/>
          </w:tcPr>
          <w:p>
            <w:pPr>
              <w:spacing w:after="0" w:line="129" w:lineRule="exact"/>
              <w:rPr>
                <w:sz w:val="20"/>
                <w:szCs w:val="20"/>
                <w:color w:val="auto"/>
              </w:rPr>
            </w:pPr>
            <w:r>
              <w:rPr>
                <w:rFonts w:ascii="Times New Roman" w:cs="Times New Roman" w:eastAsia="Times New Roman" w:hAnsi="Times New Roman"/>
                <w:sz w:val="14"/>
                <w:szCs w:val="14"/>
                <w:color w:val="0000FF"/>
              </w:rPr>
              <w:t>14(b) and 15d-14(b) promulgated under the Securities Exchange Act of 1934 and 18 U.S.C. Section</w:t>
            </w:r>
          </w:p>
        </w:tc>
        <w:tc>
          <w:tcPr>
            <w:tcW w:w="80" w:type="dxa"/>
            <w:vAlign w:val="bottom"/>
            <w:gridSpan w:val="4"/>
            <w:vMerge w:val="continue"/>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4440" w:type="dxa"/>
            <w:vAlign w:val="bottom"/>
            <w:tcBorders>
              <w:left w:val="single" w:sz="8" w:color="0000EE"/>
            </w:tcBorders>
            <w:gridSpan w:val="9"/>
            <w:shd w:val="clear" w:color="auto" w:fill="0000FF"/>
          </w:tcPr>
          <w:p>
            <w:pPr>
              <w:spacing w:after="0" w:line="20" w:lineRule="exact"/>
              <w:rPr>
                <w:sz w:val="1"/>
                <w:szCs w:val="1"/>
                <w:color w:val="auto"/>
              </w:rPr>
            </w:pPr>
          </w:p>
        </w:tc>
        <w:tc>
          <w:tcPr>
            <w:tcW w:w="1320" w:type="dxa"/>
            <w:vAlign w:val="bottom"/>
            <w:gridSpan w:val="1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0" w:type="dxa"/>
            <w:vAlign w:val="bottom"/>
            <w:vMerge w:val="continue"/>
          </w:tcPr>
          <w:p>
            <w:pPr>
              <w:spacing w:after="0"/>
              <w:rPr>
                <w:sz w:val="11"/>
                <w:szCs w:val="11"/>
                <w:color w:val="auto"/>
              </w:rPr>
            </w:pPr>
          </w:p>
        </w:tc>
        <w:tc>
          <w:tcPr>
            <w:tcW w:w="5760" w:type="dxa"/>
            <w:vAlign w:val="bottom"/>
            <w:gridSpan w:val="21"/>
          </w:tcPr>
          <w:p>
            <w:pPr>
              <w:spacing w:after="0" w:line="129"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40" w:type="dxa"/>
            <w:vAlign w:val="bottom"/>
            <w:tcBorders>
              <w:left w:val="single" w:sz="8" w:color="0000EE"/>
            </w:tcBorders>
            <w:gridSpan w:val="9"/>
            <w:shd w:val="clear" w:color="auto" w:fill="0000FF"/>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101.INS</w:t>
            </w: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83"/>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101.SCH</w:t>
            </w: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83"/>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101.CAL</w:t>
            </w: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83"/>
        </w:trPr>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101.DEF</w:t>
            </w: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84"/>
        </w:trPr>
        <w:tc>
          <w:tcPr>
            <w:tcW w:w="80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101.LAB</w:t>
            </w: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84"/>
        </w:trPr>
        <w:tc>
          <w:tcPr>
            <w:tcW w:w="80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101.PRE</w:t>
            </w: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230"/>
        </w:trPr>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rPr>
              <w:t>104</w:t>
            </w: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with applicable taxonomy extension</w:t>
            </w: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800" w:type="dxa"/>
            <w:vAlign w:val="bottom"/>
            <w:vMerge w:val="continue"/>
          </w:tcPr>
          <w:p>
            <w:pPr>
              <w:spacing w:after="0"/>
              <w:rPr>
                <w:sz w:val="16"/>
                <w:szCs w:val="16"/>
                <w:color w:val="auto"/>
              </w:rPr>
            </w:pPr>
          </w:p>
        </w:tc>
        <w:tc>
          <w:tcPr>
            <w:tcW w:w="576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contained in Exhibit 101).</w:t>
            </w: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7" w:lineRule="exact"/>
        <w:rPr>
          <w:sz w:val="20"/>
          <w:szCs w:val="20"/>
          <w:color w:val="auto"/>
        </w:rPr>
      </w:pPr>
    </w:p>
    <w:p>
      <w:pPr>
        <w:ind w:firstLine="8"/>
        <w:spacing w:after="0" w:line="260" w:lineRule="auto"/>
        <w:tabs>
          <w:tab w:leader="none" w:pos="1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and/or schedules have been omitted pursuant to Item 601(a)(5) of Regulation S-K. The registrant hereby undertakes to furnish supplementally copies of any of the omitted exhibits and schedules upon request by the SEC.</w:t>
      </w:r>
    </w:p>
    <w:p>
      <w:pPr>
        <w:spacing w:after="0" w:line="181"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jc w:val="both"/>
        <w:ind w:firstLine="8"/>
        <w:spacing w:after="0" w:line="266" w:lineRule="auto"/>
        <w:tabs>
          <w:tab w:leader="none" w:pos="41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52"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575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Stephen Brady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7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575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Vice-President, Strategy and Finance (Principal Financial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KNOW ALL PERSONS BY THESE PRESENTS, that each person whose signature appears below constitutes and appoints Stephen Brady </w:t>
      </w:r>
      <w:r>
        <w:rPr>
          <w:rFonts w:ascii="Times New Roman" w:cs="Times New Roman" w:eastAsia="Times New Roman" w:hAnsi="Times New Roman"/>
          <w:sz w:val="18"/>
          <w:szCs w:val="18"/>
          <w:color w:val="231F20"/>
        </w:rPr>
        <w:t>and Nicolas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Maestas</w:t>
      </w:r>
      <w:r>
        <w:rPr>
          <w:rFonts w:ascii="Times New Roman" w:cs="Times New Roman" w:eastAsia="Times New Roman" w:hAnsi="Times New Roman"/>
          <w:sz w:val="18"/>
          <w:szCs w:val="18"/>
          <w:color w:val="000000"/>
        </w:rPr>
        <w:t>, jointly and severally, as his or her true and lawful attorneys-in-fact and agents, with full power of substitution and resubstitution, for him or 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in his or her name, place and stead, in any and all capacities, to sign this Annual Report on Form 10-K of Tempest Therapeutics,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tabs>
          <w:tab w:leader="none" w:pos="6860" w:val="left"/>
        </w:tabs>
        <w:rPr>
          <w:sz w:val="20"/>
          <w:szCs w:val="20"/>
          <w:color w:val="auto"/>
        </w:rPr>
      </w:pP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45720</wp:posOffset>
            </wp:positionV>
            <wp:extent cx="50577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2720" w:space="720"/>
            <w:col w:w="7800"/>
          </w:cols>
          <w:pgMar w:left="320" w:top="553" w:right="339"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6"/>
          <w:szCs w:val="16"/>
          <w:i w:val="1"/>
          <w:iCs w:val="1"/>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Stephen Brady</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i w:val="1"/>
          <w:iCs w:val="1"/>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Nicholas Maestas</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i w:val="1"/>
          <w:iCs w:val="1"/>
          <w:color w:val="auto"/>
        </w:rPr>
        <w:t>/s/ Justin Trojanowski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Justin Trojanowski</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i w:val="1"/>
          <w:iCs w:val="1"/>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Michael Raab</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i w:val="1"/>
          <w:iCs w:val="1"/>
          <w:color w:val="auto"/>
        </w:rPr>
        <w:t>/s/ Thomas Dubensky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Thomas Dubensky, Ph.D.</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i w:val="1"/>
          <w:iCs w:val="1"/>
          <w:color w:val="auto"/>
        </w:rPr>
        <w:t>/s/ Geoff Nichol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Geoff Nichol, M.B., Ch.B., M.B.A.</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i w:val="1"/>
          <w:iCs w:val="1"/>
          <w:color w:val="auto"/>
        </w:rPr>
        <w:t>/s/ Christine Pellizzari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Christine Pellizzari</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i w:val="1"/>
          <w:iCs w:val="1"/>
          <w:color w:val="auto"/>
        </w:rPr>
        <w:t>/s/ Ronit Simantov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Ronit Simantov, M.D.</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i w:val="1"/>
          <w:iCs w:val="1"/>
          <w:color w:val="auto"/>
        </w:rPr>
        <w:t>/s/ 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20745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2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6"/>
          <w:szCs w:val="16"/>
          <w:color w:val="auto"/>
        </w:rPr>
        <w:t>Thomas Woiwode, Ph.D.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Chief Executive Officer and Director </w:t>
      </w:r>
      <w:r>
        <w:rPr>
          <w:rFonts w:ascii="Times New Roman" w:cs="Times New Roman" w:eastAsia="Times New Roman" w:hAnsi="Times New Roman"/>
          <w:sz w:val="16"/>
          <w:szCs w:val="16"/>
          <w:i w:val="1"/>
          <w:iCs w:val="1"/>
          <w:color w:val="auto"/>
        </w:rPr>
        <w:t>(Principal Executive Officer)</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Strategy and Finance and Secretary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Corporate Controller, Treasurer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Director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414655</wp:posOffset>
            </wp:positionV>
            <wp:extent cx="9340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414655</wp:posOffset>
            </wp:positionV>
            <wp:extent cx="9340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414655</wp:posOffset>
            </wp:positionV>
            <wp:extent cx="93408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414655</wp:posOffset>
            </wp:positionV>
            <wp:extent cx="93408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414655</wp:posOffset>
            </wp:positionV>
            <wp:extent cx="9340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414655</wp:posOffset>
            </wp:positionV>
            <wp:extent cx="93408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414655</wp:posOffset>
            </wp:positionV>
            <wp:extent cx="9340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414655</wp:posOffset>
            </wp:positionV>
            <wp:extent cx="93408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22, 2023</w:t>
      </w:r>
    </w:p>
    <w:p>
      <w:pPr>
        <w:spacing w:after="0" w:line="510" w:lineRule="exact"/>
        <w:rPr>
          <w:sz w:val="20"/>
          <w:szCs w:val="20"/>
          <w:color w:val="auto"/>
        </w:rPr>
      </w:pPr>
    </w:p>
    <w:p>
      <w:pPr>
        <w:sectPr>
          <w:pgSz w:w="11900" w:h="16838" w:orient="portrait"/>
          <w:cols w:equalWidth="0" w:num="3">
            <w:col w:w="2800" w:space="640"/>
            <w:col w:w="5660" w:space="720"/>
            <w:col w:w="1420"/>
          </w:cols>
          <w:pgMar w:left="320" w:top="553" w:right="339" w:bottom="1440" w:gutter="0" w:footer="0" w:header="0"/>
          <w:type w:val="continuous"/>
        </w:sectPr>
      </w:pP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color w:val="auto"/>
        </w:rPr>
        <w:t>Exhibit 10.24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TOWERS AT SIERRA POINT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LEASE</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This Lease (the " XE "Lease"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xml:space="preserve">"), dated as of the date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 Summary of Basic Lease Information (the " XE "Summary" </w:t>
      </w:r>
      <w:r>
        <w:rPr>
          <w:rFonts w:ascii="Times New Roman" w:cs="Times New Roman" w:eastAsia="Times New Roman" w:hAnsi="Times New Roman"/>
          <w:sz w:val="18"/>
          <w:szCs w:val="18"/>
          <w:b w:val="1"/>
          <w:bCs w:val="1"/>
          <w:color w:val="auto"/>
        </w:rPr>
        <w:t>Summary</w:t>
      </w:r>
      <w:r>
        <w:rPr>
          <w:rFonts w:ascii="Times New Roman" w:cs="Times New Roman" w:eastAsia="Times New Roman" w:hAnsi="Times New Roman"/>
          <w:sz w:val="18"/>
          <w:szCs w:val="18"/>
          <w:color w:val="auto"/>
        </w:rPr>
        <w:t xml:space="preserve">"), below, is made by and between </w:t>
      </w:r>
      <w:r>
        <w:rPr>
          <w:rFonts w:ascii="Times New Roman" w:cs="Times New Roman" w:eastAsia="Times New Roman" w:hAnsi="Times New Roman"/>
          <w:sz w:val="18"/>
          <w:szCs w:val="18"/>
          <w:b w:val="1"/>
          <w:bCs w:val="1"/>
          <w:color w:val="auto"/>
        </w:rPr>
        <w:t>HCP LIFE SCIENCE REIT, INC.</w:t>
      </w:r>
      <w:r>
        <w:rPr>
          <w:rFonts w:ascii="Times New Roman" w:cs="Times New Roman" w:eastAsia="Times New Roman" w:hAnsi="Times New Roman"/>
          <w:sz w:val="18"/>
          <w:szCs w:val="18"/>
          <w:color w:val="auto"/>
        </w:rPr>
        <w:t xml:space="preserve">, a Maryland corporation (" XE "Landlord"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TEMPEST THERAPEUTICS, INC.</w:t>
      </w:r>
      <w:r>
        <w:rPr>
          <w:rFonts w:ascii="Times New Roman" w:cs="Times New Roman" w:eastAsia="Times New Roman" w:hAnsi="Times New Roman"/>
          <w:sz w:val="18"/>
          <w:szCs w:val="18"/>
          <w:color w:val="auto"/>
        </w:rPr>
        <w:t>, a Delaware corporation (" XE "Tenant"</w:t>
      </w:r>
      <w:r>
        <w:rPr>
          <w:rFonts w:ascii="Times New Roman" w:cs="Times New Roman" w:eastAsia="Times New Roman" w:hAnsi="Times New Roman"/>
          <w:sz w:val="18"/>
          <w:szCs w:val="18"/>
          <w:b w:val="1"/>
          <w:bCs w:val="1"/>
          <w:color w:val="auto"/>
        </w:rPr>
        <w:t xml:space="preserve"> Tenant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BASIC LEASE INFORMATION</w:t>
      </w:r>
    </w:p>
    <w:p>
      <w:pPr>
        <w:spacing w:after="0" w:line="200" w:lineRule="exact"/>
        <w:rPr>
          <w:sz w:val="20"/>
          <w:szCs w:val="20"/>
          <w:color w:val="auto"/>
        </w:rPr>
      </w:pP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TERMS OF LEASE</w:t>
            </w:r>
          </w:p>
        </w:tc>
        <w:tc>
          <w:tcPr>
            <w:tcW w:w="73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DESCRIPTION</w:t>
            </w:r>
          </w:p>
        </w:tc>
      </w:tr>
      <w:tr>
        <w:trPr>
          <w:trHeight w:val="459"/>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Pr>
          <w:p>
            <w:pPr>
              <w:spacing w:after="0"/>
              <w:rPr>
                <w:sz w:val="24"/>
                <w:szCs w:val="24"/>
                <w:color w:val="auto"/>
              </w:rPr>
            </w:pPr>
          </w:p>
        </w:tc>
        <w:tc>
          <w:tcPr>
            <w:tcW w:w="73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January 24, 2022</w:t>
            </w:r>
          </w:p>
        </w:tc>
      </w:tr>
      <w:tr>
        <w:trPr>
          <w:trHeight w:val="441"/>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Premises</w:t>
            </w:r>
          </w:p>
        </w:tc>
        <w:tc>
          <w:tcPr>
            <w:tcW w:w="26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94"/>
        </w:trPr>
        <w:tc>
          <w:tcPr>
            <w:tcW w:w="10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(Article 1).</w:t>
            </w:r>
          </w:p>
        </w:tc>
        <w:tc>
          <w:tcPr>
            <w:tcW w:w="26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40" w:type="dxa"/>
            <w:vAlign w:val="bottom"/>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479"/>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73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The twelve (12) story building located at:</w:t>
            </w:r>
          </w:p>
        </w:tc>
      </w:tr>
      <w:tr>
        <w:trPr>
          <w:trHeight w:val="414"/>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3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2000 Sierra Point Parkway</w:t>
            </w:r>
          </w:p>
        </w:tc>
      </w:tr>
      <w:tr>
        <w:trPr>
          <w:trHeight w:val="234"/>
        </w:trPr>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3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Brisbane, CA 94005</w:t>
            </w:r>
          </w:p>
        </w:tc>
      </w:tr>
      <w:tr>
        <w:trPr>
          <w:trHeight w:val="441"/>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Premises:</w:t>
            </w:r>
          </w:p>
        </w:tc>
        <w:tc>
          <w:tcPr>
            <w:tcW w:w="73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 xml:space="preserve">Approximately 20,116 rentable square feet of space (“ XE "RSF" </w:t>
            </w:r>
            <w:r>
              <w:rPr>
                <w:rFonts w:ascii="Times New Roman" w:cs="Times New Roman" w:eastAsia="Times New Roman" w:hAnsi="Times New Roman"/>
                <w:sz w:val="18"/>
                <w:szCs w:val="18"/>
                <w:b w:val="1"/>
                <w:bCs w:val="1"/>
                <w:color w:val="auto"/>
              </w:rPr>
              <w:t>RSF</w:t>
            </w:r>
            <w:r>
              <w:rPr>
                <w:rFonts w:ascii="Times New Roman" w:cs="Times New Roman" w:eastAsia="Times New Roman" w:hAnsi="Times New Roman"/>
                <w:sz w:val="18"/>
                <w:szCs w:val="18"/>
                <w:color w:val="auto"/>
              </w:rPr>
              <w:t>”)</w:t>
            </w:r>
          </w:p>
        </w:tc>
      </w:tr>
      <w:tr>
        <w:trPr>
          <w:trHeight w:val="212"/>
        </w:trPr>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3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w w:val="99"/>
              </w:rPr>
              <w:t>located on the 4th floor of the Building and commonly known as Suite 400,</w:t>
            </w:r>
          </w:p>
        </w:tc>
      </w:tr>
      <w:tr>
        <w:trPr>
          <w:trHeight w:val="198"/>
        </w:trPr>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7340" w:type="dxa"/>
            <w:vAlign w:val="bottom"/>
            <w:gridSpan w:val="3"/>
          </w:tcPr>
          <w:p>
            <w:pPr>
              <w:ind w:left="1900"/>
              <w:spacing w:after="0" w:line="198" w:lineRule="exact"/>
              <w:rPr>
                <w:sz w:val="20"/>
                <w:szCs w:val="20"/>
                <w:color w:val="auto"/>
              </w:rPr>
            </w:pPr>
            <w:r>
              <w:rPr>
                <w:rFonts w:ascii="Times New Roman" w:cs="Times New Roman" w:eastAsia="Times New Roman" w:hAnsi="Times New Roman"/>
                <w:sz w:val="18"/>
                <w:szCs w:val="18"/>
                <w:color w:val="auto"/>
              </w:rPr>
              <w:t xml:space="preserve">as further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to the Lease.</w:t>
            </w: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pacing w:after="0" w:line="252" w:lineRule="exact"/>
        <w:rPr>
          <w:sz w:val="20"/>
          <w:szCs w:val="20"/>
          <w:color w:val="auto"/>
        </w:rPr>
      </w:pPr>
    </w:p>
    <w:p>
      <w:pPr>
        <w:ind w:left="100" w:right="9940" w:firstLine="5"/>
        <w:spacing w:after="0" w:line="312" w:lineRule="auto"/>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Term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w:t>
      </w:r>
    </w:p>
    <w:p>
      <w:pPr>
        <w:spacing w:after="0" w:line="167"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Length of Term:</w:t>
            </w: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Eight (8) years.</w:t>
            </w:r>
          </w:p>
        </w:tc>
      </w:tr>
      <w:tr>
        <w:trPr>
          <w:trHeight w:val="44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Commencement</w:t>
            </w:r>
          </w:p>
        </w:tc>
        <w:tc>
          <w:tcPr>
            <w:tcW w:w="2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The earlier to occur of (i) the date upon which Tenant first commences</w:t>
            </w: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conducting business in the Premises and (ii) the Possession Date (as that</w:t>
            </w:r>
          </w:p>
        </w:tc>
      </w:tr>
      <w:tr>
        <w:trPr>
          <w:trHeight w:val="194"/>
        </w:trPr>
        <w:tc>
          <w:tcPr>
            <w:tcW w:w="2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6940" w:type="dxa"/>
            <w:vAlign w:val="bottom"/>
            <w:gridSpan w:val="3"/>
          </w:tcPr>
          <w:p>
            <w:pPr>
              <w:ind w:left="1420"/>
              <w:spacing w:after="0" w:line="194" w:lineRule="exact"/>
              <w:rPr>
                <w:sz w:val="20"/>
                <w:szCs w:val="20"/>
                <w:color w:val="auto"/>
              </w:rPr>
            </w:pPr>
            <w:r>
              <w:rPr>
                <w:rFonts w:ascii="Times New Roman" w:cs="Times New Roman" w:eastAsia="Times New Roman" w:hAnsi="Times New Roman"/>
                <w:sz w:val="18"/>
                <w:szCs w:val="18"/>
                <w:color w:val="auto"/>
              </w:rPr>
              <w:t>term is defined in Section 1.1.1 of this Lease).  The Lease Commencement</w:t>
            </w: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Date is currently estimated to be on or about October 1, 2022.</w:t>
            </w:r>
          </w:p>
        </w:tc>
      </w:tr>
      <w:tr>
        <w:trPr>
          <w:trHeight w:val="441"/>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Expiration Date:</w:t>
            </w: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If the Lease Commencement Date shall be the first day of a calendar month,</w:t>
            </w: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then the day immediately preceding the 8th anniversary of the Lease</w:t>
            </w: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Commencement Date; or, if the Lease Commencement Date shall be other</w:t>
            </w: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than the first day of a calendar month, then the last day of the month in</w:t>
            </w:r>
          </w:p>
        </w:tc>
      </w:tr>
      <w:tr>
        <w:trPr>
          <w:trHeight w:val="234"/>
        </w:trPr>
        <w:tc>
          <w:tcPr>
            <w:tcW w:w="2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694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which the 8th anniversary of the Lease Commencement Date occurs.</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left="440" w:hanging="355"/>
        <w:spacing w:after="0"/>
        <w:tabs>
          <w:tab w:leader="none" w:pos="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Rent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8"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Annual</w:t>
            </w:r>
          </w:p>
        </w:tc>
      </w:tr>
      <w:tr>
        <w:trPr>
          <w:trHeight w:val="194"/>
        </w:trPr>
        <w:tc>
          <w:tcPr>
            <w:tcW w:w="1720" w:type="dxa"/>
            <w:vAlign w:val="bottom"/>
            <w:gridSpan w:val="2"/>
          </w:tcPr>
          <w:p>
            <w:pPr>
              <w:jc w:val="center"/>
              <w:ind w:right="920"/>
              <w:spacing w:after="0" w:line="194" w:lineRule="exact"/>
              <w:rPr>
                <w:sz w:val="20"/>
                <w:szCs w:val="20"/>
                <w:color w:val="auto"/>
              </w:rPr>
            </w:pPr>
            <w:r>
              <w:rPr>
                <w:rFonts w:ascii="Times New Roman" w:cs="Times New Roman" w:eastAsia="Times New Roman" w:hAnsi="Times New Roman"/>
                <w:sz w:val="18"/>
                <w:szCs w:val="18"/>
                <w:color w:val="auto"/>
                <w:w w:val="98"/>
              </w:rPr>
              <w:t>Lease Year</w:t>
            </w:r>
          </w:p>
        </w:tc>
        <w:tc>
          <w:tcPr>
            <w:tcW w:w="1080" w:type="dxa"/>
            <w:vAlign w:val="bottom"/>
          </w:tcPr>
          <w:p>
            <w:pPr>
              <w:spacing w:after="0"/>
              <w:rPr>
                <w:sz w:val="16"/>
                <w:szCs w:val="16"/>
                <w:color w:val="auto"/>
              </w:rPr>
            </w:pPr>
          </w:p>
        </w:tc>
        <w:tc>
          <w:tcPr>
            <w:tcW w:w="88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auto"/>
                <w:w w:val="97"/>
              </w:rPr>
              <w:t>Base Rent</w:t>
            </w:r>
          </w:p>
        </w:tc>
      </w:tr>
      <w:tr>
        <w:trPr>
          <w:trHeight w:val="20"/>
        </w:trPr>
        <w:tc>
          <w:tcPr>
            <w:tcW w:w="8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0"/>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spacing w:after="0"/>
              <w:rPr>
                <w:sz w:val="24"/>
                <w:szCs w:val="24"/>
                <w:color w:val="auto"/>
              </w:rPr>
            </w:pPr>
          </w:p>
        </w:tc>
        <w:tc>
          <w:tcPr>
            <w:tcW w:w="1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$1,738,022.40</w:t>
            </w:r>
          </w:p>
        </w:tc>
      </w:tr>
      <w:tr>
        <w:trPr>
          <w:trHeight w:val="45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24"/>
                <w:szCs w:val="24"/>
                <w:color w:val="auto"/>
              </w:rPr>
            </w:pPr>
          </w:p>
        </w:tc>
        <w:tc>
          <w:tcPr>
            <w:tcW w:w="1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$1,798,370.40</w:t>
            </w:r>
          </w:p>
        </w:tc>
      </w:tr>
      <w:tr>
        <w:trPr>
          <w:trHeight w:val="45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spacing w:after="0"/>
              <w:rPr>
                <w:sz w:val="24"/>
                <w:szCs w:val="24"/>
                <w:color w:val="auto"/>
              </w:rPr>
            </w:pPr>
          </w:p>
        </w:tc>
        <w:tc>
          <w:tcPr>
            <w:tcW w:w="1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$1,861,325.43</w:t>
            </w:r>
          </w:p>
        </w:tc>
      </w:tr>
      <w:tr>
        <w:trPr>
          <w:trHeight w:val="45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spacing w:after="0"/>
              <w:rPr>
                <w:sz w:val="24"/>
                <w:szCs w:val="24"/>
                <w:color w:val="auto"/>
              </w:rPr>
            </w:pPr>
          </w:p>
        </w:tc>
        <w:tc>
          <w:tcPr>
            <w:tcW w:w="1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$1,926,453.00</w:t>
            </w:r>
          </w:p>
        </w:tc>
      </w:tr>
      <w:tr>
        <w:trPr>
          <w:trHeight w:val="45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Pr>
          <w:p>
            <w:pPr>
              <w:spacing w:after="0"/>
              <w:rPr>
                <w:sz w:val="24"/>
                <w:szCs w:val="24"/>
                <w:color w:val="auto"/>
              </w:rPr>
            </w:pPr>
          </w:p>
        </w:tc>
        <w:tc>
          <w:tcPr>
            <w:tcW w:w="1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$1,993,873.78</w:t>
            </w:r>
          </w:p>
        </w:tc>
      </w:tr>
      <w:tr>
        <w:trPr>
          <w:trHeight w:val="45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Pr>
          <w:p>
            <w:pPr>
              <w:spacing w:after="0"/>
              <w:rPr>
                <w:sz w:val="24"/>
                <w:szCs w:val="24"/>
                <w:color w:val="auto"/>
              </w:rPr>
            </w:pPr>
          </w:p>
        </w:tc>
        <w:tc>
          <w:tcPr>
            <w:tcW w:w="1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$2,063,660.21</w:t>
            </w:r>
          </w:p>
        </w:tc>
      </w:tr>
      <w:tr>
        <w:trPr>
          <w:trHeight w:val="45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tcPr>
          <w:p>
            <w:pPr>
              <w:spacing w:after="0"/>
              <w:rPr>
                <w:sz w:val="24"/>
                <w:szCs w:val="24"/>
                <w:color w:val="auto"/>
              </w:rPr>
            </w:pPr>
          </w:p>
        </w:tc>
        <w:tc>
          <w:tcPr>
            <w:tcW w:w="1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$2,135,908.83</w:t>
            </w:r>
          </w:p>
        </w:tc>
      </w:tr>
      <w:tr>
        <w:trPr>
          <w:trHeight w:val="459"/>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Pr>
          <w:p>
            <w:pPr>
              <w:spacing w:after="0"/>
              <w:rPr>
                <w:sz w:val="24"/>
                <w:szCs w:val="24"/>
                <w:color w:val="auto"/>
              </w:rPr>
            </w:pPr>
          </w:p>
        </w:tc>
        <w:tc>
          <w:tcPr>
            <w:tcW w:w="19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$2,210,667.94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0" w:hanging="355"/>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Improvements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440" w:hanging="355"/>
        <w:spacing w:after="0"/>
        <w:tabs>
          <w:tab w:leader="none" w:pos="4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Share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ind w:left="80" w:right="3320" w:firstLine="5"/>
        <w:spacing w:after="0" w:line="282" w:lineRule="auto"/>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Use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right="3220" w:firstLine="5"/>
        <w:spacing w:after="0" w:line="282" w:lineRule="auto"/>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40" w:hanging="355"/>
        <w:spacing w:after="0"/>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 28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right="320" w:firstLine="32"/>
        <w:spacing w:after="0" w:line="227" w:lineRule="auto"/>
        <w:rPr>
          <w:sz w:val="20"/>
          <w:szCs w:val="20"/>
          <w:color w:val="auto"/>
        </w:rPr>
      </w:pPr>
      <w:r>
        <w:rPr>
          <w:rFonts w:ascii="Times New Roman" w:cs="Times New Roman" w:eastAsia="Times New Roman" w:hAnsi="Times New Roman"/>
          <w:sz w:val="13"/>
          <w:szCs w:val="13"/>
          <w:color w:val="auto"/>
        </w:rPr>
        <w:t>DOCPROPERTY "Document number" 4884-2045-4146. DOCPROPERTY "Document version" 4</w:t>
      </w:r>
    </w:p>
    <w:p>
      <w:pPr>
        <w:spacing w:after="0" w:line="1" w:lineRule="exact"/>
        <w:rPr>
          <w:sz w:val="20"/>
          <w:szCs w:val="20"/>
          <w:color w:val="auto"/>
        </w:rPr>
      </w:pPr>
    </w:p>
    <w:p>
      <w:pPr>
        <w:ind w:right="320" w:firstLine="32"/>
        <w:spacing w:after="0" w:line="256" w:lineRule="auto"/>
        <w:rPr>
          <w:sz w:val="20"/>
          <w:szCs w:val="20"/>
          <w:color w:val="auto"/>
        </w:rPr>
      </w:pPr>
      <w:r>
        <w:rPr>
          <w:rFonts w:ascii="Times New Roman" w:cs="Times New Roman" w:eastAsia="Times New Roman" w:hAnsi="Times New Roman"/>
          <w:sz w:val="12"/>
          <w:szCs w:val="12"/>
          <w:color w:val="auto"/>
        </w:rPr>
        <w:t>DOCPROPERTY "Client" 186772. DOCPROPERTY "Matter" 00003/ SAVEDATE \@ M-d-yy 3-21-23/ DOCPROPERTY "User Init" mem/ DOCPROPERTY "Typist Init" ejs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1020" w:type="dxa"/>
        <w:tblCellMar>
          <w:top w:w="0" w:type="dxa"/>
          <w:left w:w="0" w:type="dxa"/>
          <w:bottom w:w="0" w:type="dxa"/>
          <w:right w:w="0" w:type="dxa"/>
        </w:tblCellMar>
      </w:tblPr>
      <w:tr>
        <w:trPr>
          <w:trHeight w:val="216"/>
        </w:trPr>
        <w:tc>
          <w:tcPr>
            <w:tcW w:w="188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w w:val="99"/>
              </w:rPr>
              <w:t>Monthly</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8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Installment</w:t>
            </w:r>
          </w:p>
        </w:tc>
        <w:tc>
          <w:tcPr>
            <w:tcW w:w="19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w w:val="98"/>
              </w:rPr>
              <w:t>Monthly Base</w:t>
            </w:r>
          </w:p>
        </w:tc>
      </w:tr>
      <w:tr>
        <w:trPr>
          <w:trHeight w:val="194"/>
        </w:trPr>
        <w:tc>
          <w:tcPr>
            <w:tcW w:w="94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of Base Rent</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7"/>
              </w:rPr>
              <w:t>Rent per RSF</w:t>
            </w:r>
          </w:p>
        </w:tc>
        <w:tc>
          <w:tcPr>
            <w:tcW w:w="20" w:type="dxa"/>
            <w:vAlign w:val="bottom"/>
          </w:tcPr>
          <w:p>
            <w:pPr>
              <w:spacing w:after="0"/>
              <w:rPr>
                <w:sz w:val="16"/>
                <w:szCs w:val="16"/>
                <w:color w:val="auto"/>
              </w:rPr>
            </w:pPr>
          </w:p>
        </w:tc>
      </w:tr>
      <w:tr>
        <w:trPr>
          <w:trHeight w:val="48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$144,835.20</w:t>
            </w:r>
          </w:p>
        </w:tc>
        <w:tc>
          <w:tcPr>
            <w:tcW w:w="940" w:type="dxa"/>
            <w:vAlign w:val="bottom"/>
          </w:tcPr>
          <w:p>
            <w:pPr>
              <w:spacing w:after="0"/>
              <w:rPr>
                <w:sz w:val="24"/>
                <w:szCs w:val="24"/>
                <w:color w:val="auto"/>
              </w:rPr>
            </w:pPr>
          </w:p>
        </w:tc>
        <w:tc>
          <w:tcPr>
            <w:tcW w:w="19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24"/>
                <w:szCs w:val="24"/>
                <w:color w:val="auto"/>
              </w:rPr>
            </w:pPr>
          </w:p>
        </w:tc>
      </w:tr>
      <w:tr>
        <w:trPr>
          <w:trHeight w:val="45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$149,864.20</w:t>
            </w:r>
          </w:p>
        </w:tc>
        <w:tc>
          <w:tcPr>
            <w:tcW w:w="940" w:type="dxa"/>
            <w:vAlign w:val="bottom"/>
          </w:tcPr>
          <w:p>
            <w:pPr>
              <w:spacing w:after="0"/>
              <w:rPr>
                <w:sz w:val="24"/>
                <w:szCs w:val="24"/>
                <w:color w:val="auto"/>
              </w:rPr>
            </w:pPr>
          </w:p>
        </w:tc>
        <w:tc>
          <w:tcPr>
            <w:tcW w:w="19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24"/>
                <w:szCs w:val="24"/>
                <w:color w:val="auto"/>
              </w:rPr>
            </w:pPr>
          </w:p>
        </w:tc>
      </w:tr>
      <w:tr>
        <w:trPr>
          <w:trHeight w:val="45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$155,110.45</w:t>
            </w:r>
          </w:p>
        </w:tc>
        <w:tc>
          <w:tcPr>
            <w:tcW w:w="940" w:type="dxa"/>
            <w:vAlign w:val="bottom"/>
          </w:tcPr>
          <w:p>
            <w:pPr>
              <w:spacing w:after="0"/>
              <w:rPr>
                <w:sz w:val="24"/>
                <w:szCs w:val="24"/>
                <w:color w:val="auto"/>
              </w:rPr>
            </w:pPr>
          </w:p>
        </w:tc>
        <w:tc>
          <w:tcPr>
            <w:tcW w:w="19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$7.7108</w:t>
            </w:r>
          </w:p>
        </w:tc>
        <w:tc>
          <w:tcPr>
            <w:tcW w:w="20" w:type="dxa"/>
            <w:vAlign w:val="bottom"/>
          </w:tcPr>
          <w:p>
            <w:pPr>
              <w:spacing w:after="0"/>
              <w:rPr>
                <w:sz w:val="24"/>
                <w:szCs w:val="24"/>
                <w:color w:val="auto"/>
              </w:rPr>
            </w:pPr>
          </w:p>
        </w:tc>
      </w:tr>
      <w:tr>
        <w:trPr>
          <w:trHeight w:val="45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$160,537.75</w:t>
            </w:r>
          </w:p>
        </w:tc>
        <w:tc>
          <w:tcPr>
            <w:tcW w:w="940" w:type="dxa"/>
            <w:vAlign w:val="bottom"/>
          </w:tcPr>
          <w:p>
            <w:pPr>
              <w:spacing w:after="0"/>
              <w:rPr>
                <w:sz w:val="24"/>
                <w:szCs w:val="24"/>
                <w:color w:val="auto"/>
              </w:rPr>
            </w:pPr>
          </w:p>
        </w:tc>
        <w:tc>
          <w:tcPr>
            <w:tcW w:w="19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$7.9806</w:t>
            </w:r>
          </w:p>
        </w:tc>
        <w:tc>
          <w:tcPr>
            <w:tcW w:w="20" w:type="dxa"/>
            <w:vAlign w:val="bottom"/>
          </w:tcPr>
          <w:p>
            <w:pPr>
              <w:spacing w:after="0"/>
              <w:rPr>
                <w:sz w:val="24"/>
                <w:szCs w:val="24"/>
                <w:color w:val="auto"/>
              </w:rPr>
            </w:pPr>
          </w:p>
        </w:tc>
      </w:tr>
      <w:tr>
        <w:trPr>
          <w:trHeight w:val="45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$166,156.15</w:t>
            </w:r>
          </w:p>
        </w:tc>
        <w:tc>
          <w:tcPr>
            <w:tcW w:w="940" w:type="dxa"/>
            <w:vAlign w:val="bottom"/>
          </w:tcPr>
          <w:p>
            <w:pPr>
              <w:spacing w:after="0"/>
              <w:rPr>
                <w:sz w:val="24"/>
                <w:szCs w:val="24"/>
                <w:color w:val="auto"/>
              </w:rPr>
            </w:pPr>
          </w:p>
        </w:tc>
        <w:tc>
          <w:tcPr>
            <w:tcW w:w="19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$8.2599</w:t>
            </w:r>
          </w:p>
        </w:tc>
        <w:tc>
          <w:tcPr>
            <w:tcW w:w="20" w:type="dxa"/>
            <w:vAlign w:val="bottom"/>
          </w:tcPr>
          <w:p>
            <w:pPr>
              <w:spacing w:after="0"/>
              <w:rPr>
                <w:sz w:val="24"/>
                <w:szCs w:val="24"/>
                <w:color w:val="auto"/>
              </w:rPr>
            </w:pPr>
          </w:p>
        </w:tc>
      </w:tr>
      <w:tr>
        <w:trPr>
          <w:trHeight w:val="45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$171,971.68</w:t>
            </w:r>
          </w:p>
        </w:tc>
        <w:tc>
          <w:tcPr>
            <w:tcW w:w="940" w:type="dxa"/>
            <w:vAlign w:val="bottom"/>
          </w:tcPr>
          <w:p>
            <w:pPr>
              <w:spacing w:after="0"/>
              <w:rPr>
                <w:sz w:val="24"/>
                <w:szCs w:val="24"/>
                <w:color w:val="auto"/>
              </w:rPr>
            </w:pPr>
          </w:p>
        </w:tc>
        <w:tc>
          <w:tcPr>
            <w:tcW w:w="19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$8.5490</w:t>
            </w:r>
          </w:p>
        </w:tc>
        <w:tc>
          <w:tcPr>
            <w:tcW w:w="20" w:type="dxa"/>
            <w:vAlign w:val="bottom"/>
          </w:tcPr>
          <w:p>
            <w:pPr>
              <w:spacing w:after="0"/>
              <w:rPr>
                <w:sz w:val="24"/>
                <w:szCs w:val="24"/>
                <w:color w:val="auto"/>
              </w:rPr>
            </w:pPr>
          </w:p>
        </w:tc>
      </w:tr>
      <w:tr>
        <w:trPr>
          <w:trHeight w:val="45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$177,992.40</w:t>
            </w:r>
          </w:p>
        </w:tc>
        <w:tc>
          <w:tcPr>
            <w:tcW w:w="940" w:type="dxa"/>
            <w:vAlign w:val="bottom"/>
          </w:tcPr>
          <w:p>
            <w:pPr>
              <w:spacing w:after="0"/>
              <w:rPr>
                <w:sz w:val="24"/>
                <w:szCs w:val="24"/>
                <w:color w:val="auto"/>
              </w:rPr>
            </w:pPr>
          </w:p>
        </w:tc>
        <w:tc>
          <w:tcPr>
            <w:tcW w:w="19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$8.8483</w:t>
            </w:r>
          </w:p>
        </w:tc>
        <w:tc>
          <w:tcPr>
            <w:tcW w:w="20" w:type="dxa"/>
            <w:vAlign w:val="bottom"/>
          </w:tcPr>
          <w:p>
            <w:pPr>
              <w:spacing w:after="0"/>
              <w:rPr>
                <w:sz w:val="24"/>
                <w:szCs w:val="24"/>
                <w:color w:val="auto"/>
              </w:rPr>
            </w:pPr>
          </w:p>
        </w:tc>
      </w:tr>
      <w:tr>
        <w:trPr>
          <w:trHeight w:val="45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$184,222.33</w:t>
            </w:r>
          </w:p>
        </w:tc>
        <w:tc>
          <w:tcPr>
            <w:tcW w:w="940" w:type="dxa"/>
            <w:vAlign w:val="bottom"/>
          </w:tcPr>
          <w:p>
            <w:pPr>
              <w:spacing w:after="0"/>
              <w:rPr>
                <w:sz w:val="24"/>
                <w:szCs w:val="24"/>
                <w:color w:val="auto"/>
              </w:rPr>
            </w:pPr>
          </w:p>
        </w:tc>
        <w:tc>
          <w:tcPr>
            <w:tcW w:w="19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$9.1580</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0" w:right="520"/>
        <w:spacing w:after="0" w:line="282" w:lineRule="auto"/>
        <w:rPr>
          <w:sz w:val="20"/>
          <w:szCs w:val="20"/>
          <w:color w:val="auto"/>
        </w:rPr>
      </w:pPr>
      <w:r>
        <w:rPr>
          <w:rFonts w:ascii="Times New Roman" w:cs="Times New Roman" w:eastAsia="Times New Roman" w:hAnsi="Times New Roman"/>
          <w:sz w:val="18"/>
          <w:szCs w:val="18"/>
          <w:color w:val="auto"/>
        </w:rPr>
        <w:t xml:space="preserve">Landlord to construct improvements in the Premises as provided in </w:t>
      </w: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w:t>
      </w: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8.93%.</w:t>
      </w:r>
    </w:p>
    <w:p>
      <w:pPr>
        <w:spacing w:after="0" w:line="200" w:lineRule="exact"/>
        <w:rPr>
          <w:sz w:val="20"/>
          <w:szCs w:val="20"/>
          <w:color w:val="auto"/>
        </w:rPr>
      </w:pPr>
    </w:p>
    <w:p>
      <w:pPr>
        <w:spacing w:after="0" w:line="268" w:lineRule="exact"/>
        <w:rPr>
          <w:sz w:val="20"/>
          <w:szCs w:val="20"/>
          <w:color w:val="auto"/>
        </w:rPr>
      </w:pPr>
    </w:p>
    <w:p>
      <w:pPr>
        <w:ind w:left="340" w:right="120"/>
        <w:spacing w:after="0" w:line="254" w:lineRule="auto"/>
        <w:rPr>
          <w:sz w:val="20"/>
          <w:szCs w:val="20"/>
          <w:color w:val="auto"/>
        </w:rPr>
      </w:pPr>
      <w:r>
        <w:rPr>
          <w:rFonts w:ascii="Times New Roman" w:cs="Times New Roman" w:eastAsia="Times New Roman" w:hAnsi="Times New Roman"/>
          <w:sz w:val="18"/>
          <w:szCs w:val="18"/>
          <w:color w:val="auto"/>
        </w:rPr>
        <w:t xml:space="preserve">The Premises shall be used only for general office, research and development, engineering, laboratory, vivarium and related uses, storage and/or warehouse uses, including, but not limited to, administrative offices and other lawful uses reasonably related to or incidental to such specified uses, all (i) consistent with first class life sciences projects in Brisbane, California (" XE "First Class Life Sciences Projects" </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Class Life Sciences Projects</w:t>
      </w:r>
      <w:r>
        <w:rPr>
          <w:rFonts w:ascii="Times New Roman" w:cs="Times New Roman" w:eastAsia="Times New Roman" w:hAnsi="Times New Roman"/>
          <w:sz w:val="18"/>
          <w:szCs w:val="18"/>
          <w:color w:val="auto"/>
        </w:rPr>
        <w:t>"), and (ii) in compliance with,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Applicable Laws as that term is defined in Article 24) and the terms of this Lease.</w:t>
      </w: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$368,444.66</w:t>
      </w:r>
    </w:p>
    <w:p>
      <w:pPr>
        <w:spacing w:after="0" w:line="200" w:lineRule="exact"/>
        <w:rPr>
          <w:sz w:val="20"/>
          <w:szCs w:val="20"/>
          <w:color w:val="auto"/>
        </w:rPr>
      </w:pPr>
    </w:p>
    <w:p>
      <w:pPr>
        <w:spacing w:after="0" w:line="268"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 xml:space="preserve">2.75 unreserved parking spaces for every 1,000 rentable square feet of the Premises, subject to the terms of </w:t>
      </w:r>
      <w:r>
        <w:rPr>
          <w:rFonts w:ascii="Times New Roman" w:cs="Times New Roman" w:eastAsia="Times New Roman" w:hAnsi="Times New Roman"/>
          <w:sz w:val="18"/>
          <w:szCs w:val="18"/>
          <w:u w:val="single" w:color="auto"/>
          <w:color w:val="auto"/>
        </w:rPr>
        <w:t>Article 28</w:t>
      </w:r>
      <w:r>
        <w:rPr>
          <w:rFonts w:ascii="Times New Roman" w:cs="Times New Roman" w:eastAsia="Times New Roman" w:hAnsi="Times New Roman"/>
          <w:sz w:val="18"/>
          <w:szCs w:val="18"/>
          <w:color w:val="auto"/>
        </w:rPr>
        <w:t xml:space="preserve"> of the Lease.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tcPr>
          <w:p>
            <w:pPr>
              <w:spacing w:after="0"/>
              <w:rPr>
                <w:sz w:val="12"/>
                <w:szCs w:val="12"/>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DOCPROPERTY "Footer Notes" HEALTHPEAK</w:t>
            </w:r>
          </w:p>
        </w:tc>
        <w:tc>
          <w:tcPr>
            <w:tcW w:w="0" w:type="dxa"/>
            <w:vAlign w:val="bottom"/>
          </w:tcPr>
          <w:p>
            <w:pPr>
              <w:spacing w:after="0"/>
              <w:rPr>
                <w:sz w:val="1"/>
                <w:szCs w:val="1"/>
                <w:color w:val="auto"/>
              </w:rPr>
            </w:pPr>
          </w:p>
        </w:tc>
      </w:tr>
      <w:tr>
        <w:trPr>
          <w:trHeight w:val="135"/>
        </w:trPr>
        <w:tc>
          <w:tcPr>
            <w:tcW w:w="1680" w:type="dxa"/>
            <w:vAlign w:val="bottom"/>
            <w:vMerge w:val="restart"/>
          </w:tcPr>
          <w:p>
            <w:pPr>
              <w:jc w:val="right"/>
              <w:ind w:right="1399"/>
              <w:spacing w:after="0"/>
              <w:rPr>
                <w:sz w:val="20"/>
                <w:szCs w:val="20"/>
                <w:color w:val="auto"/>
              </w:rPr>
            </w:pPr>
            <w:r>
              <w:rPr>
                <w:rFonts w:ascii="Times New Roman" w:cs="Times New Roman" w:eastAsia="Times New Roman" w:hAnsi="Times New Roman"/>
                <w:sz w:val="16"/>
                <w:szCs w:val="16"/>
                <w:color w:val="auto"/>
                <w:w w:val="96"/>
              </w:rPr>
              <w:t>-2-</w:t>
            </w:r>
          </w:p>
        </w:tc>
        <w:tc>
          <w:tcPr>
            <w:tcW w:w="4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c>
          <w:tcPr>
            <w:tcW w:w="0" w:type="dxa"/>
            <w:vAlign w:val="bottom"/>
          </w:tcPr>
          <w:p>
            <w:pPr>
              <w:spacing w:after="0"/>
              <w:rPr>
                <w:sz w:val="1"/>
                <w:szCs w:val="1"/>
                <w:color w:val="auto"/>
              </w:rPr>
            </w:pPr>
          </w:p>
        </w:tc>
      </w:tr>
      <w:tr>
        <w:trPr>
          <w:trHeight w:val="164"/>
        </w:trPr>
        <w:tc>
          <w:tcPr>
            <w:tcW w:w="1680" w:type="dxa"/>
            <w:vAlign w:val="bottom"/>
            <w:vMerge w:val="continue"/>
          </w:tcPr>
          <w:p>
            <w:pPr>
              <w:spacing w:after="0"/>
              <w:rPr>
                <w:sz w:val="14"/>
                <w:szCs w:val="14"/>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194310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780" w:space="720"/>
            <w:col w:w="5700"/>
          </w:cols>
          <w:pgMar w:left="340" w:top="567" w:right="3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Address of Tenant</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000" w:type="dxa"/>
            <w:vAlign w:val="bottom"/>
            <w:gridSpan w:val="5"/>
          </w:tcPr>
          <w:p>
            <w:pPr>
              <w:ind w:left="100"/>
              <w:spacing w:after="0" w:line="194" w:lineRule="exact"/>
              <w:rPr>
                <w:sz w:val="20"/>
                <w:szCs w:val="20"/>
                <w:color w:val="auto"/>
              </w:rPr>
            </w:pPr>
            <w:r>
              <w:rPr>
                <w:rFonts w:ascii="Times New Roman" w:cs="Times New Roman" w:eastAsia="Times New Roman" w:hAnsi="Times New Roman"/>
                <w:sz w:val="18"/>
                <w:szCs w:val="18"/>
                <w:color w:val="auto"/>
              </w:rPr>
              <w:t>(Section 29.18):</w:t>
            </w:r>
          </w:p>
        </w:tc>
        <w:tc>
          <w:tcPr>
            <w:tcW w:w="800" w:type="dxa"/>
            <w:vAlign w:val="bottom"/>
          </w:tcPr>
          <w:p>
            <w:pPr>
              <w:spacing w:after="0"/>
              <w:rPr>
                <w:sz w:val="16"/>
                <w:szCs w:val="16"/>
                <w:color w:val="auto"/>
              </w:rPr>
            </w:pPr>
          </w:p>
        </w:tc>
        <w:tc>
          <w:tcPr>
            <w:tcW w:w="544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Tempest Therapeutics</w:t>
            </w:r>
          </w:p>
        </w:tc>
        <w:tc>
          <w:tcPr>
            <w:tcW w:w="0" w:type="dxa"/>
            <w:vAlign w:val="bottom"/>
          </w:tcPr>
          <w:p>
            <w:pPr>
              <w:spacing w:after="0"/>
              <w:rPr>
                <w:sz w:val="1"/>
                <w:szCs w:val="1"/>
                <w:color w:val="auto"/>
              </w:rPr>
            </w:pPr>
          </w:p>
        </w:tc>
      </w:tr>
      <w:tr>
        <w:trPr>
          <w:trHeight w:val="218"/>
        </w:trPr>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7000 Shoreline Court. Suite 275</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South San Francisco, CA 94080</w:t>
            </w:r>
          </w:p>
        </w:tc>
        <w:tc>
          <w:tcPr>
            <w:tcW w:w="0" w:type="dxa"/>
            <w:vAlign w:val="bottom"/>
          </w:tcPr>
          <w:p>
            <w:pPr>
              <w:spacing w:after="0"/>
              <w:rPr>
                <w:sz w:val="1"/>
                <w:szCs w:val="1"/>
                <w:color w:val="auto"/>
              </w:rPr>
            </w:pPr>
          </w:p>
        </w:tc>
      </w:tr>
      <w:tr>
        <w:trPr>
          <w:trHeight w:val="414"/>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Attention: Nicholas Maestas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(Prior to Lease Commencement Date)</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Email: NMaestas@tempesttx.com</w:t>
            </w: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0" w:type="dxa"/>
            <w:vAlign w:val="bottom"/>
          </w:tcPr>
          <w:p>
            <w:pPr>
              <w:spacing w:after="0"/>
              <w:rPr>
                <w:sz w:val="1"/>
                <w:szCs w:val="1"/>
                <w:color w:val="auto"/>
              </w:rPr>
            </w:pPr>
          </w:p>
        </w:tc>
      </w:tr>
      <w:tr>
        <w:trPr>
          <w:trHeight w:val="441"/>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Tempest Therapeutics, Inc.</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2000 Sierra Point Parkway, Suite 400</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Brisbane, CA 94005</w:t>
            </w:r>
          </w:p>
        </w:tc>
        <w:tc>
          <w:tcPr>
            <w:tcW w:w="0" w:type="dxa"/>
            <w:vAlign w:val="bottom"/>
          </w:tcPr>
          <w:p>
            <w:pPr>
              <w:spacing w:after="0"/>
              <w:rPr>
                <w:sz w:val="1"/>
                <w:szCs w:val="1"/>
                <w:color w:val="auto"/>
              </w:rPr>
            </w:pPr>
          </w:p>
        </w:tc>
      </w:tr>
      <w:tr>
        <w:trPr>
          <w:trHeight w:val="414"/>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Attention: Nicholas Maestas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(After Lease Commencement Date)</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Email: NMaestas@tempesttx.com</w:t>
            </w:r>
          </w:p>
        </w:tc>
        <w:tc>
          <w:tcPr>
            <w:tcW w:w="0" w:type="dxa"/>
            <w:vAlign w:val="bottom"/>
          </w:tcPr>
          <w:p>
            <w:pPr>
              <w:spacing w:after="0"/>
              <w:rPr>
                <w:sz w:val="1"/>
                <w:szCs w:val="1"/>
                <w:color w:val="auto"/>
              </w:rPr>
            </w:pPr>
          </w:p>
        </w:tc>
      </w:tr>
      <w:tr>
        <w:trPr>
          <w:trHeight w:val="441"/>
        </w:trPr>
        <w:tc>
          <w:tcPr>
            <w:tcW w:w="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Address of Landlord</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0" w:type="dxa"/>
            <w:vAlign w:val="bottom"/>
            <w:gridSpan w:val="5"/>
          </w:tcPr>
          <w:p>
            <w:pPr>
              <w:ind w:left="100"/>
              <w:spacing w:after="0" w:line="194" w:lineRule="exact"/>
              <w:rPr>
                <w:sz w:val="20"/>
                <w:szCs w:val="20"/>
                <w:color w:val="auto"/>
              </w:rPr>
            </w:pPr>
            <w:r>
              <w:rPr>
                <w:rFonts w:ascii="Times New Roman" w:cs="Times New Roman" w:eastAsia="Times New Roman" w:hAnsi="Times New Roman"/>
                <w:sz w:val="18"/>
                <w:szCs w:val="18"/>
                <w:color w:val="auto"/>
              </w:rPr>
              <w:t>(Section 29.18):</w:t>
            </w:r>
          </w:p>
        </w:tc>
        <w:tc>
          <w:tcPr>
            <w:tcW w:w="800" w:type="dxa"/>
            <w:vAlign w:val="bottom"/>
          </w:tcPr>
          <w:p>
            <w:pPr>
              <w:spacing w:after="0"/>
              <w:rPr>
                <w:sz w:val="16"/>
                <w:szCs w:val="16"/>
                <w:color w:val="auto"/>
              </w:rPr>
            </w:pPr>
          </w:p>
        </w:tc>
        <w:tc>
          <w:tcPr>
            <w:tcW w:w="544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See Section 29.18 of the Lease.</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12.</w:t>
            </w:r>
          </w:p>
        </w:tc>
        <w:tc>
          <w:tcPr>
            <w:tcW w:w="4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Broker(s)</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0" w:type="dxa"/>
            <w:vAlign w:val="bottom"/>
            <w:gridSpan w:val="5"/>
          </w:tcPr>
          <w:p>
            <w:pPr>
              <w:ind w:left="100"/>
              <w:spacing w:after="0" w:line="194" w:lineRule="exact"/>
              <w:rPr>
                <w:sz w:val="20"/>
                <w:szCs w:val="20"/>
                <w:color w:val="auto"/>
              </w:rPr>
            </w:pPr>
            <w:r>
              <w:rPr>
                <w:rFonts w:ascii="Times New Roman" w:cs="Times New Roman" w:eastAsia="Times New Roman" w:hAnsi="Times New Roman"/>
                <w:sz w:val="18"/>
                <w:szCs w:val="18"/>
                <w:color w:val="auto"/>
              </w:rPr>
              <w:t>(Section 29.24):</w:t>
            </w:r>
          </w:p>
        </w:tc>
        <w:tc>
          <w:tcPr>
            <w:tcW w:w="800" w:type="dxa"/>
            <w:vAlign w:val="bottom"/>
          </w:tcPr>
          <w:p>
            <w:pPr>
              <w:spacing w:after="0"/>
              <w:rPr>
                <w:sz w:val="16"/>
                <w:szCs w:val="16"/>
                <w:color w:val="auto"/>
              </w:rPr>
            </w:pPr>
          </w:p>
        </w:tc>
        <w:tc>
          <w:tcPr>
            <w:tcW w:w="544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Rick Friday and Chris Jacobs of CBRE, INC.</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500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000" w:type="dxa"/>
            <w:vAlign w:val="bottom"/>
            <w:gridSpan w:val="5"/>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c>
          <w:tcPr>
            <w:tcW w:w="0" w:type="dxa"/>
            <w:vAlign w:val="bottom"/>
          </w:tcPr>
          <w:p>
            <w:pPr>
              <w:spacing w:after="0"/>
              <w:rPr>
                <w:sz w:val="1"/>
                <w:szCs w:val="1"/>
                <w:color w:val="auto"/>
              </w:rPr>
            </w:pPr>
          </w:p>
        </w:tc>
      </w:tr>
      <w:tr>
        <w:trPr>
          <w:trHeight w:val="135"/>
        </w:trPr>
        <w:tc>
          <w:tcPr>
            <w:tcW w:w="5000" w:type="dxa"/>
            <w:vAlign w:val="bottom"/>
            <w:gridSpan w:val="5"/>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c>
          <w:tcPr>
            <w:tcW w:w="0" w:type="dxa"/>
            <w:vAlign w:val="bottom"/>
          </w:tcPr>
          <w:p>
            <w:pPr>
              <w:spacing w:after="0"/>
              <w:rPr>
                <w:sz w:val="1"/>
                <w:szCs w:val="1"/>
                <w:color w:val="auto"/>
              </w:rPr>
            </w:pPr>
          </w:p>
        </w:tc>
      </w:tr>
      <w:tr>
        <w:trPr>
          <w:trHeight w:val="164"/>
        </w:trPr>
        <w:tc>
          <w:tcPr>
            <w:tcW w:w="500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8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c>
          <w:tcPr>
            <w:tcW w:w="0" w:type="dxa"/>
            <w:vAlign w:val="bottom"/>
          </w:tcPr>
          <w:p>
            <w:pPr>
              <w:spacing w:after="0"/>
              <w:rPr>
                <w:sz w:val="1"/>
                <w:szCs w:val="1"/>
                <w:color w:val="auto"/>
              </w:rPr>
            </w:pPr>
          </w:p>
        </w:tc>
      </w:tr>
      <w:tr>
        <w:trPr>
          <w:trHeight w:val="334"/>
        </w:trPr>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4" w:name="page125"/>
    <w:bookmarkEnd w:id="124"/>
    <w:p>
      <w:pPr>
        <w:ind w:left="760" w:right="5980" w:hanging="752"/>
        <w:spacing w:after="0" w:line="530" w:lineRule="auto"/>
        <w:tabs>
          <w:tab w:leader="none" w:pos="371"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PREMISES, BUILDING, PROJECT, AND COMMON AREAS </w:t>
      </w: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u w:val="single" w:color="auto"/>
          <w:color w:val="auto"/>
        </w:rPr>
        <w:t>Premises, Building, Project and Common Areas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The Premises</w:t>
      </w:r>
      <w:r>
        <w:rPr>
          <w:rFonts w:ascii="Times New Roman" w:cs="Times New Roman" w:eastAsia="Times New Roman" w:hAnsi="Times New Roman"/>
          <w:sz w:val="18"/>
          <w:szCs w:val="18"/>
          <w:color w:val="auto"/>
        </w:rPr>
        <w:t xml:space="preserve">. Landlord hereby leases to Tenant and Tenant hereby leases from Landlord the premises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of the Summary (the " XE "Premises"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xml:space="preserve">"). The outline of the Premises is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 The outline of the "Building" and the "Project," as those terms are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below, are further depicted on the Site Plan attached hereto as </w:t>
      </w:r>
      <w:r>
        <w:rPr>
          <w:rFonts w:ascii="Times New Roman" w:cs="Times New Roman" w:eastAsia="Times New Roman" w:hAnsi="Times New Roman"/>
          <w:sz w:val="18"/>
          <w:szCs w:val="18"/>
          <w:b w:val="1"/>
          <w:bCs w:val="1"/>
          <w:u w:val="single" w:color="auto"/>
          <w:color w:val="auto"/>
        </w:rPr>
        <w:t>Exhibit A-1</w:t>
      </w:r>
      <w:r>
        <w:rPr>
          <w:rFonts w:ascii="Times New Roman" w:cs="Times New Roman" w:eastAsia="Times New Roman" w:hAnsi="Times New Roman"/>
          <w:sz w:val="18"/>
          <w:szCs w:val="18"/>
          <w:color w:val="auto"/>
        </w:rPr>
        <w:t xml:space="preserve">.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is to show the approximate location of the Premises only, and such Exhibit is not meant to constitute an agreement, representation or warranty as to the construction of the Premises, the precise area thereof or the specific location of the "Common Areas," as that term is defined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below, or the elements thereof or of the accessways to the Premises or the "Project," as that term is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below. Except as specifically set forth in this Lease and in the Tenant Work Letter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xml:space="preserve"> (the " XE "Tenant Work Letter" </w:t>
      </w:r>
      <w:r>
        <w:rPr>
          <w:rFonts w:ascii="Times New Roman" w:cs="Times New Roman" w:eastAsia="Times New Roman" w:hAnsi="Times New Roman"/>
          <w:sz w:val="18"/>
          <w:szCs w:val="18"/>
          <w:b w:val="1"/>
          <w:bCs w:val="1"/>
          <w:color w:val="auto"/>
        </w:rPr>
        <w:t>Tenant Work Letter</w:t>
      </w:r>
      <w:r>
        <w:rPr>
          <w:rFonts w:ascii="Times New Roman" w:cs="Times New Roman" w:eastAsia="Times New Roman" w:hAnsi="Times New Roman"/>
          <w:sz w:val="18"/>
          <w:szCs w:val="18"/>
          <w:color w:val="auto"/>
        </w:rPr>
        <w:t>"), Landlord shall tender possession of the Premises to Tenant in its existing, "as is" condition, and Landlord shall not be obligated to provide or pay for any improvement work or services related to the improvement of the Premises. Landlord shall be deemed to have tendered possession of the Premises to Tenant upon the date of delivery of the Substantial Completion Certificate to Tenant in connection with the Tenant Improvements, as those terms are defined in the Tenant Work Letter (the " XE "Possession Date" "</w:t>
      </w:r>
      <w:r>
        <w:rPr>
          <w:rFonts w:ascii="Times New Roman" w:cs="Times New Roman" w:eastAsia="Times New Roman" w:hAnsi="Times New Roman"/>
          <w:sz w:val="18"/>
          <w:szCs w:val="18"/>
          <w:b w:val="1"/>
          <w:bCs w:val="1"/>
          <w:color w:val="auto"/>
        </w:rPr>
        <w:t>Possession Date</w:t>
      </w:r>
      <w:r>
        <w:rPr>
          <w:rFonts w:ascii="Times New Roman" w:cs="Times New Roman" w:eastAsia="Times New Roman" w:hAnsi="Times New Roman"/>
          <w:sz w:val="18"/>
          <w:szCs w:val="18"/>
          <w:color w:val="auto"/>
        </w:rPr>
        <w:t xml:space="preserve">"), and no action by Tenant shall be required therefor. If Landlord fails to cause the Possession Date to occur on or before February 1, 2023 (the “ XE "Outside Date"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xml:space="preserve">”), then Tenant shall be entitled to rent abatement in the amount of one day of Base Rent for each day after the Outside Date that the Possession Date has not occurred. If Landlord fails to cause the Possession Date to occur on or before April 1, 2023, (" XE "Final Date" </w:t>
      </w:r>
      <w:r>
        <w:rPr>
          <w:rFonts w:ascii="Times New Roman" w:cs="Times New Roman" w:eastAsia="Times New Roman" w:hAnsi="Times New Roman"/>
          <w:sz w:val="18"/>
          <w:szCs w:val="18"/>
          <w:b w:val="1"/>
          <w:bCs w:val="1"/>
          <w:color w:val="auto"/>
        </w:rPr>
        <w:t>Final Date</w:t>
      </w:r>
      <w:r>
        <w:rPr>
          <w:rFonts w:ascii="Times New Roman" w:cs="Times New Roman" w:eastAsia="Times New Roman" w:hAnsi="Times New Roman"/>
          <w:sz w:val="18"/>
          <w:szCs w:val="18"/>
          <w:color w:val="auto"/>
        </w:rPr>
        <w:t>"), then Tenant, at its option, may terminate this Lease by written notice to Landlord. In the event of such termination by Tenant, all sums paid by Tenant to Landlord under this Lease shall be fully refunded to Tenant and neither party shall have any further obligations hereunder. The Outside Date and Final Date shall each be extended by any Tenant Delay (as defined in the Tenant Work Letter) or delays caused by Force Majeure. Landlord shall not be subject to any liability for such failure, and the validity of this Lease shall not be impaired.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Notwithstanding the foregoing, Landlord shall deliver the Premises to Tenant in good, vacant, broom clean condition, in compliance with Applicable Laws, to the extent required to allow the legal occupancy of the Premises, with the roof water-tight and shall cause the plumbing, electrical systems, fire sprinkler system, lighting, HVAC (hereinafter defined), and all other building systems serving the Premises to be in good operating condition and repair on or before the Lease Commencement Date. Any process utilities shall be provided without warranty, in their currently existing, "as-is" condition.</w:t>
      </w:r>
    </w:p>
    <w:p>
      <w:pPr>
        <w:spacing w:after="0" w:line="204"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The Building and The Project</w:t>
      </w:r>
      <w:r>
        <w:rPr>
          <w:rFonts w:ascii="Times New Roman" w:cs="Times New Roman" w:eastAsia="Times New Roman" w:hAnsi="Times New Roman"/>
          <w:sz w:val="18"/>
          <w:szCs w:val="18"/>
          <w:color w:val="auto"/>
        </w:rPr>
        <w:t xml:space="preserve">. The Premises constitutes a portion of the building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the Summary (the " XE "Building"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The Building is part of an office/laboratory project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5" w:name="page126"/>
    <w:bookmarkEnd w:id="125"/>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currently known as "The Towers at Sierra Point." The term " XE "Project,"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as used in this Lease, shall mean (i) the Building and the Common Areas, (ii) the land (which is improved with landscaping, parking facilities and other improvements) upon which the Building and the Common Areas are located, (iii) the other office/laboratory building located in the Project, and the land upon which such adjacent office/laboratory buildings are located, and (iv) at Landlord's discretion, any additional real property, areas, land, buildings or other improvements added thereto outside of the Project.</w:t>
      </w:r>
    </w:p>
    <w:p>
      <w:pPr>
        <w:spacing w:after="0" w:line="176"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Common Areas</w:t>
      </w:r>
      <w:r>
        <w:rPr>
          <w:rFonts w:ascii="Times New Roman" w:cs="Times New Roman" w:eastAsia="Times New Roman" w:hAnsi="Times New Roman"/>
          <w:sz w:val="18"/>
          <w:szCs w:val="18"/>
          <w:color w:val="auto"/>
        </w:rPr>
        <w:t xml:space="preserve">. Tenant shall have the non-exclusive right to use in common with other tenants in the Project, and subject to the rules and regulations referred to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of this Lease, those portions of the Project which are provided, from time to time, for use in common by Landlord, Tenant and any other tenants of the Project (such areas, together with such other portions of the Project reasonably designated by Landlord are collectively referred to herein as the " XE "Common Areas" </w:t>
      </w:r>
      <w:r>
        <w:rPr>
          <w:rFonts w:ascii="Times New Roman" w:cs="Times New Roman" w:eastAsia="Times New Roman" w:hAnsi="Times New Roman"/>
          <w:sz w:val="18"/>
          <w:szCs w:val="18"/>
          <w:b w:val="1"/>
          <w:bCs w:val="1"/>
          <w:color w:val="auto"/>
        </w:rPr>
        <w:t>Common Areas</w:t>
      </w:r>
      <w:r>
        <w:rPr>
          <w:rFonts w:ascii="Times New Roman" w:cs="Times New Roman" w:eastAsia="Times New Roman" w:hAnsi="Times New Roman"/>
          <w:sz w:val="18"/>
          <w:szCs w:val="18"/>
          <w:color w:val="auto"/>
        </w:rPr>
        <w:t>"). The manner in which the Common Areas are maintained and operated shall be at the sole discretion of Landlord (but shall be consistent with the manner materially consistent with reasonably prudent landlords of comparable buildings in the vicinity of the Project) and the use thereof shall be subject to such reasonable, non-discriminatory rules, regulations and restrictions as Landlord may make from time to time. Landlord reserves the right to close temporarily, make alterations or additions to, or change the location of elements of the Project and the Common Areas, provided that, in connection therewith, Landlord shall perform such closures, alterations, additions or changes in a commercially reasonable manner and, in connection therewith, shall use commercially reasonable efforts to minimize any unreasonable interference with Tenant’s use of and access to the Premises. Except when and where Tenant’s right of access is specifically excluded in this Lease, Tenant shall have the right of access to the Premises, the Building, and the Project parking facility twenty-four (24) hours per day, seven (7) days per week during the Lease Term (hereinafter defined).</w:t>
      </w:r>
    </w:p>
    <w:p>
      <w:pPr>
        <w:spacing w:after="0" w:line="190"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Rentable Square Feet of Premises</w:t>
      </w:r>
      <w:r>
        <w:rPr>
          <w:rFonts w:ascii="Times New Roman" w:cs="Times New Roman" w:eastAsia="Times New Roman" w:hAnsi="Times New Roman"/>
          <w:sz w:val="18"/>
          <w:szCs w:val="18"/>
          <w:color w:val="auto"/>
        </w:rPr>
        <w:t xml:space="preserve">. The rentable square footage of the Premises is hereby deemed to be as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Summary, and shall not be subject to measurement or adjustment during the Lease Term.</w:t>
      </w:r>
    </w:p>
    <w:p>
      <w:pPr>
        <w:spacing w:after="0" w:line="159"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TERM; OPTION TERM</w:t>
      </w:r>
    </w:p>
    <w:p>
      <w:pPr>
        <w:spacing w:after="0" w:line="2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Lease Term</w:t>
      </w:r>
      <w:r>
        <w:rPr>
          <w:rFonts w:ascii="Times New Roman" w:cs="Times New Roman" w:eastAsia="Times New Roman" w:hAnsi="Times New Roman"/>
          <w:sz w:val="18"/>
          <w:szCs w:val="18"/>
          <w:color w:val="auto"/>
        </w:rPr>
        <w:t xml:space="preserve">. The terms and provisions of this Lease shall be effective as of the date of this Lease. The term of this Lease (the " XE "Lease Term" </w:t>
      </w:r>
      <w:r>
        <w:rPr>
          <w:rFonts w:ascii="Times New Roman" w:cs="Times New Roman" w:eastAsia="Times New Roman" w:hAnsi="Times New Roman"/>
          <w:sz w:val="18"/>
          <w:szCs w:val="18"/>
          <w:b w:val="1"/>
          <w:bCs w:val="1"/>
          <w:color w:val="auto"/>
        </w:rPr>
        <w:t>Lease Term</w:t>
      </w:r>
      <w:r>
        <w:rPr>
          <w:rFonts w:ascii="Times New Roman" w:cs="Times New Roman" w:eastAsia="Times New Roman" w:hAnsi="Times New Roman"/>
          <w:sz w:val="18"/>
          <w:szCs w:val="18"/>
          <w:color w:val="auto"/>
        </w:rPr>
        <w:t xml:space="preserve">") shall be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 Summary, shall commence on the date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Summary (the " XE "Lease Commencement Date" </w:t>
      </w:r>
      <w:r>
        <w:rPr>
          <w:rFonts w:ascii="Times New Roman" w:cs="Times New Roman" w:eastAsia="Times New Roman" w:hAnsi="Times New Roman"/>
          <w:sz w:val="18"/>
          <w:szCs w:val="18"/>
          <w:b w:val="1"/>
          <w:bCs w:val="1"/>
          <w:color w:val="auto"/>
        </w:rPr>
        <w:t>Lease Commencement Date</w:t>
      </w:r>
      <w:r>
        <w:rPr>
          <w:rFonts w:ascii="Times New Roman" w:cs="Times New Roman" w:eastAsia="Times New Roman" w:hAnsi="Times New Roman"/>
          <w:sz w:val="18"/>
          <w:szCs w:val="18"/>
          <w:color w:val="auto"/>
        </w:rPr>
        <w:t xml:space="preserve">"), and shall terminate on the date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the Summary (the " XE "Lease Expiration Date" </w:t>
      </w:r>
      <w:r>
        <w:rPr>
          <w:rFonts w:ascii="Times New Roman" w:cs="Times New Roman" w:eastAsia="Times New Roman" w:hAnsi="Times New Roman"/>
          <w:sz w:val="18"/>
          <w:szCs w:val="18"/>
          <w:b w:val="1"/>
          <w:bCs w:val="1"/>
          <w:color w:val="auto"/>
        </w:rPr>
        <w:t>Lease Expiration Date</w:t>
      </w:r>
      <w:r>
        <w:rPr>
          <w:rFonts w:ascii="Times New Roman" w:cs="Times New Roman" w:eastAsia="Times New Roman" w:hAnsi="Times New Roman"/>
          <w:sz w:val="18"/>
          <w:szCs w:val="18"/>
          <w:color w:val="auto"/>
        </w:rPr>
        <w:t xml:space="preserve">") unless this Lease is sooner terminated as hereinafter provided. For purposes of this Lease, the term " XE "Lease Year" </w:t>
      </w:r>
      <w:r>
        <w:rPr>
          <w:rFonts w:ascii="Times New Roman" w:cs="Times New Roman" w:eastAsia="Times New Roman" w:hAnsi="Times New Roman"/>
          <w:sz w:val="18"/>
          <w:szCs w:val="18"/>
          <w:b w:val="1"/>
          <w:bCs w:val="1"/>
          <w:color w:val="auto"/>
        </w:rPr>
        <w:t>Lease Year</w:t>
      </w:r>
      <w:r>
        <w:rPr>
          <w:rFonts w:ascii="Times New Roman" w:cs="Times New Roman" w:eastAsia="Times New Roman" w:hAnsi="Times New Roman"/>
          <w:sz w:val="18"/>
          <w:szCs w:val="18"/>
          <w:color w:val="auto"/>
        </w:rPr>
        <w:t xml:space="preserve">" shall mean each consecutive twelve (12) month period during the Lease Term. At any time during the Lease Term, Landlord may deliver to Tenant a notice in the form as set forth in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attached hereto, as a confirmation only of the information set forth therein, which Tenant shall execute (or provide factual corrections thereto) and return to Landlord within ten (10) days of receipt thereof.</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Option Term</w:t>
      </w:r>
      <w:r>
        <w:rPr>
          <w:rFonts w:ascii="Times New Roman" w:cs="Times New Roman" w:eastAsia="Times New Roman" w:hAnsi="Times New Roman"/>
          <w:sz w:val="18"/>
          <w:szCs w:val="18"/>
          <w:color w:val="auto"/>
        </w:rPr>
        <w: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6" w:name="page127"/>
    <w:bookmarkEnd w:id="126"/>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b w:val="1"/>
          <w:bCs w:val="1"/>
          <w:u w:val="single" w:color="auto"/>
          <w:color w:val="auto"/>
        </w:rPr>
        <w:t>Option Right</w:t>
      </w:r>
      <w:r>
        <w:rPr>
          <w:rFonts w:ascii="Times New Roman" w:cs="Times New Roman" w:eastAsia="Times New Roman" w:hAnsi="Times New Roman"/>
          <w:sz w:val="18"/>
          <w:szCs w:val="18"/>
          <w:color w:val="auto"/>
        </w:rPr>
        <w:t xml:space="preserve">. Landlord hereby grants to the Tenant originally named in this Lease (the " XE "Original Tenant"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and any assignee of all of Tenant’s interest in this Lease or transferee pursuant to a Permitted Transfer (hereinafter defined), one (1) option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 the Lease Term for a period of eight (8) years (the "</w:t>
      </w:r>
      <w:r>
        <w:rPr>
          <w:rFonts w:ascii="Times New Roman" w:cs="Times New Roman" w:eastAsia="Times New Roman" w:hAnsi="Times New Roman"/>
          <w:sz w:val="18"/>
          <w:szCs w:val="18"/>
          <w:b w:val="1"/>
          <w:bCs w:val="1"/>
          <w:color w:val="auto"/>
        </w:rPr>
        <w:t>Option Term</w:t>
      </w:r>
      <w:r>
        <w:rPr>
          <w:rFonts w:ascii="Times New Roman" w:cs="Times New Roman" w:eastAsia="Times New Roman" w:hAnsi="Times New Roman"/>
          <w:sz w:val="18"/>
          <w:szCs w:val="18"/>
          <w:color w:val="auto"/>
        </w:rPr>
        <w:t xml:space="preserve"> XE "Option Term" "), which option shall be irrevocably exercised only by written notice delivered by Tenant to Landlord not more than twelve (12) months nor less than nine (9) months prior to the expiration of the initial Lease Term, provided that the following conditions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Option Conditions</w:t>
      </w:r>
      <w:r>
        <w:rPr>
          <w:rFonts w:ascii="Times New Roman" w:cs="Times New Roman" w:eastAsia="Times New Roman" w:hAnsi="Times New Roman"/>
          <w:sz w:val="18"/>
          <w:szCs w:val="18"/>
          <w:color w:val="auto"/>
        </w:rPr>
        <w:t xml:space="preserve"> XE "Option Conditions" ") are satisfied: (i) as of the date of delivery of such notice, Tenant is not in default under this Lease, after the expiration of any applicable notice and cure period; (ii) Tenant has not previously been in default under this Lease, after the expiration of any applicable notice and cure period, more than twice in the twelve (12) month period prior to the date of Tenant's attempted exercise; and (iii) the Lease then remains in full force and effect. Landlord may, at Landlord's option, exercised in Landlord's sole and absolute discretion, waive any of the Option Conditions in which case the option, if otherwise properly exercised by Tenant, shall remain in full force and effect. Upon the proper exercise of such option to extend, and provided that Tenant satisfies all of the Option Conditions (except those, if any, which are waived by Landlord), the Lease Term, as it applies to the Premises, shall be extended for a period of eight (8) years.</w:t>
      </w:r>
    </w:p>
    <w:p>
      <w:pPr>
        <w:spacing w:after="0" w:line="182"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b w:val="1"/>
          <w:bCs w:val="1"/>
          <w:u w:val="single" w:color="auto"/>
          <w:color w:val="auto"/>
        </w:rPr>
        <w:t>Option Rent</w:t>
      </w:r>
      <w:r>
        <w:rPr>
          <w:rFonts w:ascii="Times New Roman" w:cs="Times New Roman" w:eastAsia="Times New Roman" w:hAnsi="Times New Roman"/>
          <w:sz w:val="18"/>
          <w:szCs w:val="18"/>
          <w:color w:val="auto"/>
        </w:rPr>
        <w:t>. The annual Rent payable by Tenant during the Option Term (the "</w:t>
      </w:r>
      <w:r>
        <w:rPr>
          <w:rFonts w:ascii="Times New Roman" w:cs="Times New Roman" w:eastAsia="Times New Roman" w:hAnsi="Times New Roman"/>
          <w:sz w:val="18"/>
          <w:szCs w:val="18"/>
          <w:b w:val="1"/>
          <w:bCs w:val="1"/>
          <w:color w:val="auto"/>
        </w:rPr>
        <w:t>Option Rent</w:t>
      </w:r>
      <w:r>
        <w:rPr>
          <w:rFonts w:ascii="Times New Roman" w:cs="Times New Roman" w:eastAsia="Times New Roman" w:hAnsi="Times New Roman"/>
          <w:sz w:val="18"/>
          <w:szCs w:val="18"/>
          <w:color w:val="auto"/>
        </w:rPr>
        <w:t xml:space="preserve"> XE "Option Rent" ") shall be equal to the "Fair Rental Value," as that term is defined below, for the Premises as of the commencement date of the Option Term. The "</w:t>
      </w:r>
      <w:r>
        <w:rPr>
          <w:rFonts w:ascii="Times New Roman" w:cs="Times New Roman" w:eastAsia="Times New Roman" w:hAnsi="Times New Roman"/>
          <w:sz w:val="18"/>
          <w:szCs w:val="18"/>
          <w:b w:val="1"/>
          <w:bCs w:val="1"/>
          <w:color w:val="auto"/>
        </w:rPr>
        <w:t>Fair Rental Value</w:t>
      </w:r>
      <w:r>
        <w:rPr>
          <w:rFonts w:ascii="Times New Roman" w:cs="Times New Roman" w:eastAsia="Times New Roman" w:hAnsi="Times New Roman"/>
          <w:sz w:val="18"/>
          <w:szCs w:val="18"/>
          <w:color w:val="auto"/>
        </w:rPr>
        <w:t xml:space="preserve"> XE "Fair Rental Value" ," as used in this Lease, shall be equal to the annual rent per rentable square foot (including additional rent and considering any "base year" or "expense stop" applicable thereto), including all escalations, at which tenants (pursuant to leases consummated within the twelve (12) month period preceding the first day of the Option Term), are leasing non-sublease, non-encumbered, non-equity space which is not significantly greater or smaller in size than the subject space, with a comparable level of improvements (excluding any property that Tenant would be allowed to remove from the Premises at the termination of the Lease), for a comparable lease term, in an arm's length transaction, which comparable space is located in the "Comparable Buildings," as that term is defined in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below (transactions satisfying the foregoing criteria shall be known as the " XE "Comparable Transactions" </w:t>
      </w:r>
      <w:r>
        <w:rPr>
          <w:rFonts w:ascii="Times New Roman" w:cs="Times New Roman" w:eastAsia="Times New Roman" w:hAnsi="Times New Roman"/>
          <w:sz w:val="18"/>
          <w:szCs w:val="18"/>
          <w:b w:val="1"/>
          <w:bCs w:val="1"/>
          <w:color w:val="auto"/>
        </w:rPr>
        <w:t>Comparable Transactions</w:t>
      </w:r>
      <w:r>
        <w:rPr>
          <w:rFonts w:ascii="Times New Roman" w:cs="Times New Roman" w:eastAsia="Times New Roman" w:hAnsi="Times New Roman"/>
          <w:sz w:val="18"/>
          <w:szCs w:val="18"/>
          <w:color w:val="auto"/>
        </w:rPr>
        <w:t xml:space="preserve">"), taking into consideration the following concessions (the " XE "Concessions" </w:t>
      </w:r>
      <w:r>
        <w:rPr>
          <w:rFonts w:ascii="Times New Roman" w:cs="Times New Roman" w:eastAsia="Times New Roman" w:hAnsi="Times New Roman"/>
          <w:sz w:val="18"/>
          <w:szCs w:val="18"/>
          <w:b w:val="1"/>
          <w:bCs w:val="1"/>
          <w:color w:val="auto"/>
        </w:rPr>
        <w:t>Concessions</w:t>
      </w:r>
      <w:r>
        <w:rPr>
          <w:rFonts w:ascii="Times New Roman" w:cs="Times New Roman" w:eastAsia="Times New Roman" w:hAnsi="Times New Roman"/>
          <w:sz w:val="18"/>
          <w:szCs w:val="18"/>
          <w:color w:val="auto"/>
        </w:rPr>
        <w:t xml:space="preserve">"): (a) rental abatement concessions, if any, being granted such tenants in connection with such comparable space; (b) tenant improvements or allowances provided or to be provided for such comparable space, and taking into account the value, if any, of the existing improvements in the subject space (other than improvements installed by Tenant at Tenant’s sole cost and expense), such value to be based upon the age, condition, design, quality of finishes and layout of the improvements and the extent to which the same can be utilized by a general office/lab user other than Tenant; and (c) other reasonable monetary concessions being granted such tenants in connection with such comparable space; provided, however, that in calculating the Fair Rental Value, no consideration shall be given to the fact that Landlord is or is not required to pay a real estate brokerage commission in connection with Tenant's exercise of its right to extend the Lease Term, or the fact that landlords are or are not paying real estate brokerage commissions in connection with such comparable space. The Concessions shall be reflected in the effective rental rate (which effective rental rate shall take into consideration the total dollar value of such Concessions as amortized on a straight-line basis over the applicable term of the Comparable Transaction (in which case such Concessions evidenced in the effective rental rate shall not be granted to Tenant)) payable by Tenant. The term “ XE “Comparable Buildings” </w:t>
      </w:r>
      <w:r>
        <w:rPr>
          <w:rFonts w:ascii="Times New Roman" w:cs="Times New Roman" w:eastAsia="Times New Roman" w:hAnsi="Times New Roman"/>
          <w:sz w:val="18"/>
          <w:szCs w:val="18"/>
          <w:b w:val="1"/>
          <w:bCs w:val="1"/>
          <w:color w:val="auto"/>
        </w:rPr>
        <w:t>Comparable Buildings</w:t>
      </w:r>
      <w:r>
        <w:rPr>
          <w:rFonts w:ascii="Times New Roman" w:cs="Times New Roman" w:eastAsia="Times New Roman" w:hAnsi="Times New Roman"/>
          <w:sz w:val="18"/>
          <w:szCs w:val="18"/>
          <w:color w:val="auto"/>
        </w:rPr>
        <w:t>” shall mean the Building and those other life sciences buildings which are comparable to the Building in terms of age (based upon the date of completion of construction or major renovation to the building), quality of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construction, level of services and amenities, size and appearance, and are located in Brisbane, California and the surrounding commercial area.</w:t>
      </w:r>
    </w:p>
    <w:p>
      <w:pPr>
        <w:spacing w:after="0" w:line="221" w:lineRule="exact"/>
        <w:rPr>
          <w:sz w:val="20"/>
          <w:szCs w:val="20"/>
          <w:color w:val="auto"/>
        </w:rPr>
      </w:pPr>
    </w:p>
    <w:p>
      <w:pPr>
        <w:ind w:firstLine="1497"/>
        <w:spacing w:after="0" w:line="263"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b w:val="1"/>
          <w:bCs w:val="1"/>
          <w:u w:val="single" w:color="auto"/>
          <w:color w:val="auto"/>
        </w:rPr>
        <w:t>Determination of Option Rent</w:t>
      </w:r>
      <w:r>
        <w:rPr>
          <w:rFonts w:ascii="Times New Roman" w:cs="Times New Roman" w:eastAsia="Times New Roman" w:hAnsi="Times New Roman"/>
          <w:sz w:val="18"/>
          <w:szCs w:val="18"/>
          <w:color w:val="auto"/>
        </w:rPr>
        <w:t>. In the event Tenant timely and appropriately exercises an option to extend the Lease Term, Landlord shall notify Tenant of Landlord's determination of the Option Rent within thirty (30) days thereafter. If Tenant, on or before the date which is ten</w:t>
      </w:r>
    </w:p>
    <w:p>
      <w:pPr>
        <w:spacing w:after="0" w:line="1" w:lineRule="exact"/>
        <w:rPr>
          <w:sz w:val="20"/>
          <w:szCs w:val="20"/>
          <w:color w:val="auto"/>
        </w:rPr>
      </w:pPr>
    </w:p>
    <w:p>
      <w:pPr>
        <w:jc w:val="both"/>
        <w:ind w:firstLine="8"/>
        <w:spacing w:after="0" w:line="251" w:lineRule="auto"/>
        <w:tabs>
          <w:tab w:leader="none" w:pos="3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date upon which Tenant receives Landlord's determination of the Option Rent, in good faith objects to Landlord's determination of the Option Rent, then Landlord and Tenant shall attempt to agree upon the Option Rent using their best good-faith efforts. If Landlord and Tenant fail to reach agreement within ten (10) business days following Tenant's objection to the Option Rent (the "</w:t>
      </w:r>
      <w:r>
        <w:rPr>
          <w:rFonts w:ascii="Times New Roman" w:cs="Times New Roman" w:eastAsia="Times New Roman" w:hAnsi="Times New Roman"/>
          <w:sz w:val="18"/>
          <w:szCs w:val="18"/>
          <w:b w:val="1"/>
          <w:bCs w:val="1"/>
          <w:color w:val="auto"/>
        </w:rPr>
        <w:t>Outside Agreement Date</w:t>
      </w:r>
      <w:r>
        <w:rPr>
          <w:rFonts w:ascii="Times New Roman" w:cs="Times New Roman" w:eastAsia="Times New Roman" w:hAnsi="Times New Roman"/>
          <w:sz w:val="18"/>
          <w:szCs w:val="18"/>
          <w:color w:val="auto"/>
        </w:rPr>
        <w:t xml:space="preserve"> XE "Outside Agreement Date" "), then Tenant shall have the right to withdraw its exercise of the option by delivering written notice thereof to Landlord within five (5) days thereafter, in which event Tenant's right to extend the Lease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be of no further force or effect. If Tenant does not withdraw its exercise of the extension option, each party shall make a separate determination of the Option Rent, as the case may be, within ten (10) days after the Outside Agreement Date, and such determinations shall be submitted to arbitration in accordance with </w:t>
      </w:r>
      <w:r>
        <w:rPr>
          <w:rFonts w:ascii="Times New Roman" w:cs="Times New Roman" w:eastAsia="Times New Roman" w:hAnsi="Times New Roman"/>
          <w:sz w:val="18"/>
          <w:szCs w:val="18"/>
          <w:u w:val="single" w:color="auto"/>
          <w:color w:val="auto"/>
        </w:rPr>
        <w:t>Sections 2.2.3.1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2.2.3.7</w:t>
      </w:r>
      <w:r>
        <w:rPr>
          <w:rFonts w:ascii="Times New Roman" w:cs="Times New Roman" w:eastAsia="Times New Roman" w:hAnsi="Times New Roman"/>
          <w:sz w:val="18"/>
          <w:szCs w:val="18"/>
          <w:color w:val="auto"/>
        </w:rPr>
        <w:t>, below. If Tenant fails to accept Landlord's determination of the Option Rent within the time period set forth herein, then Tenant shall be deemed to have objected to Landlord's determination of Option Rent.</w:t>
      </w:r>
    </w:p>
    <w:p>
      <w:pPr>
        <w:spacing w:after="0" w:line="193" w:lineRule="exact"/>
        <w:rPr>
          <w:sz w:val="20"/>
          <w:szCs w:val="20"/>
          <w:color w:val="auto"/>
        </w:rPr>
      </w:pPr>
    </w:p>
    <w:p>
      <w:pPr>
        <w:jc w:val="both"/>
        <w:ind w:firstLine="2246"/>
        <w:spacing w:after="0" w:line="255" w:lineRule="auto"/>
        <w:rPr>
          <w:sz w:val="20"/>
          <w:szCs w:val="20"/>
          <w:color w:val="auto"/>
        </w:rPr>
      </w:pPr>
      <w:r>
        <w:rPr>
          <w:rFonts w:ascii="Times New Roman" w:cs="Times New Roman" w:eastAsia="Times New Roman" w:hAnsi="Times New Roman"/>
          <w:sz w:val="18"/>
          <w:szCs w:val="18"/>
          <w:color w:val="auto"/>
        </w:rPr>
        <w:t xml:space="preserve">2.2.3.1 Landlord and Tenant shall each appoint one arbitrator who shall be a real estate appraiser who shall have been active over the five (5) year period ending on the date of such appointment in the appraisal of other class A life sciences buildings located in the Brisbane market area. The determination of the arbitrators shall be limited solely to the issue of whether Landlord's or Tenant's submitted Option Rent is the closest to the actual Option Rent, taking into account the requirements of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of this Lease, as determined by the arbitrators. Each such arbitrator shall be appointed within fifteen (15)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Times New Roman" w:cs="Times New Roman" w:eastAsia="Times New Roman" w:hAnsi="Times New Roman"/>
          <w:sz w:val="18"/>
          <w:szCs w:val="18"/>
          <w:b w:val="1"/>
          <w:bCs w:val="1"/>
          <w:color w:val="auto"/>
        </w:rPr>
        <w:t>Advocate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Arbitrators </w:t>
      </w:r>
      <w:r>
        <w:rPr>
          <w:rFonts w:ascii="Times New Roman" w:cs="Times New Roman" w:eastAsia="Times New Roman" w:hAnsi="Times New Roman"/>
          <w:sz w:val="18"/>
          <w:szCs w:val="18"/>
          <w:color w:val="auto"/>
        </w:rPr>
        <w:t>XE "Advocate Arbitrators" ."</w:t>
      </w:r>
    </w:p>
    <w:p>
      <w:pPr>
        <w:spacing w:after="0" w:line="189" w:lineRule="exact"/>
        <w:rPr>
          <w:sz w:val="20"/>
          <w:szCs w:val="20"/>
          <w:color w:val="auto"/>
        </w:rPr>
      </w:pPr>
    </w:p>
    <w:p>
      <w:pPr>
        <w:jc w:val="both"/>
        <w:ind w:firstLine="2246"/>
        <w:spacing w:after="0" w:line="257" w:lineRule="auto"/>
        <w:rPr>
          <w:sz w:val="20"/>
          <w:szCs w:val="20"/>
          <w:color w:val="auto"/>
        </w:rPr>
      </w:pPr>
      <w:r>
        <w:rPr>
          <w:rFonts w:ascii="Times New Roman" w:cs="Times New Roman" w:eastAsia="Times New Roman" w:hAnsi="Times New Roman"/>
          <w:sz w:val="18"/>
          <w:szCs w:val="18"/>
          <w:color w:val="auto"/>
        </w:rPr>
        <w:t>2.2.3.2 The two (2) Advocate Arbitrators so appointed shall be specifically required pursuant to an engagement letter within ten (10) days of the date of the appointment of the last appointed Advocate Arbitrator to agree upon and appoint a third arbitrator ("</w:t>
      </w:r>
      <w:r>
        <w:rPr>
          <w:rFonts w:ascii="Times New Roman" w:cs="Times New Roman" w:eastAsia="Times New Roman" w:hAnsi="Times New Roman"/>
          <w:sz w:val="18"/>
          <w:szCs w:val="18"/>
          <w:b w:val="1"/>
          <w:bCs w:val="1"/>
          <w:color w:val="auto"/>
        </w:rPr>
        <w:t>Neutral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Arbitrator </w:t>
      </w:r>
      <w:r>
        <w:rPr>
          <w:rFonts w:ascii="Times New Roman" w:cs="Times New Roman" w:eastAsia="Times New Roman" w:hAnsi="Times New Roman"/>
          <w:sz w:val="18"/>
          <w:szCs w:val="18"/>
          <w:color w:val="auto"/>
        </w:rPr>
        <w:t>XE "Neutral Arbitrator" ") who shall be qualified under the same criteria set forth hereinabove for qualification of the two Advocate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Arbitrators, except that neither the Landlord or Tenant or either parties' Advocate Arbitrator may, directly or indirectly, consult with the Neutral Arbitrator prior or subsequent to his or her appearance. The Neutral Arbitrator shall be retained via an engagement letter jointly prepared by Landlord's counsel and Tenant’s counsel.</w:t>
      </w:r>
    </w:p>
    <w:p>
      <w:pPr>
        <w:spacing w:after="0" w:line="200" w:lineRule="exact"/>
        <w:rPr>
          <w:sz w:val="20"/>
          <w:szCs w:val="20"/>
          <w:color w:val="auto"/>
        </w:rPr>
      </w:pPr>
    </w:p>
    <w:p>
      <w:pPr>
        <w:spacing w:after="0" w:line="204" w:lineRule="exact"/>
        <w:rPr>
          <w:sz w:val="20"/>
          <w:szCs w:val="20"/>
          <w:color w:val="auto"/>
        </w:rPr>
      </w:pPr>
    </w:p>
    <w:p>
      <w:pPr>
        <w:jc w:val="both"/>
        <w:ind w:firstLine="2246"/>
        <w:spacing w:after="0" w:line="282" w:lineRule="auto"/>
        <w:rPr>
          <w:sz w:val="20"/>
          <w:szCs w:val="20"/>
          <w:color w:val="auto"/>
        </w:rPr>
      </w:pPr>
      <w:r>
        <w:rPr>
          <w:rFonts w:ascii="Times New Roman" w:cs="Times New Roman" w:eastAsia="Times New Roman" w:hAnsi="Times New Roman"/>
          <w:sz w:val="18"/>
          <w:szCs w:val="18"/>
          <w:color w:val="auto"/>
        </w:rPr>
        <w:t>2.2.3.3 The three arbitrators shall, within thirty (30) days of the appointment of the Neutral Arbitrator, reach a decision as to whether the parties shall use Landlord's or Tenant's submitted Option Rent, and shall notify Landlord and Tenant thereof.</w:t>
      </w:r>
    </w:p>
    <w:p>
      <w:pPr>
        <w:spacing w:after="0" w:line="162"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2.2.3.4</w:t>
      </w:r>
      <w:r>
        <w:rPr>
          <w:sz w:val="20"/>
          <w:szCs w:val="20"/>
          <w:color w:val="auto"/>
        </w:rPr>
        <w:tab/>
      </w:r>
      <w:r>
        <w:rPr>
          <w:rFonts w:ascii="Times New Roman" w:cs="Times New Roman" w:eastAsia="Times New Roman" w:hAnsi="Times New Roman"/>
          <w:sz w:val="17"/>
          <w:szCs w:val="17"/>
          <w:color w:val="auto"/>
        </w:rPr>
        <w:t>The decision of the majority of the three arbitrators shall be binding upon Landlord and Tenant.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8" w:name="page129"/>
    <w:bookmarkEnd w:id="128"/>
    <w:p>
      <w:pPr>
        <w:jc w:val="both"/>
        <w:ind w:right="20" w:firstLine="2246"/>
        <w:spacing w:after="0" w:line="261" w:lineRule="auto"/>
        <w:rPr>
          <w:sz w:val="20"/>
          <w:szCs w:val="20"/>
          <w:color w:val="auto"/>
        </w:rPr>
      </w:pPr>
      <w:r>
        <w:rPr>
          <w:rFonts w:ascii="Times New Roman" w:cs="Times New Roman" w:eastAsia="Times New Roman" w:hAnsi="Times New Roman"/>
          <w:sz w:val="18"/>
          <w:szCs w:val="18"/>
          <w:color w:val="auto"/>
        </w:rPr>
        <w:t xml:space="preserve">2.2.3.5 If either Landlord or Tenant fails to appoint an Advocate Arbitrator within fifteen (15) days after the Outside Agreement Date, then either party may petition the presiding judge of the Superior Court of San Mateo County to appoint such Advocate Arbitrator subject to the criteria in </w:t>
      </w:r>
      <w:r>
        <w:rPr>
          <w:rFonts w:ascii="Times New Roman" w:cs="Times New Roman" w:eastAsia="Times New Roman" w:hAnsi="Times New Roman"/>
          <w:sz w:val="18"/>
          <w:szCs w:val="18"/>
          <w:u w:val="single" w:color="auto"/>
          <w:color w:val="auto"/>
        </w:rPr>
        <w:t>Section 2.2.3.1</w:t>
      </w:r>
      <w:r>
        <w:rPr>
          <w:rFonts w:ascii="Times New Roman" w:cs="Times New Roman" w:eastAsia="Times New Roman" w:hAnsi="Times New Roman"/>
          <w:sz w:val="18"/>
          <w:szCs w:val="18"/>
          <w:color w:val="auto"/>
        </w:rPr>
        <w:t xml:space="preserve"> of this Lease, or if he or she refuses to act, either party may petition any judge having jurisdiction over the parties to appoint such Advocate Arbitrator.</w:t>
      </w:r>
    </w:p>
    <w:p>
      <w:pPr>
        <w:spacing w:after="0" w:line="180" w:lineRule="exact"/>
        <w:rPr>
          <w:sz w:val="20"/>
          <w:szCs w:val="20"/>
          <w:color w:val="auto"/>
        </w:rPr>
      </w:pPr>
    </w:p>
    <w:p>
      <w:pPr>
        <w:jc w:val="both"/>
        <w:ind w:firstLine="2246"/>
        <w:spacing w:after="0" w:line="261" w:lineRule="auto"/>
        <w:rPr>
          <w:sz w:val="20"/>
          <w:szCs w:val="20"/>
          <w:color w:val="auto"/>
        </w:rPr>
      </w:pPr>
      <w:r>
        <w:rPr>
          <w:rFonts w:ascii="Times New Roman" w:cs="Times New Roman" w:eastAsia="Times New Roman" w:hAnsi="Times New Roman"/>
          <w:sz w:val="18"/>
          <w:szCs w:val="18"/>
          <w:color w:val="auto"/>
        </w:rPr>
        <w:t xml:space="preserve">2.2.3.6 If the two (2) Advocate Arbitrators fail to agree upon and appoint the Neutral Arbitrator within ten (10) days after the appointment of the last appointed Advocate Arbitrator, then either party may petition the presiding judge of the Superior Court of San Mateo County to appoint the Neutral Arbitrator, subject to criteria in </w:t>
      </w:r>
      <w:r>
        <w:rPr>
          <w:rFonts w:ascii="Times New Roman" w:cs="Times New Roman" w:eastAsia="Times New Roman" w:hAnsi="Times New Roman"/>
          <w:sz w:val="18"/>
          <w:szCs w:val="18"/>
          <w:u w:val="single" w:color="auto"/>
          <w:color w:val="auto"/>
        </w:rPr>
        <w:t>Section 2.2.3.1</w:t>
      </w:r>
      <w:r>
        <w:rPr>
          <w:rFonts w:ascii="Times New Roman" w:cs="Times New Roman" w:eastAsia="Times New Roman" w:hAnsi="Times New Roman"/>
          <w:sz w:val="18"/>
          <w:szCs w:val="18"/>
          <w:color w:val="auto"/>
        </w:rPr>
        <w:t xml:space="preserve"> of this Lease, or if he or she refuses to act, either party may petition any judge having jurisdiction over the parties to appoint such arbitrator.</w:t>
      </w:r>
    </w:p>
    <w:p>
      <w:pPr>
        <w:spacing w:after="0" w:line="180"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2.2.3.7</w:t>
      </w:r>
      <w:r>
        <w:rPr>
          <w:sz w:val="20"/>
          <w:szCs w:val="20"/>
          <w:color w:val="auto"/>
        </w:rPr>
        <w:tab/>
      </w:r>
      <w:r>
        <w:rPr>
          <w:rFonts w:ascii="Times New Roman" w:cs="Times New Roman" w:eastAsia="Times New Roman" w:hAnsi="Times New Roman"/>
          <w:sz w:val="17"/>
          <w:szCs w:val="17"/>
          <w:color w:val="auto"/>
        </w:rPr>
        <w:t>The cost of the arbitration shall be paid by Landlord and Tenant equally.</w:t>
      </w:r>
    </w:p>
    <w:p>
      <w:pPr>
        <w:spacing w:after="0" w:line="225" w:lineRule="exact"/>
        <w:rPr>
          <w:sz w:val="20"/>
          <w:szCs w:val="20"/>
          <w:color w:val="auto"/>
        </w:rPr>
      </w:pPr>
    </w:p>
    <w:p>
      <w:pPr>
        <w:jc w:val="both"/>
        <w:ind w:firstLine="2246"/>
        <w:spacing w:after="0" w:line="261" w:lineRule="auto"/>
        <w:rPr>
          <w:sz w:val="20"/>
          <w:szCs w:val="20"/>
          <w:color w:val="auto"/>
        </w:rPr>
      </w:pPr>
      <w:r>
        <w:rPr>
          <w:rFonts w:ascii="Times New Roman" w:cs="Times New Roman" w:eastAsia="Times New Roman" w:hAnsi="Times New Roman"/>
          <w:sz w:val="18"/>
          <w:szCs w:val="18"/>
          <w:color w:val="auto"/>
        </w:rPr>
        <w:t>2.2.3.8 In the event that the Option Rent shall not have been determined pursuant to the terms hereof prior to the commencement of the Option Term, Tenant shall be required to pay as Option Rent, an amount equal to 103% of the Base Rent payable by Tenant as of the expiration of the initial Lease Term, and upon the final determination of the Option Rent, the payments made by Tenant shall be reconciled with the actual amounts of Option Rent due, and the appropriate party shall make any corresponding payment to the other party.</w:t>
      </w:r>
    </w:p>
    <w:p>
      <w:pPr>
        <w:spacing w:after="0" w:line="180" w:lineRule="exact"/>
        <w:rPr>
          <w:sz w:val="20"/>
          <w:szCs w:val="20"/>
          <w:color w:val="auto"/>
        </w:rPr>
      </w:pPr>
    </w:p>
    <w:p>
      <w:pPr>
        <w:jc w:val="both"/>
        <w:ind w:firstLine="8"/>
        <w:spacing w:after="0" w:line="253" w:lineRule="auto"/>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 RENT. Tenant shall pay, without prior notice or demand, to Landlord or Landlord's agent at the management office of the Project, or at such other place as Landlord may from time to time designate in writing, by a check, wire transfer, ACH or other electronic means acceptable to Landlord, for currency which, at the time of payment, is legal tender for private or public debts in the United States of America, base rent ("</w:t>
      </w: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xml:space="preserve"> XE "Base Rent" ") as set forth in Section 4 of the Summary, payable in equal monthly installments as set forth in Section 4 of the Summary in advance on or before the first day of each and every calendar month during the Lease Term, without any setoff or deduction whatsoever, except to the extent expressly provided otherwise in this Lease. The Base Rent for the first full month of the Lease Term shall be paid at the time of Tenant's execution of this Lease. If any Rent (hereinafter defined)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9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RENT.</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General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u w:val="single" w:color="auto"/>
          <w:color w:val="auto"/>
        </w:rPr>
        <w:t>Direct Expenses; Additional Rent</w:t>
      </w:r>
      <w:r>
        <w:rPr>
          <w:rFonts w:ascii="Times New Roman" w:cs="Times New Roman" w:eastAsia="Times New Roman" w:hAnsi="Times New Roman"/>
          <w:sz w:val="18"/>
          <w:szCs w:val="18"/>
          <w:color w:val="auto"/>
        </w:rPr>
        <w:t xml:space="preserve">. In addition to paying the Base Rent specified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of this Lease, Tenant shall pay " XE "Tenant's Share" </w:t>
      </w:r>
      <w:r>
        <w:rPr>
          <w:rFonts w:ascii="Times New Roman" w:cs="Times New Roman" w:eastAsia="Times New Roman" w:hAnsi="Times New Roman"/>
          <w:sz w:val="18"/>
          <w:szCs w:val="18"/>
          <w:b w:val="1"/>
          <w:bCs w:val="1"/>
          <w:color w:val="auto"/>
        </w:rPr>
        <w:t>Tenant's Share</w:t>
      </w:r>
      <w:r>
        <w:rPr>
          <w:rFonts w:ascii="Times New Roman" w:cs="Times New Roman" w:eastAsia="Times New Roman" w:hAnsi="Times New Roman"/>
          <w:sz w:val="18"/>
          <w:szCs w:val="18"/>
          <w:color w:val="auto"/>
        </w:rPr>
        <w:t>" of the annual "</w:t>
      </w:r>
      <w:r>
        <w:rPr>
          <w:rFonts w:ascii="Times New Roman" w:cs="Times New Roman" w:eastAsia="Times New Roman" w:hAnsi="Times New Roman"/>
          <w:sz w:val="18"/>
          <w:szCs w:val="18"/>
          <w:b w:val="1"/>
          <w:bCs w:val="1"/>
          <w:color w:val="auto"/>
        </w:rPr>
        <w:t>Direct Expenses</w:t>
      </w:r>
      <w:r>
        <w:rPr>
          <w:rFonts w:ascii="Times New Roman" w:cs="Times New Roman" w:eastAsia="Times New Roman" w:hAnsi="Times New Roman"/>
          <w:sz w:val="18"/>
          <w:szCs w:val="18"/>
          <w:color w:val="auto"/>
        </w:rPr>
        <w:t xml:space="preserve"> XE "Direct Expenses" ," as those terms are defined in </w:t>
      </w:r>
      <w:r>
        <w:rPr>
          <w:rFonts w:ascii="Times New Roman" w:cs="Times New Roman" w:eastAsia="Times New Roman" w:hAnsi="Times New Roman"/>
          <w:sz w:val="18"/>
          <w:szCs w:val="18"/>
          <w:u w:val="single" w:color="auto"/>
          <w:color w:val="auto"/>
        </w:rPr>
        <w:t>Sections 4.2.6 and 4.2.2</w:t>
      </w:r>
      <w:r>
        <w:rPr>
          <w:rFonts w:ascii="Times New Roman" w:cs="Times New Roman" w:eastAsia="Times New Roman" w:hAnsi="Times New Roman"/>
          <w:sz w:val="18"/>
          <w:szCs w:val="18"/>
          <w:color w:val="auto"/>
        </w:rPr>
        <w:t xml:space="preserve"> of this Lease, respectively. Such payments by Tenant, together with any and all other amounts payable by Tenant to Landlord pursuant to the terms of this Lease,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9" w:name="page130"/>
    <w:bookmarkEnd w:id="129"/>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are hereinafter collectively referred to as the " XE "Additional Rent"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and the Base Rent and the Additional Rent are herein collectively referred to as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XE "Rent" ." All amounts due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the expiration of the Lease Term (subject to the terms of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u w:val="single" w:color="auto"/>
          <w:color w:val="auto"/>
        </w:rPr>
        <w:t>Triple Net Lease</w:t>
      </w:r>
      <w:r>
        <w:rPr>
          <w:rFonts w:ascii="Times New Roman" w:cs="Times New Roman" w:eastAsia="Times New Roman" w:hAnsi="Times New Roman"/>
          <w:sz w:val="18"/>
          <w:szCs w:val="18"/>
          <w:color w:val="auto"/>
        </w:rPr>
        <w:t xml:space="preserve">. Landlord and Tenant acknowledge that, except as otherwise provided to the contrary in this Lease, it is their intent and agreement that this Lease be a " XE "TRIPLE NET" </w:t>
      </w:r>
      <w:r>
        <w:rPr>
          <w:rFonts w:ascii="Times New Roman" w:cs="Times New Roman" w:eastAsia="Times New Roman" w:hAnsi="Times New Roman"/>
          <w:sz w:val="18"/>
          <w:szCs w:val="18"/>
          <w:b w:val="1"/>
          <w:bCs w:val="1"/>
          <w:color w:val="auto"/>
        </w:rPr>
        <w:t>TRIPLE NET</w:t>
      </w:r>
      <w:r>
        <w:rPr>
          <w:rFonts w:ascii="Times New Roman" w:cs="Times New Roman" w:eastAsia="Times New Roman" w:hAnsi="Times New Roman"/>
          <w:sz w:val="18"/>
          <w:szCs w:val="18"/>
          <w:color w:val="auto"/>
        </w:rPr>
        <w:t>" lease and that as such, the provisions contained in this Lease are intended to pass on to Tenant or reimburse Landlord for the costs and expenses reasonably associated with this Lease, the Building and the Project, and Tenant's operation therefrom all as more fully set forth below. To the extent such costs and expenses payable by Tenant cannot be charged directly to, and paid by, Tenant, such costs and expenses shall be paid by Landlord but reimbursed by Tenant as Additional Rent all as more fully set forth below.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Definitions of Key Terms Relating to Additional Rent</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the following terms shall have the meanings hereinafter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w:t>
      </w:r>
    </w:p>
    <w:p>
      <w:pPr>
        <w:spacing w:after="0" w:line="207"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color w:val="auto"/>
        </w:rPr>
        <w:t>Intentionally Deleted.</w:t>
      </w:r>
    </w:p>
    <w:p>
      <w:pPr>
        <w:spacing w:after="0" w:line="221"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18"/>
          <w:szCs w:val="18"/>
          <w:color w:val="auto"/>
        </w:rPr>
        <w:t xml:space="preserve">4.2.2 " XE "Direct Expenses" </w:t>
      </w:r>
      <w:r>
        <w:rPr>
          <w:rFonts w:ascii="Times New Roman" w:cs="Times New Roman" w:eastAsia="Times New Roman" w:hAnsi="Times New Roman"/>
          <w:sz w:val="18"/>
          <w:szCs w:val="18"/>
          <w:b w:val="1"/>
          <w:bCs w:val="1"/>
          <w:color w:val="auto"/>
        </w:rPr>
        <w:t>Direct Expenses</w:t>
      </w:r>
      <w:r>
        <w:rPr>
          <w:rFonts w:ascii="Times New Roman" w:cs="Times New Roman" w:eastAsia="Times New Roman" w:hAnsi="Times New Roman"/>
          <w:sz w:val="18"/>
          <w:szCs w:val="18"/>
          <w:color w:val="auto"/>
        </w:rPr>
        <w:t xml:space="preserve">" shall mean " XE "Operating Expenses"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XE "Tax Expenses" ."</w:t>
      </w:r>
    </w:p>
    <w:p>
      <w:pPr>
        <w:spacing w:after="0" w:line="155"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 xml:space="preserve">4.2.3 " XE "Expense Year" </w:t>
      </w:r>
      <w:r>
        <w:rPr>
          <w:rFonts w:ascii="Times New Roman" w:cs="Times New Roman" w:eastAsia="Times New Roman" w:hAnsi="Times New Roman"/>
          <w:sz w:val="18"/>
          <w:szCs w:val="18"/>
          <w:b w:val="1"/>
          <w:bCs w:val="1"/>
          <w:color w:val="auto"/>
        </w:rPr>
        <w:t>Expense Year</w:t>
      </w:r>
      <w:r>
        <w:rPr>
          <w:rFonts w:ascii="Times New Roman" w:cs="Times New Roman" w:eastAsia="Times New Roman" w:hAnsi="Times New Roman"/>
          <w:sz w:val="18"/>
          <w:szCs w:val="18"/>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w:t>
      </w:r>
    </w:p>
    <w:p>
      <w:pPr>
        <w:spacing w:after="0" w:line="17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 xml:space="preserve">4.2.4 " XE "Operating Expenses"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and Premises as reasonably determined by Landlord; (iv) the cost of landscaping, relamping, and all supplies, tools, equipment and materials used in the operation, repair and maintenance of the Project, or any portion thereof; (v) the cost of parking area operation, repair, restoration, and maintenance; (vi) fees and other costs, including management fees, consulting fees, legal fees and accounting fees, of all contractors and consultants in connection with the management, operation, maintenance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0" w:name="page131"/>
    <w:bookmarkEnd w:id="130"/>
    <w:p>
      <w:pPr>
        <w:jc w:val="both"/>
        <w:spacing w:after="0" w:line="254" w:lineRule="auto"/>
        <w:rPr>
          <w:sz w:val="20"/>
          <w:szCs w:val="20"/>
          <w:color w:val="auto"/>
        </w:rPr>
      </w:pPr>
      <w:r>
        <w:rPr>
          <w:rFonts w:ascii="Times New Roman" w:cs="Times New Roman" w:eastAsia="Times New Roman" w:hAnsi="Times New Roman"/>
          <w:sz w:val="18"/>
          <w:szCs w:val="18"/>
          <w:color w:val="auto"/>
        </w:rPr>
        <w:t>and repair of the Project; (vii) payments under any equipment rental agreements and the fair rental value of any management office space; (viii) subject to item (f), below, wages, salaries and other compensation and benefits, including taxes levied thereon, of all persons engaged in the operation, maintenance and security of the Project; (ix) costs under any instrument pertaining to the sharing of costs by the Project; (x) operation, repair, maintenance and replacement of all systems and equipment and components thereof of the Project; (xi) the cost of janitorial, alarm, security and other services, replacement of wall and floor coverings, ceiling tiles and fixtures in common areas, maintenance and replacement of curbs and walkways, repair to roofs and re-roofing;</w:t>
      </w:r>
    </w:p>
    <w:p>
      <w:pPr>
        <w:spacing w:after="0" w:line="3" w:lineRule="exact"/>
        <w:rPr>
          <w:sz w:val="20"/>
          <w:szCs w:val="20"/>
          <w:color w:val="auto"/>
        </w:rPr>
      </w:pPr>
    </w:p>
    <w:p>
      <w:pPr>
        <w:jc w:val="both"/>
        <w:ind w:firstLine="8"/>
        <w:spacing w:after="0" w:line="250" w:lineRule="auto"/>
        <w:tabs>
          <w:tab w:leader="none" w:pos="3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amortization (including commercially reasonable interest on the unamortized cost) over such period of time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are intended to effect economies in the operation or maintenance of the Project, or any portion thereof, or to reduce current or future Operating Expenses or to enhance the safety or security of the Project or its occupants, (B) that are required to comply with present or future mandatory conservation programs, (C) which are replacements or modifications of nonstructural items located in the Common Areas required to keep the Common Areas in good order or condition, (D) that are required under any governmental law or regulation, or (E) which are repairs, replacements or modifications to the Building Systems (as defined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below); provided, however, that any capital expenditure shall be amortized (including interest on the amortized cost) over as the reasonable useful life of such items as Landlord shall reasonably determine in accordance with sound real estate management and accounting principles, consistently applied; and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below,</w:t>
      </w:r>
    </w:p>
    <w:p>
      <w:pPr>
        <w:spacing w:after="0" w:line="4" w:lineRule="exact"/>
        <w:rPr>
          <w:rFonts w:ascii="Times New Roman" w:cs="Times New Roman" w:eastAsia="Times New Roman" w:hAnsi="Times New Roman"/>
          <w:sz w:val="18"/>
          <w:szCs w:val="18"/>
          <w:color w:val="auto"/>
        </w:rPr>
      </w:pPr>
    </w:p>
    <w:p>
      <w:pPr>
        <w:jc w:val="both"/>
        <w:ind w:firstLine="8"/>
        <w:spacing w:after="0" w:line="253" w:lineRule="auto"/>
        <w:tabs>
          <w:tab w:leader="none" w:pos="3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 of tenant relation programs reasonably established by Landlord, and (xvi)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 XE "Underlying Documents" </w:t>
      </w:r>
      <w:r>
        <w:rPr>
          <w:rFonts w:ascii="Times New Roman" w:cs="Times New Roman" w:eastAsia="Times New Roman" w:hAnsi="Times New Roman"/>
          <w:sz w:val="18"/>
          <w:szCs w:val="18"/>
          <w:b w:val="1"/>
          <w:bCs w:val="1"/>
          <w:color w:val="auto"/>
        </w:rPr>
        <w:t>Underlying Documents</w:t>
      </w:r>
      <w:r>
        <w:rPr>
          <w:rFonts w:ascii="Times New Roman" w:cs="Times New Roman" w:eastAsia="Times New Roman" w:hAnsi="Times New Roman"/>
          <w:sz w:val="18"/>
          <w:szCs w:val="18"/>
          <w:color w:val="auto"/>
        </w:rPr>
        <w:t>"). Notwithstanding the foregoing, for purposes of this Lease, Operating Expenses shall not, however, include:</w:t>
      </w:r>
    </w:p>
    <w:p>
      <w:pPr>
        <w:spacing w:after="0" w:line="186" w:lineRule="exact"/>
        <w:rPr>
          <w:rFonts w:ascii="Times New Roman" w:cs="Times New Roman" w:eastAsia="Times New Roman" w:hAnsi="Times New Roman"/>
          <w:sz w:val="18"/>
          <w:szCs w:val="18"/>
          <w:color w:val="auto"/>
        </w:rPr>
      </w:pPr>
    </w:p>
    <w:p>
      <w:pPr>
        <w:jc w:val="both"/>
        <w:ind w:firstLine="2254"/>
        <w:spacing w:after="0" w:line="256" w:lineRule="auto"/>
        <w:tabs>
          <w:tab w:leader="none" w:pos="260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including legal fees, space planners' fees, advertising and promotional expenses (except as otherwise set forth above), and brokerage fees incurred in connection with the original construction or development, or original or future leasing of the Project, and costs, including permit, license and inspection costs, incurred with respect to the installation of tenant improvements made for tenants of the Project or incurred in renovating or otherwise improving, decorating, painting or redecorating vacant space for tenants or other occupants of the Project (excluding, however, such costs relating to any common areas of the Project or parking facilities), any costs or expenses incurred in connection with the relocation of any tenants;</w:t>
      </w:r>
    </w:p>
    <w:p>
      <w:pPr>
        <w:spacing w:after="0" w:line="187" w:lineRule="exact"/>
        <w:rPr>
          <w:rFonts w:ascii="Times New Roman" w:cs="Times New Roman" w:eastAsia="Times New Roman" w:hAnsi="Times New Roman"/>
          <w:sz w:val="18"/>
          <w:szCs w:val="18"/>
          <w:color w:val="auto"/>
        </w:rPr>
      </w:pPr>
    </w:p>
    <w:p>
      <w:pPr>
        <w:jc w:val="both"/>
        <w:ind w:left="760" w:firstLine="1494"/>
        <w:spacing w:after="0" w:line="266" w:lineRule="auto"/>
        <w:tabs>
          <w:tab w:leader="none" w:pos="261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items (xii), (xiii), and (xiv) above, depreciation, interest and principal payments on mortgages and other debt costs, if any, penalties and interest, costs of capital repairs and alterations, and costs of capital improvements and equipment, and any costs incurred in financing or refinancing the Building, Project or other operational debts of Landlord;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1" w:name="page132"/>
    <w:bookmarkEnd w:id="131"/>
    <w:p>
      <w:pPr>
        <w:ind w:right="20" w:firstLine="2254"/>
        <w:spacing w:after="0" w:line="282" w:lineRule="auto"/>
        <w:tabs>
          <w:tab w:leader="none" w:pos="26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which the Landlord is reimbursed by any tenant or occupant of the Project or by insurance by its carrier or any tenant's carrier or by anyone else, and electric power costs for which any tenant directly contracts with the local public service company;</w:t>
      </w:r>
    </w:p>
    <w:p>
      <w:pPr>
        <w:spacing w:after="0" w:line="16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bad debt loss, rent loss, or reserves for bad debts or rent loss;</w:t>
      </w:r>
    </w:p>
    <w:p>
      <w:pPr>
        <w:spacing w:after="0" w:line="225" w:lineRule="exact"/>
        <w:rPr>
          <w:rFonts w:ascii="Times New Roman" w:cs="Times New Roman" w:eastAsia="Times New Roman" w:hAnsi="Times New Roman"/>
          <w:sz w:val="18"/>
          <w:szCs w:val="18"/>
          <w:color w:val="auto"/>
        </w:rPr>
      </w:pPr>
    </w:p>
    <w:p>
      <w:pPr>
        <w:jc w:val="both"/>
        <w:ind w:firstLine="2254"/>
        <w:spacing w:after="0" w:line="256" w:lineRule="auto"/>
        <w:tabs>
          <w:tab w:leader="none" w:pos="26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spacing w:after="0" w:line="187" w:lineRule="exact"/>
        <w:rPr>
          <w:rFonts w:ascii="Times New Roman" w:cs="Times New Roman" w:eastAsia="Times New Roman" w:hAnsi="Times New Roman"/>
          <w:sz w:val="18"/>
          <w:szCs w:val="18"/>
          <w:color w:val="auto"/>
        </w:rPr>
      </w:pPr>
    </w:p>
    <w:p>
      <w:pPr>
        <w:jc w:val="both"/>
        <w:ind w:firstLine="2254"/>
        <w:spacing w:after="0" w:line="261" w:lineRule="auto"/>
        <w:tabs>
          <w:tab w:leader="none" w:pos="26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17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paid as ground rental for the Project by the Landlord;</w:t>
      </w:r>
    </w:p>
    <w:p>
      <w:pPr>
        <w:spacing w:after="0" w:line="22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6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Project management fee to the extent allowed pursuant to item (l) below,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175" w:lineRule="exact"/>
        <w:rPr>
          <w:rFonts w:ascii="Times New Roman" w:cs="Times New Roman" w:eastAsia="Times New Roman" w:hAnsi="Times New Roman"/>
          <w:sz w:val="18"/>
          <w:szCs w:val="18"/>
          <w:color w:val="auto"/>
        </w:rPr>
      </w:pPr>
    </w:p>
    <w:p>
      <w:pPr>
        <w:ind w:right="20" w:firstLine="2254"/>
        <w:spacing w:after="0" w:line="282" w:lineRule="auto"/>
        <w:tabs>
          <w:tab w:leader="none" w:pos="26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161" w:lineRule="exact"/>
        <w:rPr>
          <w:rFonts w:ascii="Times New Roman" w:cs="Times New Roman" w:eastAsia="Times New Roman" w:hAnsi="Times New Roman"/>
          <w:sz w:val="18"/>
          <w:szCs w:val="18"/>
          <w:color w:val="auto"/>
        </w:rPr>
      </w:pPr>
    </w:p>
    <w:p>
      <w:pPr>
        <w:jc w:val="both"/>
        <w:ind w:firstLine="2254"/>
        <w:spacing w:after="0" w:line="261" w:lineRule="auto"/>
        <w:tabs>
          <w:tab w:leader="none" w:pos="26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engineering, janitorial or similar services and, further excepting from this exclusion such equipment rented or leased to remedy or ameliorate an emergency condition in the Project ;</w:t>
      </w:r>
    </w:p>
    <w:p>
      <w:pPr>
        <w:spacing w:after="0" w:line="179" w:lineRule="exact"/>
        <w:rPr>
          <w:rFonts w:ascii="Times New Roman" w:cs="Times New Roman" w:eastAsia="Times New Roman" w:hAnsi="Times New Roman"/>
          <w:sz w:val="18"/>
          <w:szCs w:val="18"/>
          <w:color w:val="auto"/>
        </w:rPr>
      </w:pPr>
    </w:p>
    <w:p>
      <w:pPr>
        <w:ind w:right="40" w:firstLine="2254"/>
        <w:spacing w:after="0" w:line="282" w:lineRule="auto"/>
        <w:tabs>
          <w:tab w:leader="none" w:pos="26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and services for which Tenant or any other tenant in the Project reimburses Landlord or which Landlord provides selectively to one or more tenants (other than Tenant) without reimbursement;</w:t>
      </w:r>
    </w:p>
    <w:p>
      <w:pPr>
        <w:spacing w:after="0" w:line="16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expressly excluded from Operating Expenses elsewhere in this Lease;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2" w:name="page133"/>
    <w:bookmarkEnd w:id="132"/>
    <w:p>
      <w:pPr>
        <w:jc w:val="both"/>
        <w:ind w:firstLine="2254"/>
        <w:spacing w:after="0" w:line="266" w:lineRule="auto"/>
        <w:tabs>
          <w:tab w:leader="none" w:pos="26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spacing w:after="0" w:line="175"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arising from the gross negligence or willful misconduct of Landlord in connection with this Lease; and</w:t>
      </w:r>
    </w:p>
    <w:p>
      <w:pPr>
        <w:spacing w:after="0" w:line="225" w:lineRule="exact"/>
        <w:rPr>
          <w:rFonts w:ascii="Times New Roman" w:cs="Times New Roman" w:eastAsia="Times New Roman" w:hAnsi="Times New Roman"/>
          <w:sz w:val="18"/>
          <w:szCs w:val="18"/>
          <w:color w:val="auto"/>
        </w:rPr>
      </w:pPr>
    </w:p>
    <w:p>
      <w:pPr>
        <w:jc w:val="both"/>
        <w:ind w:firstLine="2254"/>
        <w:spacing w:after="0" w:line="254" w:lineRule="auto"/>
        <w:tabs>
          <w:tab w:leader="none" w:pos="26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comply with laws relating to the removal of hazardous material (as defined under applicable law) which was in existence in the Building or on the Project prior to the Lease Commencement Date, and was of such a nature that a federal, State or municipal governmental authority, if it had then had knowledge of the presence of such hazardous material, in the state, and under the conditions that it then existed in the Building or on the Project, would have then required the removal of such hazardous material or other remedial or containment action with respect thereto; and costs incurred to remove, remedy, contain, or treat hazardous material, which hazardous material is brought into the Building or onto the Project after the date hereof by Landlord or any other tenant of the Project and is of such a nature, at that time, that a federal, State or municipal governmental authority, if it had then had knowledge of the presence of such hazardous material, in the state, and under the conditions, that it then exists in the Building or on the Project, would have then required the removal of such hazardous material or other remedial or containment action with respect thereto.</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If Landlord is not furnishing any particular work or service (the cost of which, if performed by Landlord, would be included in Operating Expenses) to a tenant who has undertaken to perform such work or service in lieu of the performance thereof by Landlord, Operating Expenses shall be deemed to be increased by an amount equal to the additional Operating Expenses which would reasonably have been incurred during such period by Landlord if it had at its own expense furnished such work or service to such tenant. If the Project is not at least one hundred percent (100%) occupied during all or a portion of any Expense Year, Landlord shall make an appropriate adjustment to the components of Operating Expenses for such year to determine the amount of Operating Expenses that would have been incurred had the Project been one hundred percent (100%) occupied; and the amount so determined shall be deemed to have been the amount of Operating Expenses for such year. Notwithstanding the foregoing or anything to the contrary set forth herein, Landlord shall not (a) make a profit by charging items to Operating Expenses that are otherwise also charged separately to tenants (including Tenant) of the Project, and (b) collect Operating Expenses from Tenant and all other tenants in the Project in an amount in excess of what Landlord incurs for the items included in Operating Expenses.</w:t>
      </w:r>
    </w:p>
    <w:p>
      <w:pPr>
        <w:spacing w:after="0" w:line="190"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7"/>
          <w:szCs w:val="17"/>
          <w:b w:val="1"/>
          <w:bCs w:val="1"/>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2246"/>
        <w:spacing w:after="0" w:line="257" w:lineRule="auto"/>
        <w:rPr>
          <w:sz w:val="20"/>
          <w:szCs w:val="20"/>
          <w:color w:val="auto"/>
        </w:rPr>
      </w:pPr>
      <w:r>
        <w:rPr>
          <w:rFonts w:ascii="Times New Roman" w:cs="Times New Roman" w:eastAsia="Times New Roman" w:hAnsi="Times New Roman"/>
          <w:sz w:val="18"/>
          <w:szCs w:val="18"/>
          <w:color w:val="auto"/>
        </w:rPr>
        <w:t xml:space="preserve">4.2.5.1 " XE "Tax Expenses" </w:t>
      </w:r>
      <w:r>
        <w:rPr>
          <w:rFonts w:ascii="Times New Roman" w:cs="Times New Roman" w:eastAsia="Times New Roman" w:hAnsi="Times New Roman"/>
          <w:sz w:val="18"/>
          <w:szCs w:val="18"/>
          <w:b w:val="1"/>
          <w:bCs w:val="1"/>
          <w:color w:val="auto"/>
        </w:rPr>
        <w:t>Tax Expenses</w:t>
      </w:r>
      <w:r>
        <w:rPr>
          <w:rFonts w:ascii="Times New Roman" w:cs="Times New Roman" w:eastAsia="Times New Roman" w:hAnsi="Times New Roman"/>
          <w:sz w:val="18"/>
          <w:szCs w:val="18"/>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3" w:name="page134"/>
    <w:bookmarkEnd w:id="133"/>
    <w:p>
      <w:pPr>
        <w:jc w:val="both"/>
        <w:spacing w:after="0" w:line="282" w:lineRule="auto"/>
        <w:rPr>
          <w:sz w:val="20"/>
          <w:szCs w:val="20"/>
          <w:color w:val="auto"/>
        </w:rPr>
      </w:pPr>
      <w:r>
        <w:rPr>
          <w:rFonts w:ascii="Times New Roman" w:cs="Times New Roman" w:eastAsia="Times New Roman" w:hAnsi="Times New Roman"/>
          <w:sz w:val="18"/>
          <w:szCs w:val="18"/>
          <w:color w:val="auto"/>
        </w:rPr>
        <w:t>(without regard to any different fiscal year used by such governmental or municipal authority) because of or in connection with the ownership, leasing and operation of the Project, or any portion thereof.</w:t>
      </w:r>
    </w:p>
    <w:p>
      <w:pPr>
        <w:spacing w:after="0" w:line="162" w:lineRule="exact"/>
        <w:rPr>
          <w:sz w:val="20"/>
          <w:szCs w:val="20"/>
          <w:color w:val="auto"/>
        </w:rPr>
      </w:pPr>
    </w:p>
    <w:p>
      <w:pPr>
        <w:jc w:val="both"/>
        <w:ind w:firstLine="2246"/>
        <w:spacing w:after="0" w:line="257" w:lineRule="auto"/>
        <w:rPr>
          <w:sz w:val="20"/>
          <w:szCs w:val="20"/>
          <w:color w:val="auto"/>
        </w:rPr>
      </w:pPr>
      <w:r>
        <w:rPr>
          <w:rFonts w:ascii="Times New Roman" w:cs="Times New Roman" w:eastAsia="Times New Roman" w:hAnsi="Times New Roman"/>
          <w:sz w:val="18"/>
          <w:szCs w:val="18"/>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w:t>
      </w:r>
    </w:p>
    <w:p>
      <w:pPr>
        <w:spacing w:after="0" w:line="1" w:lineRule="exact"/>
        <w:rPr>
          <w:sz w:val="20"/>
          <w:szCs w:val="20"/>
          <w:color w:val="auto"/>
        </w:rPr>
      </w:pPr>
    </w:p>
    <w:p>
      <w:pPr>
        <w:jc w:val="both"/>
        <w:ind w:firstLine="8"/>
        <w:spacing w:after="0" w:line="253" w:lineRule="auto"/>
        <w:tabs>
          <w:tab w:leader="none" w:pos="33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w:t>
      </w:r>
    </w:p>
    <w:p>
      <w:pPr>
        <w:spacing w:after="0" w:line="187"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18"/>
          <w:szCs w:val="18"/>
          <w:color w:val="auto"/>
        </w:rPr>
        <w:t xml:space="preserve">4.2.5.3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Notwithstanding anything to the contrary contained in this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there shall be excluded from Tax Expenses (i) all excess profits taxes, franchise taxes, gift taxes, capital stock taxes, inheritance and succession taxes, estate taxes, federal and state income taxes, and other taxes to the extent applicable to Landlord's net income (as opposed to rents, receipts or income attributable to operations at the Project), (ii) any items included as Operating Expenses, and (iii) any items paid by Tenant under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this Lease.</w:t>
      </w:r>
    </w:p>
    <w:p>
      <w:pPr>
        <w:spacing w:after="0" w:line="190"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7"/>
          <w:szCs w:val="17"/>
          <w:color w:val="auto"/>
        </w:rPr>
        <w:t xml:space="preserve">" XE "Tenant's Share" </w:t>
      </w:r>
      <w:r>
        <w:rPr>
          <w:rFonts w:ascii="Times New Roman" w:cs="Times New Roman" w:eastAsia="Times New Roman" w:hAnsi="Times New Roman"/>
          <w:sz w:val="17"/>
          <w:szCs w:val="17"/>
          <w:b w:val="1"/>
          <w:bCs w:val="1"/>
          <w:color w:val="auto"/>
        </w:rPr>
        <w:t>Tenant's Share</w:t>
      </w:r>
      <w:r>
        <w:rPr>
          <w:rFonts w:ascii="Times New Roman" w:cs="Times New Roman" w:eastAsia="Times New Roman" w:hAnsi="Times New Roman"/>
          <w:sz w:val="17"/>
          <w:szCs w:val="17"/>
          <w:color w:val="auto"/>
        </w:rPr>
        <w:t xml:space="preserve">" shall mean the percentage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of the Summary.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Allocation of Direct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b w:val="1"/>
          <w:bCs w:val="1"/>
          <w:u w:val="single" w:color="auto"/>
          <w:color w:val="auto"/>
        </w:rPr>
        <w:t>Method of Allocation</w:t>
      </w:r>
      <w:r>
        <w:rPr>
          <w:rFonts w:ascii="Times New Roman" w:cs="Times New Roman" w:eastAsia="Times New Roman" w:hAnsi="Times New Roman"/>
          <w:sz w:val="18"/>
          <w:szCs w:val="18"/>
          <w:color w:val="auto"/>
        </w:rPr>
        <w:t xml:space="preserve">. The parties acknowledge that the Building is a part of a multi-building project and that the costs and expenses incurred in connection with the Project (i.e., the Direct Expenses) should be shared between the Building and the other buildings in the Project. Accordingly, as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above, Direct Expenses (which consist of Operating Expenses and tax Expenses) are determined annually for the Project as a whole, and a portion of the Direct Expenses, which portion shall be determined by Landlord on an equitable basis, shall be allocated to the Building (as opposed to other buildings in the Project). Such portion of Direct Expenses allocated to the Building shall include all Direct Expenses attributable solely to the Building and an equitable portion of the Direct Expenses attributable to the Project as a whole, and shall not include Direct Expenses attributable solely to other buildings in the Project.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4" w:name="page135"/>
    <w:bookmarkEnd w:id="134"/>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b w:val="1"/>
          <w:bCs w:val="1"/>
          <w:u w:val="single" w:color="auto"/>
          <w:color w:val="auto"/>
        </w:rPr>
        <w:t>Cost Pools</w:t>
      </w:r>
      <w:r>
        <w:rPr>
          <w:rFonts w:ascii="Times New Roman" w:cs="Times New Roman" w:eastAsia="Times New Roman" w:hAnsi="Times New Roman"/>
          <w:sz w:val="18"/>
          <w:szCs w:val="18"/>
          <w:color w:val="auto"/>
        </w:rPr>
        <w:t xml:space="preserve">. Landlord shall have the right, from time to time, to equitably allocate some or all of the Direct Expenses for the Project among different portions or occupants of the Project (the " XE "Cost Pools" </w:t>
      </w:r>
      <w:r>
        <w:rPr>
          <w:rFonts w:ascii="Times New Roman" w:cs="Times New Roman" w:eastAsia="Times New Roman" w:hAnsi="Times New Roman"/>
          <w:sz w:val="18"/>
          <w:szCs w:val="18"/>
          <w:b w:val="1"/>
          <w:bCs w:val="1"/>
          <w:color w:val="auto"/>
        </w:rPr>
        <w:t>Cost Pools</w:t>
      </w:r>
      <w:r>
        <w:rPr>
          <w:rFonts w:ascii="Times New Roman" w:cs="Times New Roman" w:eastAsia="Times New Roman" w:hAnsi="Times New Roman"/>
          <w:sz w:val="18"/>
          <w:szCs w:val="18"/>
          <w:color w:val="auto"/>
        </w:rPr>
        <w:t>"), in Landlord's reasonable discretion. Such Cost Pools may include, but shall not be limited to, the office space tenants of a building of the Project or of the Project, and the laboratory space tenants of a building of the Project or of the Project. The Direct Expenses within each such Cost Pool shall be allocated and charged to the tenants within such Cost Pool in an equitable manner.</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Calculation and Payment of Additional Rent</w:t>
      </w:r>
      <w:r>
        <w:rPr>
          <w:rFonts w:ascii="Times New Roman" w:cs="Times New Roman" w:eastAsia="Times New Roman" w:hAnsi="Times New Roman"/>
          <w:sz w:val="18"/>
          <w:szCs w:val="18"/>
          <w:color w:val="auto"/>
        </w:rPr>
        <w:t xml:space="preserve">. Tenant shall pay to Landlord, in the manner set forth in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below, and as Additional Rent, Tenant's Share of Direct Expenses for each Expense Year.</w:t>
      </w:r>
    </w:p>
    <w:p>
      <w:pPr>
        <w:spacing w:after="0" w:line="155"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b w:val="1"/>
          <w:bCs w:val="1"/>
          <w:u w:val="single" w:color="auto"/>
          <w:color w:val="auto"/>
        </w:rPr>
        <w:t>Statement of Actual Direct Expenses and Payment by Tenant</w:t>
      </w:r>
      <w:r>
        <w:rPr>
          <w:rFonts w:ascii="Times New Roman" w:cs="Times New Roman" w:eastAsia="Times New Roman" w:hAnsi="Times New Roman"/>
          <w:sz w:val="18"/>
          <w:szCs w:val="18"/>
          <w:color w:val="auto"/>
        </w:rPr>
        <w:t xml:space="preserve">. Landlord shall endeavor to give to Tenant within one hundred twenty (120) days following the end of each Expense Year, a statement (the " XE "Statement"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which shall state the Direct Expenses incurred or accrued for such preceding Expense Year, and which shall indicate the amount of Tenant's Share of Direct Expenses. Upon receipt of the Statement for each Expense Year commencing or ending during the Lease Term, Tenant shall pay, with its next installment of Base Rent due, the full amount of Tenant's Share of Direct Expenses for such Expense Year, less the amounts, if any, paid during such Expense Year as "</w:t>
      </w:r>
      <w:r>
        <w:rPr>
          <w:rFonts w:ascii="Times New Roman" w:cs="Times New Roman" w:eastAsia="Times New Roman" w:hAnsi="Times New Roman"/>
          <w:sz w:val="18"/>
          <w:szCs w:val="18"/>
          <w:b w:val="1"/>
          <w:bCs w:val="1"/>
          <w:color w:val="auto"/>
        </w:rPr>
        <w:t>Estimated 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XE "Estimated Direct Expenses" ," as that term 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below, and if Tenant paid more as Estimated Direct Expenses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actual Tenant's Share of Direct Expenses, Tenant shall receive a credit in the amount of Tenant's overpayment against Rent next due under this Lease or within thirty (30) days if the Lease Term has expired. The failure of Landlord to timely furnish the Statement for any Expense Year shall not prejudice Landlord or Tenant from enforcing its rights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Even though the Lease Term has expired and Tenant has vacated the Premises, when the final determination is made of Tenant's Share of Direct Expenses for the Expense Year in which this Lease terminates, Tenant shall pay to Landlord such amount within thirty (30) days, and if Tenant paid more as Estimated Direct Expenses than the actual Tenant's Share of Direct Expenses, Landlord shall, within thirty (30) days, deliver a check payable to Tenant in the amount of the overpayment or apply such overpayment against any unpaid Rent. The provisions of this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two</w:t>
      </w:r>
    </w:p>
    <w:p>
      <w:pPr>
        <w:spacing w:after="0" w:line="4" w:lineRule="exact"/>
        <w:rPr>
          <w:sz w:val="20"/>
          <w:szCs w:val="20"/>
          <w:color w:val="auto"/>
        </w:rPr>
      </w:pPr>
    </w:p>
    <w:p>
      <w:pPr>
        <w:jc w:val="both"/>
        <w:ind w:firstLine="8"/>
        <w:spacing w:after="0" w:line="250" w:lineRule="auto"/>
        <w:tabs>
          <w:tab w:leader="none" w:pos="2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years after the expiration of the applicable Expense Year or one (1) calendar year after the Lease Expiration Date, provided that in any event Tenant shall be responsible for Tenant’s Share of Direct Expenses levied by any governmental authority or by any public utility companies at any time following the Lease Expiration Date which are attributable to any Expense Year (provided that Landlord delivers Tenant a bill for such amounts within two</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following Landlord’s receipt of the bill therefor).</w:t>
      </w:r>
    </w:p>
    <w:p>
      <w:pPr>
        <w:spacing w:after="0" w:line="203"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b w:val="1"/>
          <w:bCs w:val="1"/>
          <w:u w:val="single" w:color="auto"/>
          <w:color w:val="auto"/>
        </w:rPr>
        <w:t>Statement of Estimated Direct Expenses</w:t>
      </w:r>
      <w:r>
        <w:rPr>
          <w:rFonts w:ascii="Times New Roman" w:cs="Times New Roman" w:eastAsia="Times New Roman" w:hAnsi="Times New Roman"/>
          <w:sz w:val="18"/>
          <w:szCs w:val="18"/>
          <w:color w:val="auto"/>
        </w:rPr>
        <w:t xml:space="preserve">. In addition, Landlord shall endeavor to give Tenant a yearly expense estimate statement within one hundred twenty (120) days after the end of each Expense Year (the " XE "Estimate Statement" </w:t>
      </w:r>
      <w:r>
        <w:rPr>
          <w:rFonts w:ascii="Times New Roman" w:cs="Times New Roman" w:eastAsia="Times New Roman" w:hAnsi="Times New Roman"/>
          <w:sz w:val="18"/>
          <w:szCs w:val="18"/>
          <w:b w:val="1"/>
          <w:bCs w:val="1"/>
          <w:color w:val="auto"/>
        </w:rPr>
        <w:t>Estimate Statement</w:t>
      </w:r>
      <w:r>
        <w:rPr>
          <w:rFonts w:ascii="Times New Roman" w:cs="Times New Roman" w:eastAsia="Times New Roman" w:hAnsi="Times New Roman"/>
          <w:sz w:val="18"/>
          <w:szCs w:val="18"/>
          <w:color w:val="auto"/>
        </w:rPr>
        <w:t xml:space="preserve">") which shall set forth Landlord's reasonable estimate (the " XE "Estimate" </w:t>
      </w:r>
      <w:r>
        <w:rPr>
          <w:rFonts w:ascii="Times New Roman" w:cs="Times New Roman" w:eastAsia="Times New Roman" w:hAnsi="Times New Roman"/>
          <w:sz w:val="18"/>
          <w:szCs w:val="18"/>
          <w:b w:val="1"/>
          <w:bCs w:val="1"/>
          <w:color w:val="auto"/>
        </w:rPr>
        <w:t>Estimate</w:t>
      </w:r>
      <w:r>
        <w:rPr>
          <w:rFonts w:ascii="Times New Roman" w:cs="Times New Roman" w:eastAsia="Times New Roman" w:hAnsi="Times New Roman"/>
          <w:sz w:val="18"/>
          <w:szCs w:val="18"/>
          <w:color w:val="auto"/>
        </w:rPr>
        <w:t xml:space="preserve">") of what the total amount of Direct Expenses for the then-current Expense Year shall be and the estimated Tenant's Share of Direct Expenses (the " XE "Estimated Direct Expenses" </w:t>
      </w:r>
      <w:r>
        <w:rPr>
          <w:rFonts w:ascii="Times New Roman" w:cs="Times New Roman" w:eastAsia="Times New Roman" w:hAnsi="Times New Roman"/>
          <w:sz w:val="18"/>
          <w:szCs w:val="18"/>
          <w:b w:val="1"/>
          <w:bCs w:val="1"/>
          <w:color w:val="auto"/>
        </w:rPr>
        <w:t>Estimated Direct Expenses</w:t>
      </w:r>
      <w:r>
        <w:rPr>
          <w:rFonts w:ascii="Times New Roman" w:cs="Times New Roman" w:eastAsia="Times New Roman" w:hAnsi="Times New Roman"/>
          <w:sz w:val="18"/>
          <w:szCs w:val="18"/>
          <w:color w:val="auto"/>
        </w:rPr>
        <w:t xml:space="preserve">"). The failure of Landlord to timely furnish the Estimate Statement for any Expense Year shall not preclude Landlord from enforcing its rights to collect any Estimated Direct Expenses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nor shall Landlord be prohibited from revising any Estimate Statement or Estimated Direct Expenses theretofore delivered to the extent necessary, but not more than once per Estimated Statement. Thereafter, Tenant shall pay, with its next installment 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5" w:name="page136"/>
    <w:bookmarkEnd w:id="13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Base Rent due, a fraction of the Estimated Direct Expenses for the then-current Expense Year (reduced by any amounts paid pursuant to the last sentence of this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Taxes and Other Charges for Which Tenant Is Directly Responsible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4.5.1 Tenant shall be liable for and shall pay ten (10) days before delinquency, taxes levied against Tenant's taxable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18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4.5.2 If the tenant improvements in the Premises, whether installed and/or paid for by Landlord or Tenant and whether or not affixed to the real property so as to become a part thereof, are assessed for real property tax purposes at a valuation higher than the valuation at which tenant improvements conforming to Landlord's "building 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Times New Roman" w:cs="Times New Roman" w:eastAsia="Times New Roman" w:hAnsi="Times New Roman"/>
          <w:sz w:val="18"/>
          <w:szCs w:val="18"/>
          <w:u w:val="single" w:color="auto"/>
          <w:color w:val="auto"/>
        </w:rPr>
        <w:t>Section 4.5.1</w:t>
      </w:r>
      <w:r>
        <w:rPr>
          <w:rFonts w:ascii="Times New Roman" w:cs="Times New Roman" w:eastAsia="Times New Roman" w:hAnsi="Times New Roman"/>
          <w:sz w:val="18"/>
          <w:szCs w:val="18"/>
          <w:color w:val="auto"/>
        </w:rPr>
        <w:t>, above.</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4.5.3 Notwithstanding any contrary provision herein, Tenant shall pay prior to delinquency any (i) rent tax or sales tax, gross receipts tax, service tax, transfer tax or value added tax, business tax or any other applicable tax on the rent or services herein or otherwise respecting this Lease, (ii) taxes assessed upon or with respect to the possession, leasing, operation, management, maintenance, alteration, repair, use or occupancy by Tenant of the Premises or any portion of the Project, including the Project parking facility; or (iii) taxes assessed upon this transaction or any document to which Tenant is a party creating or transferring an interest or an estate in the Premises.</w:t>
      </w:r>
    </w:p>
    <w:p>
      <w:pPr>
        <w:spacing w:after="0" w:line="183"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USE OF PREMISES.</w:t>
      </w:r>
    </w:p>
    <w:p>
      <w:pPr>
        <w:spacing w:after="0" w:line="22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Permitted Use</w:t>
      </w:r>
      <w:r>
        <w:rPr>
          <w:rFonts w:ascii="Times New Roman" w:cs="Times New Roman" w:eastAsia="Times New Roman" w:hAnsi="Times New Roman"/>
          <w:sz w:val="18"/>
          <w:szCs w:val="18"/>
          <w:color w:val="auto"/>
        </w:rPr>
        <w:t xml:space="preserve">. Tenant shall use the Premises solely for the Permitted Use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u w:val="single" w:color="auto"/>
          <w:color w:val="auto"/>
        </w:rPr>
        <w:t>Prohibited Uses</w:t>
      </w:r>
      <w:r>
        <w:rPr>
          <w:rFonts w:ascii="Times New Roman" w:cs="Times New Roman" w:eastAsia="Times New Roman" w:hAnsi="Times New Roman"/>
          <w:sz w:val="18"/>
          <w:szCs w:val="18"/>
          <w:color w:val="auto"/>
        </w:rPr>
        <w:t>. Tenant further covenants and agrees that Tenant shall not use, or suffer or permit any person or persons to use, the Premises or any part thereof for any use or purpose in violation of the laws of the United States of America, the State of California, or the ordinances, regulations or requirements of the local municipal or county governing body or other lawful authorities having jurisdiction over the Project) including, without limitation,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6" w:name="page137"/>
    <w:bookmarkEnd w:id="136"/>
    <w:p>
      <w:pPr>
        <w:jc w:val="both"/>
        <w:spacing w:after="0" w:line="254" w:lineRule="auto"/>
        <w:rPr>
          <w:sz w:val="20"/>
          <w:szCs w:val="20"/>
          <w:color w:val="auto"/>
        </w:rPr>
      </w:pPr>
      <w:r>
        <w:rPr>
          <w:rFonts w:ascii="Times New Roman" w:cs="Times New Roman" w:eastAsia="Times New Roman" w:hAnsi="Times New Roman"/>
          <w:sz w:val="18"/>
          <w:szCs w:val="18"/>
          <w:color w:val="auto"/>
        </w:rPr>
        <w:t>any such laws, ordinances, regulations or requirements relating to hazardous materials or substances, as those terms are defined by Applicable Laws now or hereafter in effect, or any Underlying Documents. Landlord shall have the right to impose reasonable and customary rule and regulations regarding the use of the Project, as reasonably deemed necessary by Landlord with respect to the orderly operation of the Project, and Tenant shall comply with such reasonable rules and regulations, which shall not be enforced in a manner intended to discriminate against Tenant. In the event of a conflict between the rules and regulations and the terms of this Lease, the terms of this Lease shall control. Tenant shall not use or allow the Premises to be used for any improper, unlawful, or objectionable purpose or do or permit anything to be done in or about the Premises which will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5.3.1</w:t>
      </w:r>
      <w:r>
        <w:rPr>
          <w:sz w:val="20"/>
          <w:szCs w:val="20"/>
          <w:color w:val="auto"/>
        </w:rPr>
        <w:tab/>
      </w:r>
      <w:r>
        <w:rPr>
          <w:rFonts w:ascii="Times New Roman" w:cs="Times New Roman" w:eastAsia="Times New Roman" w:hAnsi="Times New Roman"/>
          <w:sz w:val="17"/>
          <w:szCs w:val="17"/>
          <w:b w:val="1"/>
          <w:bCs w:val="1"/>
          <w:u w:val="single" w:color="auto"/>
          <w:color w:val="auto"/>
        </w:rPr>
        <w:t>Tenant's Obligations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2246"/>
        <w:spacing w:after="0" w:line="252" w:lineRule="auto"/>
        <w:rPr>
          <w:sz w:val="20"/>
          <w:szCs w:val="20"/>
          <w:color w:val="auto"/>
        </w:rPr>
      </w:pPr>
      <w:r>
        <w:rPr>
          <w:rFonts w:ascii="Times New Roman" w:cs="Times New Roman" w:eastAsia="Times New Roman" w:hAnsi="Times New Roman"/>
          <w:sz w:val="18"/>
          <w:szCs w:val="18"/>
          <w:color w:val="auto"/>
        </w:rPr>
        <w:t xml:space="preserve">5.3.1.1 </w:t>
      </w:r>
      <w:r>
        <w:rPr>
          <w:rFonts w:ascii="Times New Roman" w:cs="Times New Roman" w:eastAsia="Times New Roman" w:hAnsi="Times New Roman"/>
          <w:sz w:val="18"/>
          <w:szCs w:val="18"/>
          <w:b w:val="1"/>
          <w:bCs w:val="1"/>
          <w:u w:val="single" w:color="auto"/>
          <w:color w:val="auto"/>
        </w:rPr>
        <w:t>Prohibitions</w:t>
      </w:r>
      <w:r>
        <w:rPr>
          <w:rFonts w:ascii="Times New Roman" w:cs="Times New Roman" w:eastAsia="Times New Roman" w:hAnsi="Times New Roman"/>
          <w:sz w:val="18"/>
          <w:szCs w:val="18"/>
          <w:color w:val="auto"/>
        </w:rPr>
        <w:t xml:space="preserve">. As a material inducement to Landlord to enter into this Lease with Tenant, Tenant has fully and accurately completed Landlord’s Pre-Leasing Environmental Exposure Questionnaire (the “ XE "Environmental Questionnaire" </w:t>
      </w: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Questionnaire</w:t>
      </w:r>
      <w:r>
        <w:rPr>
          <w:rFonts w:ascii="Times New Roman" w:cs="Times New Roman" w:eastAsia="Times New Roman" w:hAnsi="Times New Roman"/>
          <w:sz w:val="18"/>
          <w:szCs w:val="18"/>
          <w:color w:val="auto"/>
        </w:rPr>
        <w:t>”), which is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 Tenant agrees that except for those chemicals or materials, and their respective quantities,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listed on the Environmental Questionnaire, neither Tenant nor Tenant’s employees, con trac tors and subcontractors of any tier, entities with a contractual relationship with Tenant (other than Landlord), or any entity acting as an agent or sub-agent of Tenant (collectively, " XE "Tenant's Agents" </w:t>
      </w:r>
      <w:r>
        <w:rPr>
          <w:rFonts w:ascii="Times New Roman" w:cs="Times New Roman" w:eastAsia="Times New Roman" w:hAnsi="Times New Roman"/>
          <w:sz w:val="18"/>
          <w:szCs w:val="18"/>
          <w:b w:val="1"/>
          <w:bCs w:val="1"/>
          <w:color w:val="auto"/>
        </w:rPr>
        <w:t>Tenant's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will produce, use, store or generate any "Hazardous Materials," as that term is defined below, on, under or about the Premises, nor cause or permit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Hazardous Material to be brought upon, placed, stored, manufactured, generated, blended, handled, recycled, used or "Released," as that term is defined below, on, in, under or about the Premises. If any information provided to Landlord by Tenant on the Environmental Questionnaire, or otherwise relating to information concerning Hazardous Materials is false, incomplete, or misleading in any material respect, the same shall be deemed an Event of Default by Tenant under this Lease. Landlord’s prior written consent shall be required to any Hazardous Materials use for the Premises not described on the initial Environmental Questionnaire, such consent to be withheld in Landlord’s sole discretion. Tenant shall not install or permit any underground storage tank on the Premises. For purposes of this Lease, " XE "Hazardous Materials"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xml:space="preserve">" means all flammable explosives, petroleum and petroleum products, waste oil, radon, radioactive materials, toxic pollutants, asbestos, polychlorinated biphenyls (“ XE "PCBs" </w:t>
      </w:r>
      <w:r>
        <w:rPr>
          <w:rFonts w:ascii="Times New Roman" w:cs="Times New Roman" w:eastAsia="Times New Roman" w:hAnsi="Times New Roman"/>
          <w:sz w:val="18"/>
          <w:szCs w:val="18"/>
          <w:b w:val="1"/>
          <w:bCs w:val="1"/>
          <w:color w:val="auto"/>
        </w:rPr>
        <w:t>PCBs</w:t>
      </w:r>
      <w:r>
        <w:rPr>
          <w:rFonts w:ascii="Times New Roman" w:cs="Times New Roman" w:eastAsia="Times New Roman" w:hAnsi="Times New Roman"/>
          <w:sz w:val="18"/>
          <w:szCs w:val="18"/>
          <w:color w:val="auto"/>
        </w:rPr>
        <w:t xml:space="preserve">”), medical waste, chemicals known to cause cancer or reproductive toxicity, pollutants, contaminants, hazardous wastes, toxic substances or related materials, including without limitation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except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quantities of customary office supplies and cleaning materials used in strict compliance with Environmental Laws. The term “Hazardous Materials” for purposes of this Lease shall also include any mold, fungus or spores, whether or not the same is defined, listed, or otherwise classified as a “hazardous material” under any Environmental Laws, if such mold, fungus or spores may pose a risk to human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7" w:name="page138"/>
    <w:bookmarkEnd w:id="137"/>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health or the environment or negatively impact the value of the Premises. For purposes of this Lease, " XE "Release"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or " XE "Released" </w:t>
      </w:r>
      <w:r>
        <w:rPr>
          <w:rFonts w:ascii="Times New Roman" w:cs="Times New Roman" w:eastAsia="Times New Roman" w:hAnsi="Times New Roman"/>
          <w:sz w:val="18"/>
          <w:szCs w:val="18"/>
          <w:b w:val="1"/>
          <w:bCs w:val="1"/>
          <w:color w:val="auto"/>
        </w:rPr>
        <w:t>Released</w:t>
      </w:r>
      <w:r>
        <w:rPr>
          <w:rFonts w:ascii="Times New Roman" w:cs="Times New Roman" w:eastAsia="Times New Roman" w:hAnsi="Times New Roman"/>
          <w:sz w:val="18"/>
          <w:szCs w:val="18"/>
          <w:color w:val="auto"/>
        </w:rPr>
        <w:t>" or " XE "Releases"</w:t>
      </w:r>
      <w:r>
        <w:rPr>
          <w:rFonts w:ascii="Times New Roman" w:cs="Times New Roman" w:eastAsia="Times New Roman" w:hAnsi="Times New Roman"/>
          <w:sz w:val="18"/>
          <w:szCs w:val="18"/>
          <w:b w:val="1"/>
          <w:bCs w:val="1"/>
          <w:color w:val="auto"/>
        </w:rPr>
        <w:t xml:space="preserve"> Releases</w:t>
      </w:r>
      <w:r>
        <w:rPr>
          <w:rFonts w:ascii="Times New Roman" w:cs="Times New Roman" w:eastAsia="Times New Roman" w:hAnsi="Times New Roman"/>
          <w:sz w:val="18"/>
          <w:szCs w:val="18"/>
          <w:color w:val="auto"/>
        </w:rPr>
        <w:t>" shall mean any release, deposit, discharge, emission, leaking, spilling, seeping, migrating, in jecting, pumping,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pouring, emptying, escaping, dumping, disposing, or other movement of Hazardous Materials into the environment.</w:t>
      </w:r>
    </w:p>
    <w:p>
      <w:pPr>
        <w:spacing w:after="0" w:line="171"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5.3.1.2</w:t>
      </w:r>
      <w:r>
        <w:rPr>
          <w:sz w:val="20"/>
          <w:szCs w:val="20"/>
          <w:color w:val="auto"/>
        </w:rPr>
        <w:tab/>
      </w:r>
      <w:r>
        <w:rPr>
          <w:rFonts w:ascii="Times New Roman" w:cs="Times New Roman" w:eastAsia="Times New Roman" w:hAnsi="Times New Roman"/>
          <w:sz w:val="18"/>
          <w:szCs w:val="18"/>
          <w:b w:val="1"/>
          <w:bCs w:val="1"/>
          <w:u w:val="single" w:color="auto"/>
          <w:color w:val="auto"/>
        </w:rPr>
        <w:t>Notices to Landlord</w:t>
      </w:r>
      <w:r>
        <w:rPr>
          <w:rFonts w:ascii="Times New Roman" w:cs="Times New Roman" w:eastAsia="Times New Roman" w:hAnsi="Times New Roman"/>
          <w:sz w:val="18"/>
          <w:szCs w:val="18"/>
          <w:color w:val="auto"/>
        </w:rPr>
        <w:t>. Tenant shall notify Landlord in writing as soon as possible but in no event later than five</w:t>
      </w:r>
    </w:p>
    <w:p>
      <w:pPr>
        <w:spacing w:after="0" w:line="31" w:lineRule="exact"/>
        <w:rPr>
          <w:sz w:val="20"/>
          <w:szCs w:val="20"/>
          <w:color w:val="auto"/>
        </w:rPr>
      </w:pPr>
    </w:p>
    <w:p>
      <w:pPr>
        <w:jc w:val="both"/>
        <w:ind w:firstLine="8"/>
        <w:spacing w:after="0" w:line="250" w:lineRule="auto"/>
        <w:tabs>
          <w:tab w:leader="none" w:pos="2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(i) Tenant becomes aware of the occurrence of any actual, alleged or threatened Release of any Hazardous Material in, on, under, from,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 XE "Hazardous Materials Claims" </w:t>
      </w:r>
      <w:r>
        <w:rPr>
          <w:rFonts w:ascii="Times New Roman" w:cs="Times New Roman" w:eastAsia="Times New Roman" w:hAnsi="Times New Roman"/>
          <w:sz w:val="18"/>
          <w:szCs w:val="18"/>
          <w:b w:val="1"/>
          <w:bCs w:val="1"/>
          <w:color w:val="auto"/>
        </w:rPr>
        <w:t>Hazardous Materials Claims</w:t>
      </w:r>
      <w:r>
        <w:rPr>
          <w:rFonts w:ascii="Times New Roman" w:cs="Times New Roman" w:eastAsia="Times New Roman" w:hAnsi="Times New Roman"/>
          <w:sz w:val="18"/>
          <w:szCs w:val="18"/>
          <w:color w:val="auto"/>
        </w:rPr>
        <w:t xml:space="preserve">”. Tenant shall promptly forward to Landlord copies of all orders, notices, permits, applications and other communications and reports in 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For purposes of this Lease, “ XE "Environmental Laws"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all applicable present and future laws</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relating to the protection of hu 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8" w:name="page139"/>
    <w:bookmarkEnd w:id="138"/>
    <w:p>
      <w:pPr>
        <w:jc w:val="both"/>
        <w:spacing w:after="0" w:line="266" w:lineRule="auto"/>
        <w:rPr>
          <w:sz w:val="20"/>
          <w:szCs w:val="20"/>
          <w:color w:val="auto"/>
        </w:rPr>
      </w:pPr>
      <w:r>
        <w:rPr>
          <w:rFonts w:ascii="Times New Roman" w:cs="Times New Roman" w:eastAsia="Times New Roman" w:hAnsi="Times New Roman"/>
          <w:sz w:val="18"/>
          <w:szCs w:val="18"/>
          <w:color w:val="auto"/>
        </w:rPr>
        <w:t>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spacing w:after="0" w:line="172"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18"/>
          <w:szCs w:val="18"/>
          <w:color w:val="auto"/>
        </w:rPr>
        <w:t xml:space="preserve">5.3.1.3 </w:t>
      </w:r>
      <w:r>
        <w:rPr>
          <w:rFonts w:ascii="Times New Roman" w:cs="Times New Roman" w:eastAsia="Times New Roman" w:hAnsi="Times New Roman"/>
          <w:sz w:val="18"/>
          <w:szCs w:val="18"/>
          <w:b w:val="1"/>
          <w:bCs w:val="1"/>
          <w:u w:val="single" w:color="auto"/>
          <w:color w:val="auto"/>
        </w:rPr>
        <w:t>Releases of Hazardous Materials</w:t>
      </w:r>
      <w:r>
        <w:rPr>
          <w:rFonts w:ascii="Times New Roman" w:cs="Times New Roman" w:eastAsia="Times New Roman" w:hAnsi="Times New Roman"/>
          <w:sz w:val="18"/>
          <w:szCs w:val="18"/>
          <w:color w:val="auto"/>
        </w:rPr>
        <w:t xml:space="preserve">. If due to the acts or omissions of Tenant or Tenant's Agents, any Release of any Hazardous Material in, on, under, from or about the Premises shall occur at any time during the Lease Term and/or if due to the acts or omissions of Tenant or Tenant's Agents any other Hazardous Material condition exists at the Premises that requires response actions of any kind,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including, without limitation, </w:t>
      </w:r>
      <w:r>
        <w:rPr>
          <w:rFonts w:ascii="Times New Roman" w:cs="Times New Roman" w:eastAsia="Times New Roman" w:hAnsi="Times New Roman"/>
          <w:sz w:val="18"/>
          <w:szCs w:val="18"/>
          <w:u w:val="single" w:color="auto"/>
          <w:color w:val="auto"/>
        </w:rPr>
        <w:t>Section 5.3.4</w:t>
      </w:r>
      <w:r>
        <w:rPr>
          <w:rFonts w:ascii="Times New Roman" w:cs="Times New Roman" w:eastAsia="Times New Roman" w:hAnsi="Times New Roman"/>
          <w:sz w:val="18"/>
          <w:szCs w:val="18"/>
          <w:color w:val="auto"/>
        </w:rPr>
        <w:t>, and (iv) take any such additional investigative, remedial and corrective actions as Landlord shall in its reasonable discretion deem necessary such that the Premises are remediated to the condition existing prior to such Release.</w:t>
      </w:r>
    </w:p>
    <w:p>
      <w:pPr>
        <w:spacing w:after="0" w:line="188"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5.3.1.4</w:t>
      </w:r>
      <w:r>
        <w:rPr>
          <w:sz w:val="20"/>
          <w:szCs w:val="20"/>
          <w:color w:val="auto"/>
        </w:rPr>
        <w:tab/>
      </w:r>
      <w:r>
        <w:rPr>
          <w:rFonts w:ascii="Times New Roman" w:cs="Times New Roman" w:eastAsia="Times New Roman" w:hAnsi="Times New Roman"/>
          <w:sz w:val="17"/>
          <w:szCs w:val="17"/>
          <w:b w:val="1"/>
          <w:bCs w:val="1"/>
          <w:u w:val="single" w:color="auto"/>
          <w:color w:val="auto"/>
        </w:rPr>
        <w:t>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2995"/>
        <w:spacing w:after="0" w:line="255" w:lineRule="auto"/>
        <w:rPr>
          <w:sz w:val="20"/>
          <w:szCs w:val="20"/>
          <w:color w:val="auto"/>
        </w:rPr>
      </w:pPr>
      <w:r>
        <w:rPr>
          <w:rFonts w:ascii="Times New Roman" w:cs="Times New Roman" w:eastAsia="Times New Roman" w:hAnsi="Times New Roman"/>
          <w:sz w:val="18"/>
          <w:szCs w:val="18"/>
          <w:color w:val="auto"/>
        </w:rPr>
        <w:t xml:space="preserve">5.3.1.4.1 </w:t>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 tions, taxes, fines, remedial actions, liabilities (including, without limitation, actual attorneys’ fees, litigation, arbitration and administrative proceeding costs, expert and consultant fees and laboratory costs) including, without limitation, consequential damages and sums paid in settlement of claims, which arise during or after the Lease Term, whether foreseeable or unforeseeable, that arise during or after the Lease Term in whole or in part, foreseeable or unforeseeable, directly or indirectly arising out of or attributable to the presence, use, generation, manufacture, treatment, handling, refining, production, processing, storage, Release or presence of Hazardous Materials in, on, under or about the Premises by Tenant or Tenant's Agents.</w:t>
      </w:r>
    </w:p>
    <w:p>
      <w:pPr>
        <w:spacing w:after="0" w:line="185" w:lineRule="exact"/>
        <w:rPr>
          <w:sz w:val="20"/>
          <w:szCs w:val="20"/>
          <w:color w:val="auto"/>
        </w:rPr>
      </w:pPr>
    </w:p>
    <w:p>
      <w:pPr>
        <w:jc w:val="both"/>
        <w:ind w:firstLine="2995"/>
        <w:spacing w:after="0" w:line="256" w:lineRule="auto"/>
        <w:rPr>
          <w:sz w:val="20"/>
          <w:szCs w:val="20"/>
          <w:color w:val="auto"/>
        </w:rPr>
      </w:pPr>
      <w:r>
        <w:rPr>
          <w:rFonts w:ascii="Times New Roman" w:cs="Times New Roman" w:eastAsia="Times New Roman" w:hAnsi="Times New Roman"/>
          <w:sz w:val="18"/>
          <w:szCs w:val="18"/>
          <w:color w:val="auto"/>
        </w:rPr>
        <w:t xml:space="preserve">5.3.1.4.2 </w:t>
      </w:r>
      <w:r>
        <w:rPr>
          <w:rFonts w:ascii="Times New Roman" w:cs="Times New Roman" w:eastAsia="Times New Roman" w:hAnsi="Times New Roman"/>
          <w:sz w:val="18"/>
          <w:szCs w:val="18"/>
          <w:b w:val="1"/>
          <w:bCs w:val="1"/>
          <w:u w:val="single" w:color="auto"/>
          <w:color w:val="auto"/>
        </w:rPr>
        <w:t>Limitations</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5.3.1.4</w:t>
      </w:r>
      <w:r>
        <w:rPr>
          <w:rFonts w:ascii="Times New Roman" w:cs="Times New Roman" w:eastAsia="Times New Roman" w:hAnsi="Times New Roman"/>
          <w:sz w:val="18"/>
          <w:szCs w:val="18"/>
          <w:color w:val="auto"/>
        </w:rPr>
        <w:t xml:space="preserve">, above, to the contrary, Tenant's indemnity of Landlord as set forth in </w:t>
      </w:r>
      <w:r>
        <w:rPr>
          <w:rFonts w:ascii="Times New Roman" w:cs="Times New Roman" w:eastAsia="Times New Roman" w:hAnsi="Times New Roman"/>
          <w:sz w:val="18"/>
          <w:szCs w:val="18"/>
          <w:u w:val="single" w:color="auto"/>
          <w:color w:val="auto"/>
        </w:rPr>
        <w:t>Section 5.3.1.4</w:t>
      </w:r>
      <w:r>
        <w:rPr>
          <w:rFonts w:ascii="Times New Roman" w:cs="Times New Roman" w:eastAsia="Times New Roman" w:hAnsi="Times New Roman"/>
          <w:sz w:val="18"/>
          <w:szCs w:val="18"/>
          <w:color w:val="auto"/>
        </w:rPr>
        <w:t>, above, shall not be applicable to claims based upon Hazardous Materials which may exist in, on, under, or about the Premises as of the date of this Lease ("</w:t>
      </w:r>
      <w:r>
        <w:rPr>
          <w:rFonts w:ascii="Times New Roman" w:cs="Times New Roman" w:eastAsia="Times New Roman" w:hAnsi="Times New Roman"/>
          <w:sz w:val="18"/>
          <w:szCs w:val="18"/>
          <w:b w:val="1"/>
          <w:bCs w:val="1"/>
          <w:color w:val="auto"/>
        </w:rPr>
        <w:t>Existing Hazardous Materials</w:t>
      </w:r>
      <w:r>
        <w:rPr>
          <w:rFonts w:ascii="Times New Roman" w:cs="Times New Roman" w:eastAsia="Times New Roman" w:hAnsi="Times New Roman"/>
          <w:sz w:val="18"/>
          <w:szCs w:val="18"/>
          <w:color w:val="auto"/>
        </w:rPr>
        <w:t xml:space="preserve"> XE "Existing Hazardous Materials" ") and Tenant shall not in any way be liable for Existing Hazardous Materials, except only to the extent that Tenant's construction activities and/or Tenant's other acts or omissions (including Tenant's failure to remove, remediate or otherwise treat or “Clean-up,” as that term is defined in </w:t>
      </w:r>
      <w:r>
        <w:rPr>
          <w:rFonts w:ascii="Times New Roman" w:cs="Times New Roman" w:eastAsia="Times New Roman" w:hAnsi="Times New Roman"/>
          <w:sz w:val="18"/>
          <w:szCs w:val="18"/>
          <w:u w:val="single" w:color="auto"/>
          <w:color w:val="auto"/>
        </w:rPr>
        <w:t>Section 5.3.4</w:t>
      </w:r>
      <w:r>
        <w:rPr>
          <w:rFonts w:ascii="Times New Roman" w:cs="Times New Roman" w:eastAsia="Times New Roman" w:hAnsi="Times New Roman"/>
          <w:sz w:val="18"/>
          <w:szCs w:val="18"/>
          <w:color w:val="auto"/>
        </w:rPr>
        <w:t>, below, the subject Existing Hazardous Materials during the tenancy of the Premises) caused or exacerbated the subject claim. Tenant shall not be liable under any circumstances for Hazardous Materials brought onto the Project or Released by Landlord or any Landlord Parties, and Landlord shall remediate the same in compliance with Environmental Laws.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9" w:name="page140"/>
    <w:bookmarkEnd w:id="139"/>
    <w:p>
      <w:pPr>
        <w:jc w:val="both"/>
        <w:ind w:firstLine="2246"/>
        <w:spacing w:after="0" w:line="254" w:lineRule="auto"/>
        <w:rPr>
          <w:sz w:val="20"/>
          <w:szCs w:val="20"/>
          <w:color w:val="auto"/>
        </w:rPr>
      </w:pPr>
      <w:r>
        <w:rPr>
          <w:rFonts w:ascii="Times New Roman" w:cs="Times New Roman" w:eastAsia="Times New Roman" w:hAnsi="Times New Roman"/>
          <w:sz w:val="18"/>
          <w:szCs w:val="18"/>
          <w:color w:val="auto"/>
        </w:rPr>
        <w:t xml:space="preserve">5.3.1.5 </w:t>
      </w:r>
      <w:r>
        <w:rPr>
          <w:rFonts w:ascii="Times New Roman" w:cs="Times New Roman" w:eastAsia="Times New Roman" w:hAnsi="Times New Roman"/>
          <w:sz w:val="18"/>
          <w:szCs w:val="18"/>
          <w:b w:val="1"/>
          <w:bCs w:val="1"/>
          <w:u w:val="single" w:color="auto"/>
          <w:color w:val="auto"/>
        </w:rPr>
        <w:t>Compliance with Environmental Laws</w:t>
      </w:r>
      <w:r>
        <w:rPr>
          <w:rFonts w:ascii="Times New Roman" w:cs="Times New Roman" w:eastAsia="Times New Roman" w:hAnsi="Times New Roman"/>
          <w:sz w:val="18"/>
          <w:szCs w:val="18"/>
          <w:color w:val="auto"/>
        </w:rPr>
        <w:t>. Without limiting the generality of Tenant’s obligation to comply with Applicable Laws as otherwise provided in this Lease, Tenant shall, at its sole cost and expense, comply with all Environmental Laws that are applicable to the Premises.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To the extent that Tenant uses any Hazardous Materials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To the extent that Tenant uses any Hazardous Materials on the Premises, upon request of Landlord, Tenant shall deliver to Landlord a narrative description explaining the nature and scope of Tenant’s activities involving Hazardous Materials and showing to Landlord’s satisfaction compliance with all Environmental Laws and the terms of this Lease.</w:t>
      </w:r>
    </w:p>
    <w:p>
      <w:pPr>
        <w:spacing w:after="0" w:line="182"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5.3.2</w:t>
      </w:r>
      <w:r>
        <w:rPr>
          <w:sz w:val="20"/>
          <w:szCs w:val="20"/>
          <w:color w:val="auto"/>
        </w:rPr>
        <w:tab/>
      </w:r>
      <w:r>
        <w:rPr>
          <w:rFonts w:ascii="Times New Roman" w:cs="Times New Roman" w:eastAsia="Times New Roman" w:hAnsi="Times New Roman"/>
          <w:sz w:val="17"/>
          <w:szCs w:val="17"/>
          <w:b w:val="1"/>
          <w:bCs w:val="1"/>
          <w:u w:val="single" w:color="auto"/>
          <w:color w:val="auto"/>
        </w:rPr>
        <w:t>Assurance of Performance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18"/>
          <w:szCs w:val="18"/>
          <w:color w:val="auto"/>
        </w:rPr>
        <w:t xml:space="preserve">5.3.2.1 </w:t>
      </w:r>
      <w:r>
        <w:rPr>
          <w:rFonts w:ascii="Times New Roman" w:cs="Times New Roman" w:eastAsia="Times New Roman" w:hAnsi="Times New Roman"/>
          <w:sz w:val="18"/>
          <w:szCs w:val="18"/>
          <w:b w:val="1"/>
          <w:bCs w:val="1"/>
          <w:u w:val="single" w:color="auto"/>
          <w:color w:val="auto"/>
        </w:rPr>
        <w:t>Environmental Assessments In General</w:t>
      </w:r>
      <w:r>
        <w:rPr>
          <w:rFonts w:ascii="Times New Roman" w:cs="Times New Roman" w:eastAsia="Times New Roman" w:hAnsi="Times New Roman"/>
          <w:sz w:val="18"/>
          <w:szCs w:val="18"/>
          <w:color w:val="auto"/>
        </w:rPr>
        <w:t xml:space="preserve">. Landlord may, but shall not be required to, engage from time to time such contractors as Landlord determines to be appropriate to perform environmental assessments of a scope reasonably determined by Landlord (an " XE "Environmental Assessment" </w:t>
      </w:r>
      <w:r>
        <w:rPr>
          <w:rFonts w:ascii="Times New Roman" w:cs="Times New Roman" w:eastAsia="Times New Roman" w:hAnsi="Times New Roman"/>
          <w:sz w:val="18"/>
          <w:szCs w:val="18"/>
          <w:b w:val="1"/>
          <w:bCs w:val="1"/>
          <w:color w:val="auto"/>
        </w:rPr>
        <w:t>Environmental Assessment</w:t>
      </w:r>
      <w:r>
        <w:rPr>
          <w:rFonts w:ascii="Times New Roman" w:cs="Times New Roman" w:eastAsia="Times New Roman" w:hAnsi="Times New Roman"/>
          <w:sz w:val="18"/>
          <w:szCs w:val="18"/>
          <w:color w:val="auto"/>
        </w:rPr>
        <w:t>") to ensure Tenant’s compliance with the requirements of this Lease with respect to Hazardous Materials. .</w:t>
      </w:r>
    </w:p>
    <w:p>
      <w:pPr>
        <w:spacing w:after="0" w:line="176"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18"/>
          <w:szCs w:val="18"/>
          <w:color w:val="auto"/>
        </w:rPr>
        <w:t xml:space="preserve">5.3.2.2 </w:t>
      </w:r>
      <w:r>
        <w:rPr>
          <w:rFonts w:ascii="Times New Roman" w:cs="Times New Roman" w:eastAsia="Times New Roman" w:hAnsi="Times New Roman"/>
          <w:sz w:val="18"/>
          <w:szCs w:val="18"/>
          <w:b w:val="1"/>
          <w:bCs w:val="1"/>
          <w:u w:val="single" w:color="auto"/>
          <w:color w:val="auto"/>
        </w:rPr>
        <w:t>Costs of Environmental Assessments</w:t>
      </w:r>
      <w:r>
        <w:rPr>
          <w:rFonts w:ascii="Times New Roman" w:cs="Times New Roman" w:eastAsia="Times New Roman" w:hAnsi="Times New Roman"/>
          <w:sz w:val="18"/>
          <w:szCs w:val="18"/>
          <w:color w:val="auto"/>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then all of the costs and expenses of such Environmental Assessment shall be reimbursed by Tenant as Additional Rent within ten (10) days after receipt of written demand therefor.</w:t>
      </w:r>
    </w:p>
    <w:p>
      <w:pPr>
        <w:spacing w:after="0" w:line="176"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color w:val="auto"/>
        </w:rPr>
        <w:t xml:space="preserve">5.3.3 </w:t>
      </w:r>
      <w:r>
        <w:rPr>
          <w:rFonts w:ascii="Times New Roman" w:cs="Times New Roman" w:eastAsia="Times New Roman" w:hAnsi="Times New Roman"/>
          <w:sz w:val="18"/>
          <w:szCs w:val="18"/>
          <w:b w:val="1"/>
          <w:bCs w:val="1"/>
          <w:u w:val="single" w:color="auto"/>
          <w:color w:val="auto"/>
        </w:rPr>
        <w:t>Tenant’s Obligations upon Surrender</w:t>
      </w:r>
      <w:r>
        <w:rPr>
          <w:rFonts w:ascii="Times New Roman" w:cs="Times New Roman" w:eastAsia="Times New Roman" w:hAnsi="Times New Roman"/>
          <w:sz w:val="18"/>
          <w:szCs w:val="18"/>
          <w:color w:val="auto"/>
        </w:rPr>
        <w:t xml:space="preserve">. At the expiration or earlier termination of the Lease Term, Tenant, at Tenant’s sole cost and expense, shall: (i) cause an Environmental Assessment of the Premises to be conducted in accordance with </w:t>
      </w:r>
      <w:r>
        <w:rPr>
          <w:rFonts w:ascii="Times New Roman" w:cs="Times New Roman" w:eastAsia="Times New Roman" w:hAnsi="Times New Roman"/>
          <w:sz w:val="18"/>
          <w:szCs w:val="18"/>
          <w:u w:val="single" w:color="auto"/>
          <w:color w:val="auto"/>
        </w:rPr>
        <w:t>Section 15.3</w:t>
      </w:r>
      <w:r>
        <w:rPr>
          <w:rFonts w:ascii="Times New Roman" w:cs="Times New Roman" w:eastAsia="Times New Roman" w:hAnsi="Times New Roman"/>
          <w:sz w:val="18"/>
          <w:szCs w:val="18"/>
          <w:color w:val="auto"/>
        </w:rPr>
        <w:t>; (ii) cause all Hazardous Materials to be removed from the Premises and disposed of in accordance with all Environmental Laws and as necessary to allow the Premises to be used for any purpose to the extent such Hazardous Materials were not disclosed in the Existing Condition Environmental Report (hereinafter defined); and (iii) cause to be removed all containers installed or used by Tenant or Tenant’s Agents to store any Hazardous Materials on the Premises, and cause to be repaired any damage to the Premises caused by such removal.</w:t>
      </w:r>
    </w:p>
    <w:p>
      <w:pPr>
        <w:spacing w:after="0" w:line="182"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5.3.4</w:t>
      </w:r>
      <w:r>
        <w:rPr>
          <w:sz w:val="20"/>
          <w:szCs w:val="20"/>
          <w:color w:val="auto"/>
        </w:rPr>
        <w:tab/>
      </w:r>
      <w:r>
        <w:rPr>
          <w:rFonts w:ascii="Times New Roman" w:cs="Times New Roman" w:eastAsia="Times New Roman" w:hAnsi="Times New Roman"/>
          <w:sz w:val="18"/>
          <w:szCs w:val="18"/>
          <w:b w:val="1"/>
          <w:bCs w:val="1"/>
          <w:u w:val="single" w:color="auto"/>
          <w:color w:val="auto"/>
        </w:rPr>
        <w:t>Clean-up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246"/>
        <w:spacing w:after="0" w:line="268" w:lineRule="auto"/>
        <w:rPr>
          <w:sz w:val="20"/>
          <w:szCs w:val="20"/>
          <w:color w:val="auto"/>
        </w:rPr>
      </w:pPr>
      <w:r>
        <w:rPr>
          <w:rFonts w:ascii="Times New Roman" w:cs="Times New Roman" w:eastAsia="Times New Roman" w:hAnsi="Times New Roman"/>
          <w:sz w:val="18"/>
          <w:szCs w:val="18"/>
          <w:color w:val="auto"/>
        </w:rPr>
        <w:t xml:space="preserve">5.3.4.1 </w:t>
      </w:r>
      <w:r>
        <w:rPr>
          <w:rFonts w:ascii="Times New Roman" w:cs="Times New Roman" w:eastAsia="Times New Roman" w:hAnsi="Times New Roman"/>
          <w:sz w:val="18"/>
          <w:szCs w:val="18"/>
          <w:b w:val="1"/>
          <w:bCs w:val="1"/>
          <w:u w:val="single" w:color="auto"/>
          <w:color w:val="auto"/>
        </w:rPr>
        <w:t>Environmental Reports; Clean-Up</w:t>
      </w:r>
      <w:r>
        <w:rPr>
          <w:rFonts w:ascii="Times New Roman" w:cs="Times New Roman" w:eastAsia="Times New Roman" w:hAnsi="Times New Roman"/>
          <w:sz w:val="18"/>
          <w:szCs w:val="18"/>
          <w:color w:val="auto"/>
        </w:rPr>
        <w:t xml:space="preserve">. If any written report, including any report containing results of any Environmental Assessment (an “ XE "Environmental Report" </w:t>
      </w:r>
      <w:r>
        <w:rPr>
          <w:rFonts w:ascii="Times New Roman" w:cs="Times New Roman" w:eastAsia="Times New Roman" w:hAnsi="Times New Roman"/>
          <w:sz w:val="18"/>
          <w:szCs w:val="18"/>
          <w:b w:val="1"/>
          <w:bCs w:val="1"/>
          <w:color w:val="auto"/>
        </w:rPr>
        <w:t>Environmental Report</w:t>
      </w:r>
      <w:r>
        <w:rPr>
          <w:rFonts w:ascii="Times New Roman" w:cs="Times New Roman" w:eastAsia="Times New Roman" w:hAnsi="Times New Roman"/>
          <w:sz w:val="18"/>
          <w:szCs w:val="18"/>
          <w:color w:val="auto"/>
        </w:rPr>
        <w:t>”) shall indicate (i) the presence of any Hazardous Materials as to which Tenant has a removal or remediation obligation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0" w:name="page141"/>
    <w:bookmarkEnd w:id="14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(ii) that as a result of same, the investigation, characterization, monitoring, assessment, repair, closure, remediation, removal, or other clean-up (the “ XE "Clean-up" </w:t>
      </w:r>
      <w:r>
        <w:rPr>
          <w:rFonts w:ascii="Times New Roman" w:cs="Times New Roman" w:eastAsia="Times New Roman" w:hAnsi="Times New Roman"/>
          <w:sz w:val="18"/>
          <w:szCs w:val="18"/>
          <w:b w:val="1"/>
          <w:bCs w:val="1"/>
          <w:color w:val="auto"/>
        </w:rPr>
        <w:t>Clean-up</w:t>
      </w:r>
      <w:r>
        <w:rPr>
          <w:rFonts w:ascii="Times New Roman" w:cs="Times New Roman" w:eastAsia="Times New Roman" w:hAnsi="Times New Roman"/>
          <w:sz w:val="18"/>
          <w:szCs w:val="18"/>
          <w:color w:val="auto"/>
        </w:rPr>
        <w:t>”) of any Hazardous Materials is required, Tenant shall immediately prepare and submit to Landlord within thirty (30) days after receipt of the Environmental Report a comprehensive plan, subject to Landlord’s written approval, which approval shall not be unreasonably withheld, conditioned, or delayed, specifying the actions to be taken by Tenant to perform the Clean-up so that the Premises are restored to the conditions required by this Lease. Upon Landlord’s approval of the Clean-up plan, Tenant shall, at Tenant’s sole cost and expense, without limitation on any rights and remedies of Landlord under this Lease, immediately implement such plan with a consultant reasonably acceptable to Landlord and proceed to Clean-Up Hazardous Materials in accordance with all Applicable Laws and as required by such plan and this Lease.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ten (10) days after receipt of written demand therefor.</w:t>
      </w:r>
    </w:p>
    <w:p>
      <w:pPr>
        <w:spacing w:after="0" w:line="186" w:lineRule="exact"/>
        <w:rPr>
          <w:sz w:val="20"/>
          <w:szCs w:val="20"/>
          <w:color w:val="auto"/>
        </w:rPr>
      </w:pPr>
    </w:p>
    <w:p>
      <w:pPr>
        <w:jc w:val="both"/>
        <w:ind w:firstLine="2246"/>
        <w:spacing w:after="0" w:line="268" w:lineRule="auto"/>
        <w:rPr>
          <w:sz w:val="20"/>
          <w:szCs w:val="20"/>
          <w:color w:val="auto"/>
        </w:rPr>
      </w:pPr>
      <w:r>
        <w:rPr>
          <w:rFonts w:ascii="Times New Roman" w:cs="Times New Roman" w:eastAsia="Times New Roman" w:hAnsi="Times New Roman"/>
          <w:sz w:val="18"/>
          <w:szCs w:val="18"/>
          <w:color w:val="auto"/>
        </w:rPr>
        <w:t xml:space="preserve">5.3.4.2 </w:t>
      </w:r>
      <w:r>
        <w:rPr>
          <w:rFonts w:ascii="Times New Roman" w:cs="Times New Roman" w:eastAsia="Times New Roman" w:hAnsi="Times New Roman"/>
          <w:sz w:val="18"/>
          <w:szCs w:val="18"/>
          <w:b w:val="1"/>
          <w:bCs w:val="1"/>
          <w:u w:val="single" w:color="auto"/>
          <w:color w:val="auto"/>
        </w:rPr>
        <w:t>No Rent Abatement</w:t>
      </w:r>
      <w:r>
        <w:rPr>
          <w:rFonts w:ascii="Times New Roman" w:cs="Times New Roman" w:eastAsia="Times New Roman" w:hAnsi="Times New Roman"/>
          <w:sz w:val="18"/>
          <w:szCs w:val="18"/>
          <w:color w:val="auto"/>
        </w:rPr>
        <w:t>. Tenant shall continue to pay all Rent due or accruing under this Lease during any Clean-up, and shall not be entitled to any reduction, offset or deferral of any Base Rent or Additional Rent due or accruing under this Lease during any such Clean-up.</w:t>
      </w:r>
    </w:p>
    <w:p>
      <w:pPr>
        <w:spacing w:after="0" w:line="171"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18"/>
          <w:szCs w:val="18"/>
          <w:color w:val="auto"/>
        </w:rPr>
        <w:t xml:space="preserve">5.3.4.3 </w:t>
      </w:r>
      <w:r>
        <w:rPr>
          <w:rFonts w:ascii="Times New Roman" w:cs="Times New Roman" w:eastAsia="Times New Roman" w:hAnsi="Times New Roman"/>
          <w:sz w:val="18"/>
          <w:szCs w:val="18"/>
          <w:b w:val="1"/>
          <w:bCs w:val="1"/>
          <w:u w:val="single" w:color="auto"/>
          <w:color w:val="auto"/>
        </w:rPr>
        <w:t>Surrender of Premises</w:t>
      </w:r>
      <w:r>
        <w:rPr>
          <w:rFonts w:ascii="Times New Roman" w:cs="Times New Roman" w:eastAsia="Times New Roman" w:hAnsi="Times New Roman"/>
          <w:sz w:val="18"/>
          <w:szCs w:val="18"/>
          <w:color w:val="auto"/>
        </w:rPr>
        <w:t xml:space="preserve">. Tenant shall complete any Clean-up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 XE "Closure Letter" </w:t>
      </w:r>
      <w:r>
        <w:rPr>
          <w:rFonts w:ascii="Times New Roman" w:cs="Times New Roman" w:eastAsia="Times New Roman" w:hAnsi="Times New Roman"/>
          <w:sz w:val="18"/>
          <w:szCs w:val="18"/>
          <w:b w:val="1"/>
          <w:bCs w:val="1"/>
          <w:color w:val="auto"/>
        </w:rPr>
        <w:t>Closure Letter</w:t>
      </w:r>
      <w:r>
        <w:rPr>
          <w:rFonts w:ascii="Times New Roman" w:cs="Times New Roman" w:eastAsia="Times New Roman" w:hAnsi="Times New Roman"/>
          <w:sz w:val="18"/>
          <w:szCs w:val="18"/>
          <w:color w:val="auto"/>
        </w:rPr>
        <w:t>”). Upon the expiration or earlier termination of this Lease, Tenant shall also be obligated to close all permits obtained in connection with Hazardous Materials in accordance with Applicable Laws.</w:t>
      </w:r>
    </w:p>
    <w:p>
      <w:pPr>
        <w:spacing w:after="0" w:line="399" w:lineRule="exact"/>
        <w:rPr>
          <w:sz w:val="20"/>
          <w:szCs w:val="20"/>
          <w:color w:val="auto"/>
        </w:rPr>
      </w:pPr>
    </w:p>
    <w:p>
      <w:pPr>
        <w:jc w:val="both"/>
        <w:ind w:firstLine="2246"/>
        <w:spacing w:after="0" w:line="262" w:lineRule="auto"/>
        <w:rPr>
          <w:sz w:val="20"/>
          <w:szCs w:val="20"/>
          <w:color w:val="auto"/>
        </w:rPr>
      </w:pPr>
      <w:r>
        <w:rPr>
          <w:rFonts w:ascii="Times New Roman" w:cs="Times New Roman" w:eastAsia="Times New Roman" w:hAnsi="Times New Roman"/>
          <w:sz w:val="18"/>
          <w:szCs w:val="18"/>
          <w:color w:val="auto"/>
        </w:rPr>
        <w:t xml:space="preserve">5.3.4.4 </w:t>
      </w:r>
      <w:r>
        <w:rPr>
          <w:rFonts w:ascii="Times New Roman" w:cs="Times New Roman" w:eastAsia="Times New Roman" w:hAnsi="Times New Roman"/>
          <w:sz w:val="18"/>
          <w:szCs w:val="18"/>
          <w:b w:val="1"/>
          <w:bCs w:val="1"/>
          <w:u w:val="single" w:color="auto"/>
          <w:color w:val="auto"/>
        </w:rPr>
        <w:t>Failure to Timely Clean-Up</w:t>
      </w:r>
      <w:r>
        <w:rPr>
          <w:rFonts w:ascii="Times New Roman" w:cs="Times New Roman" w:eastAsia="Times New Roman" w:hAnsi="Times New Roman"/>
          <w:sz w:val="18"/>
          <w:szCs w:val="18"/>
          <w:color w:val="auto"/>
        </w:rPr>
        <w:t xml:space="preserve">. Should any Clean-up for which Tenant is responsible not be completed, or should Tenant not receive the Closure Letter and any governmental approvals required under Environmental Laws in conjunction with such Clean-up prior to the expiration or earlier termination of this Lease, then Tenant shall be liable to Landlord as a holdover tenant (as more particularly provided in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xml:space="preserve">) until Tenant has fully complied with its obligations under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color w:val="auto"/>
        </w:rPr>
        <w:t xml:space="preserve">5.3.5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Unless compelled to do so by Applicable Law, Tenant agrees that Tenant shall not dis close, discuss, disseminate or copy any information, data, findings, communications, conclusions and reports regarding the environmental condition of the Premises to any Person (other than Tenant’s directors, shareholders, consultants, attorneys, property managers and employees that have a need to know such information), including any governmental authority, without the prior written consent of Landlord. In the event Tenant reasonably believes that disclosure is compelled by Applicable Law, to the extent possible, it shall provide Landlord ten (10) days’ advance notice of disclosure of confidential information so that Landlord may attempt to obtain a protective order. Tenant may additionally release such information to attorneys, accountants, and other advisors, and to bona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auto"/>
        </w:rPr>
        <w:t xml:space="preserve">fide prospective purchasers or lenders, subject to any such parties’ written agreement to be bound by the terms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18"/>
          <w:szCs w:val="18"/>
          <w:color w:val="auto"/>
        </w:rPr>
        <w:t xml:space="preserve">5.3.6 </w:t>
      </w:r>
      <w:r>
        <w:rPr>
          <w:rFonts w:ascii="Times New Roman" w:cs="Times New Roman" w:eastAsia="Times New Roman" w:hAnsi="Times New Roman"/>
          <w:sz w:val="18"/>
          <w:szCs w:val="18"/>
          <w:b w:val="1"/>
          <w:bCs w:val="1"/>
          <w:u w:val="single" w:color="auto"/>
          <w:color w:val="auto"/>
        </w:rPr>
        <w:t>Copies of Environmental Reports</w:t>
      </w:r>
      <w:r>
        <w:rPr>
          <w:rFonts w:ascii="Times New Roman" w:cs="Times New Roman" w:eastAsia="Times New Roman" w:hAnsi="Times New Roman"/>
          <w:sz w:val="18"/>
          <w:szCs w:val="18"/>
          <w:color w:val="auto"/>
        </w:rPr>
        <w:t>. Within thirty (30) days of receipt thereof, Tenant shall provide Landlord with a copy of any and all environmental assessments, audits, studies and reports regarding Tenant’s activities with respect to the Premises, or ground water beneath the Land, or the environmental condition or Clean-up thereof. Tenant shall be obligated to provide Landlord with a copy of such materials without regard to whether such materials are generated by Tenant or prepared for Tenant, or how Tenant comes into possession of such materials.</w:t>
      </w:r>
    </w:p>
    <w:p>
      <w:pPr>
        <w:spacing w:after="0" w:line="176"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5.3.7</w:t>
      </w:r>
      <w:r>
        <w:rPr>
          <w:sz w:val="20"/>
          <w:szCs w:val="20"/>
          <w:color w:val="auto"/>
        </w:rPr>
        <w:tab/>
      </w:r>
      <w:r>
        <w:rPr>
          <w:rFonts w:ascii="Times New Roman" w:cs="Times New Roman" w:eastAsia="Times New Roman" w:hAnsi="Times New Roman"/>
          <w:sz w:val="17"/>
          <w:szCs w:val="17"/>
          <w:b w:val="1"/>
          <w:bCs w:val="1"/>
          <w:u w:val="single" w:color="auto"/>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 xml:space="preserve">5.3.8 </w:t>
      </w:r>
      <w:r>
        <w:rPr>
          <w:rFonts w:ascii="Times New Roman" w:cs="Times New Roman" w:eastAsia="Times New Roman" w:hAnsi="Times New Roman"/>
          <w:sz w:val="18"/>
          <w:szCs w:val="18"/>
          <w:b w:val="1"/>
          <w:bCs w:val="1"/>
          <w:u w:val="single" w:color="auto"/>
          <w:color w:val="auto"/>
        </w:rPr>
        <w:t>Signs, Response Plans, Etc</w:t>
      </w:r>
      <w:r>
        <w:rPr>
          <w:rFonts w:ascii="Times New Roman" w:cs="Times New Roman" w:eastAsia="Times New Roman" w:hAnsi="Times New Roman"/>
          <w:sz w:val="18"/>
          <w:szCs w:val="18"/>
          <w:color w:val="auto"/>
        </w:rPr>
        <w:t>. Tenant shall be responsible for posting on the Premises any signs required under applicable Environmental Laws in connection with any required Clean-up necessitated by Tenant's use of the Premises. Tenant shall also complete and file any business response plans or inventories required by any Applicable Laws in connection with any required Clean-up, necessitated by Tenant's use of the Premises. Tenant shall concurrently file a copy of any such business response plan or inventory with Landlord in connection with any required Clean-up, necessitated by Tenant's use of the Premises.</w:t>
      </w:r>
    </w:p>
    <w:p>
      <w:pPr>
        <w:spacing w:after="0" w:line="179" w:lineRule="exact"/>
        <w:rPr>
          <w:sz w:val="20"/>
          <w:szCs w:val="20"/>
          <w:color w:val="auto"/>
        </w:rPr>
      </w:pPr>
    </w:p>
    <w:p>
      <w:pPr>
        <w:jc w:val="both"/>
        <w:ind w:firstLine="1497"/>
        <w:spacing w:after="0" w:line="268" w:lineRule="auto"/>
        <w:rPr>
          <w:sz w:val="20"/>
          <w:szCs w:val="20"/>
          <w:color w:val="auto"/>
        </w:rPr>
      </w:pPr>
      <w:r>
        <w:rPr>
          <w:rFonts w:ascii="Times New Roman" w:cs="Times New Roman" w:eastAsia="Times New Roman" w:hAnsi="Times New Roman"/>
          <w:sz w:val="18"/>
          <w:szCs w:val="18"/>
          <w:color w:val="auto"/>
        </w:rPr>
        <w:t xml:space="preserve">5.3.9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xml:space="preserve">. Each covenant, agreement, representation, warranty and indemnification made by Tenant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5.3</w:t>
      </w:r>
      <w:r>
        <w:rPr>
          <w:rFonts w:ascii="Times New Roman" w:cs="Times New Roman" w:eastAsia="Times New Roman" w:hAnsi="Times New Roman"/>
          <w:sz w:val="18"/>
          <w:szCs w:val="18"/>
          <w:color w:val="auto"/>
        </w:rPr>
        <w:t xml:space="preserve"> shall survive the expiration or earlier termination of this Lease and shall remain effective until all of Tenant’s obligations under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have been completely performed and satisfied.</w:t>
      </w:r>
    </w:p>
    <w:p>
      <w:pPr>
        <w:spacing w:after="0" w:line="175" w:lineRule="exact"/>
        <w:rPr>
          <w:sz w:val="20"/>
          <w:szCs w:val="20"/>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SERVICES AND UTILITIES.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Landlord shall provide the following services on all days (unless otherwise stated below) during the Lease Term.</w:t>
      </w:r>
    </w:p>
    <w:p>
      <w:pPr>
        <w:spacing w:after="0" w:line="229"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 xml:space="preserve">6.1.1 Subject to limitations imposed by all governmental rules, regulations and guidelines applicable thereto, Landlord shall provide heating, ventilation and air conditioning (xe "HVAC"" XE "HVAC" </w:t>
      </w:r>
      <w:r>
        <w:rPr>
          <w:rFonts w:ascii="Times New Roman" w:cs="Times New Roman" w:eastAsia="Times New Roman" w:hAnsi="Times New Roman"/>
          <w:sz w:val="18"/>
          <w:szCs w:val="18"/>
          <w:b w:val="1"/>
          <w:bCs w:val="1"/>
          <w:color w:val="auto"/>
        </w:rPr>
        <w:t>HVAC</w:t>
      </w:r>
      <w:r>
        <w:rPr>
          <w:rFonts w:ascii="Times New Roman" w:cs="Times New Roman" w:eastAsia="Times New Roman" w:hAnsi="Times New Roman"/>
          <w:sz w:val="18"/>
          <w:szCs w:val="18"/>
          <w:color w:val="auto"/>
        </w:rPr>
        <w:t>") to the office portions of the Premises when necessary for normal comfort for normal office use in the Premises from 7:00 A.M. to 6:00 P.M. Monday through Friday (collectively, the "xe "Building Hours"</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Hours</w:t>
      </w:r>
      <w:r>
        <w:rPr>
          <w:rFonts w:ascii="Times New Roman" w:cs="Times New Roman" w:eastAsia="Times New Roman" w:hAnsi="Times New Roman"/>
          <w:sz w:val="18"/>
          <w:szCs w:val="18"/>
          <w:color w:val="auto"/>
        </w:rPr>
        <w:t>"), except for the date of observation of New Year's Day, President's Day, Memorial Day, Independence Day, Labor Day, Thanksgiving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Christmas Day and, at Landlord's discretion, other locally or nationally recognized holidays (collectively, the "xe "Holidays"</w:t>
      </w:r>
      <w:r>
        <w:rPr>
          <w:rFonts w:ascii="Times New Roman" w:cs="Times New Roman" w:eastAsia="Times New Roman" w:hAnsi="Times New Roman"/>
          <w:sz w:val="18"/>
          <w:szCs w:val="18"/>
          <w:b w:val="1"/>
          <w:bCs w:val="1"/>
          <w:color w:val="auto"/>
        </w:rPr>
        <w:t>Holidays</w:t>
      </w:r>
      <w:r>
        <w:rPr>
          <w:rFonts w:ascii="Times New Roman" w:cs="Times New Roman" w:eastAsia="Times New Roman" w:hAnsi="Times New Roman"/>
          <w:sz w:val="18"/>
          <w:szCs w:val="18"/>
          <w:color w:val="auto"/>
        </w:rPr>
        <w:t>"). HVAC to the lab portion of the Premises will be provided 24 hours per day, 7 days per week. Tenant shall cooperate fully with Landlord at all times and abide by all regulations and requirements that Landlord may reasonably prescribe for the proper functioning and protection of the HVAC, electrical, mechanical and plumbing systems.</w:t>
      </w:r>
    </w:p>
    <w:p>
      <w:pPr>
        <w:spacing w:after="0" w:line="200" w:lineRule="exact"/>
        <w:rPr>
          <w:sz w:val="20"/>
          <w:szCs w:val="20"/>
          <w:color w:val="auto"/>
        </w:rPr>
      </w:pPr>
    </w:p>
    <w:p>
      <w:pPr>
        <w:spacing w:after="0" w:line="205"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6.1.2 Landlord shall provide reasonably sufficient electricity to the Premises (including adequate electrical wiring and facilities for connection to Tenant's lighting fixtures and incidental use equipment), provided that the connected electrical load of Tenant's lighting fixtures and the incidental use equipment does not, in the aggregate, exceed the connected electrical loads typically required at First Class Life Sciences Projects. Tenant will design Tenant's electrical system serving any equipment producing nonlinear electrical loads to accommodate such nonlinear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2" w:name="page143"/>
    <w:bookmarkEnd w:id="142"/>
    <w:p>
      <w:pPr>
        <w:jc w:val="both"/>
        <w:spacing w:after="0" w:line="253" w:lineRule="auto"/>
        <w:rPr>
          <w:sz w:val="20"/>
          <w:szCs w:val="20"/>
          <w:color w:val="auto"/>
        </w:rPr>
      </w:pPr>
      <w:r>
        <w:rPr>
          <w:rFonts w:ascii="Times New Roman" w:cs="Times New Roman" w:eastAsia="Times New Roman" w:hAnsi="Times New Roman"/>
          <w:sz w:val="18"/>
          <w:szCs w:val="18"/>
          <w:color w:val="auto"/>
        </w:rPr>
        <w:t>electrical loads, including, but not limited to, oversizing neutral conductors, derating transformers and/or providing power-line filters. Engineering plans shall include a calculation of Tenant's fully connected electrical design load with and without demand factors and shall indicate the number of watts of unmetered and submetered loads. Tenant shall bear the cost of replacement of lamps, starters and ballasts for non-Building standard lighting fixtures within the Premises. If electricity is separately sub-metered, then Tenant shall pay to Landlord the cost of such utilities based on such sub-meter, and reimbursement for any penalties for usage or other surcharges imposed by any utility company. If electricity is not separately sub-metered, then the cost of electricity used by Tenant in the Premises shall be equitably allocated by Landlord on a basis consistent with commercial reasonable property management practices. Within twenty (20) days after receipt of Landlord's statement of apportionment or statement setting forth the charges payable by Tenant, Tenant shall pay to Landlord, as Additional Rent (and not as a Direct Expense), the cost of such electrical services so apportioned or so provided by Landlord. Notwithstanding anything to the contrary set forth herein, to the extent the Premises generates electricity demand on a shared resource (e.g. electricity for the central plant), the cost of such electricity shall be allocated to Tenant on a pro rata basis or other reasonable basis consistent with commercial reasonable property management practices.</w:t>
      </w:r>
    </w:p>
    <w:p>
      <w:pPr>
        <w:spacing w:after="0" w:line="192"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18"/>
          <w:szCs w:val="18"/>
          <w:color w:val="auto"/>
        </w:rPr>
        <w:t>6.1.3 Landlord shall provide city water from the regular Building outlets for drinking, kitchen, lavatory and toilet purposes in the Building Common Areas and the Premises.</w:t>
      </w:r>
    </w:p>
    <w:p>
      <w:pPr>
        <w:spacing w:after="0" w:line="162" w:lineRule="exact"/>
        <w:rPr>
          <w:sz w:val="20"/>
          <w:szCs w:val="20"/>
          <w:color w:val="auto"/>
        </w:rPr>
      </w:pPr>
    </w:p>
    <w:p>
      <w:pPr>
        <w:jc w:val="both"/>
        <w:ind w:right="40" w:firstLine="1497"/>
        <w:spacing w:after="0" w:line="282" w:lineRule="auto"/>
        <w:rPr>
          <w:sz w:val="20"/>
          <w:szCs w:val="20"/>
          <w:color w:val="auto"/>
        </w:rPr>
      </w:pPr>
      <w:r>
        <w:rPr>
          <w:rFonts w:ascii="Times New Roman" w:cs="Times New Roman" w:eastAsia="Times New Roman" w:hAnsi="Times New Roman"/>
          <w:sz w:val="18"/>
          <w:szCs w:val="18"/>
          <w:color w:val="auto"/>
        </w:rPr>
        <w:t>6.1.4 Landlord shall provide nonexclusive, non-attended automatic passenger elevator service during the Building Hours, shall have one elevator available at all other times, including on the Holidays, except in the event of emergency.</w:t>
      </w:r>
    </w:p>
    <w:p>
      <w:pPr>
        <w:spacing w:after="0" w:line="162"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6.1.5 Landlord shall not provide janitorial services for the Premises. Tenant shall be solely responsible for performing all janitorial services and other cleaning of the Premises, all in compliance with Applicable Laws. The janitorial and cleaning of the Premises shall be adequate to maintain the Premises in a manner consistent with First Class Life Sciences Projects.</w:t>
      </w:r>
    </w:p>
    <w:p>
      <w:pPr>
        <w:spacing w:after="0" w:line="176"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6.1.6</w:t>
      </w:r>
      <w:r>
        <w:rPr>
          <w:sz w:val="20"/>
          <w:szCs w:val="20"/>
          <w:color w:val="auto"/>
        </w:rPr>
        <w:tab/>
      </w:r>
      <w:r>
        <w:rPr>
          <w:rFonts w:ascii="Times New Roman" w:cs="Times New Roman" w:eastAsia="Times New Roman" w:hAnsi="Times New Roman"/>
          <w:sz w:val="18"/>
          <w:szCs w:val="18"/>
          <w:color w:val="auto"/>
        </w:rPr>
        <w:t>Landlord shall provide janitorial services for the Common Areas in a manner consistent with First Class Life Sciences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Projects.</w:t>
      </w:r>
    </w:p>
    <w:p>
      <w:pPr>
        <w:spacing w:after="0" w:line="207"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6.1.7</w:t>
      </w:r>
      <w:r>
        <w:rPr>
          <w:sz w:val="20"/>
          <w:szCs w:val="20"/>
          <w:color w:val="auto"/>
        </w:rPr>
        <w:tab/>
      </w:r>
      <w:r>
        <w:rPr>
          <w:rFonts w:ascii="Times New Roman" w:cs="Times New Roman" w:eastAsia="Times New Roman" w:hAnsi="Times New Roman"/>
          <w:sz w:val="17"/>
          <w:szCs w:val="17"/>
          <w:color w:val="auto"/>
        </w:rPr>
        <w:t>Intentionally omitted.</w:t>
      </w:r>
    </w:p>
    <w:p>
      <w:pPr>
        <w:spacing w:after="0" w:line="22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u w:val="single" w:color="auto"/>
          <w:color w:val="auto"/>
        </w:rPr>
        <w:t>Interruption of Use</w:t>
      </w:r>
      <w:r>
        <w:rPr>
          <w:rFonts w:ascii="Times New Roman" w:cs="Times New Roman" w:eastAsia="Times New Roman" w:hAnsi="Times New Roman"/>
          <w:sz w:val="18"/>
          <w:szCs w:val="18"/>
          <w:color w:val="auto"/>
        </w:rPr>
        <w:t xml:space="preserve">.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(as that term is defined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below) whatsoever, by act or default of Tenant or other parties, or by any other cause; and such failures or delays or diminution shall never be deemed to constitute an eviction or disturbance of Tenant's use and possession of the Premises or, except as provided in </w:t>
      </w:r>
      <w:r>
        <w:rPr>
          <w:rFonts w:ascii="Times New Roman" w:cs="Times New Roman" w:eastAsia="Times New Roman" w:hAnsi="Times New Roman"/>
          <w:sz w:val="18"/>
          <w:szCs w:val="18"/>
          <w:u w:val="single" w:color="auto"/>
          <w:color w:val="auto"/>
        </w:rPr>
        <w:t>Section 19.5.2</w:t>
      </w:r>
      <w:r>
        <w:rPr>
          <w:rFonts w:ascii="Times New Roman" w:cs="Times New Roman" w:eastAsia="Times New Roman" w:hAnsi="Times New Roman"/>
          <w:sz w:val="18"/>
          <w:szCs w:val="18"/>
          <w:color w:val="auto"/>
        </w:rPr>
        <w:t>, below, relieve Tenant from paying Rent or performing any of its obligations under this Lease. Furthermore, Landlord shall not be liable under any circumstances for a loss of, or injury to, property or for injury to, or interference with, Tenant's business, including, without limitation, loss of</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 xml:space="preserve">profits, however occurring, through or in connection with or incidental to a failure to furnish any of the services or utilities as set forth in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u w:val="single" w:color="auto"/>
          <w:color w:val="auto"/>
        </w:rPr>
        <w:t>Energy Performance Disclosure Information</w:t>
      </w:r>
      <w:r>
        <w:rPr>
          <w:rFonts w:ascii="Times New Roman" w:cs="Times New Roman" w:eastAsia="Times New Roman" w:hAnsi="Times New Roman"/>
          <w:sz w:val="18"/>
          <w:szCs w:val="18"/>
          <w:color w:val="auto"/>
        </w:rPr>
        <w:t xml:space="preserve">. Tenant hereby acknowledges that Landlord may be required to disclose certain information concerning the energy performance of the Building pursuant to California Public Resources Code Section 25402.10 and the regulations adopted pursuant thereto (collectively the “ XE "Energy Disclosure Requirements" </w:t>
      </w:r>
      <w:r>
        <w:rPr>
          <w:rFonts w:ascii="Times New Roman" w:cs="Times New Roman" w:eastAsia="Times New Roman" w:hAnsi="Times New Roman"/>
          <w:sz w:val="18"/>
          <w:szCs w:val="18"/>
          <w:b w:val="1"/>
          <w:bCs w:val="1"/>
          <w:color w:val="auto"/>
        </w:rPr>
        <w:t>Energy Disclosure Requirements</w:t>
      </w:r>
      <w:r>
        <w:rPr>
          <w:rFonts w:ascii="Times New Roman" w:cs="Times New Roman" w:eastAsia="Times New Roman" w:hAnsi="Times New Roman"/>
          <w:sz w:val="18"/>
          <w:szCs w:val="18"/>
          <w:color w:val="auto"/>
        </w:rPr>
        <w:t xml:space="preserve">”). Tenant hereby acknowledges prior receipt of the Data Verification Checklist, as defined in the Energy Disclosure Requirements (the “ XE "Energy Disclosure Information" </w:t>
      </w:r>
      <w:r>
        <w:rPr>
          <w:rFonts w:ascii="Times New Roman" w:cs="Times New Roman" w:eastAsia="Times New Roman" w:hAnsi="Times New Roman"/>
          <w:sz w:val="18"/>
          <w:szCs w:val="18"/>
          <w:b w:val="1"/>
          <w:bCs w:val="1"/>
          <w:color w:val="auto"/>
        </w:rPr>
        <w:t>Energy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and agrees that Landlord has timely complied in full with Landlord’s obligations under the Energy Disclosure Requirements.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acknowledges and agrees that (i) Landlord makes no representation or warranty regarding the energy performance of the Building or the accuracy or completeness of the Energy Disclosure Information, (ii) the Energy Disclosure Information is for the current occupancy and use of the Building and that the energy performance of the Building may vary depending on future occupancy and/or use of the Building, and (iii) Landlord shall have no liability to Tenant for any errors or omissions in the Energy Disclosure Information. If and to the extent not prohibited by Applicable Laws, Tenant hereby waives any right Tenant may have to receive the Energy Disclosure Information, including, without limitation, any right Tenant may have to terminate this Lease as a result of Landlord’s failure to disclose such information. Further, Tenant hereby releases Landlord from any and all losses, costs, damages, expenses and/or liabilities relating to, arising out of and/or resulting from the Energy Disclosure Requirements, including, without limitation, any liabilities arising as a result of Landlord’s failure to disclose the Energy Disclosure Information to Tenant prior to the execution of this Lease. Tenant’s acknowledgment of the AS-IS condition of the Premises pursuant to the terms of this Lease shall be deemed to include the energy performance of the Building. Tenant further acknowledges that pursuant to the Energy Disclosure Requirements, Landlord may be required in the future to disclose information concerning Tenant’s energy usage to certain third parties, including, without limitation, prospective purchasers, lenders and tenants of the Building (the “ XE "Tenant Energy Use Disclosure" </w:t>
      </w:r>
      <w:r>
        <w:rPr>
          <w:rFonts w:ascii="Times New Roman" w:cs="Times New Roman" w:eastAsia="Times New Roman" w:hAnsi="Times New Roman"/>
          <w:sz w:val="18"/>
          <w:szCs w:val="18"/>
          <w:b w:val="1"/>
          <w:bCs w:val="1"/>
          <w:color w:val="auto"/>
        </w:rPr>
        <w:t>Tenant Energy Use Disclosure</w:t>
      </w:r>
      <w:r>
        <w:rPr>
          <w:rFonts w:ascii="Times New Roman" w:cs="Times New Roman" w:eastAsia="Times New Roman" w:hAnsi="Times New Roman"/>
          <w:sz w:val="18"/>
          <w:szCs w:val="18"/>
          <w:color w:val="auto"/>
        </w:rPr>
        <w:t xml:space="preserve">”).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survive the expiration or earlier termination of this Lease.</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b w:val="1"/>
          <w:bCs w:val="1"/>
          <w:u w:val="single" w:color="auto"/>
          <w:color w:val="auto"/>
        </w:rPr>
        <w:t>Generator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Commencing on the Lease Commencement Date, Tenant shall have the right to connect to the Building back-up generator (the "</w:t>
      </w:r>
      <w:r>
        <w:rPr>
          <w:rFonts w:ascii="Times New Roman" w:cs="Times New Roman" w:eastAsia="Times New Roman" w:hAnsi="Times New Roman"/>
          <w:sz w:val="18"/>
          <w:szCs w:val="18"/>
          <w:b w:val="1"/>
          <w:bCs w:val="1"/>
          <w:color w:val="auto"/>
        </w:rPr>
        <w:t>Generator</w:t>
      </w:r>
      <w:r>
        <w:rPr>
          <w:rFonts w:ascii="Times New Roman" w:cs="Times New Roman" w:eastAsia="Times New Roman" w:hAnsi="Times New Roman"/>
          <w:sz w:val="18"/>
          <w:szCs w:val="18"/>
          <w:color w:val="auto"/>
        </w:rPr>
        <w:t xml:space="preserve"> XE "Generator" "), for Tenant’s Share of the Generator’s capacity (after accounting for Building Common Area requirements) to provide back-up generator services to the Premises at no additional cost. During the Lease Term and any renewal terms, Landlord shall maintain the Generator in good working order, condition and repair. The costs of operation, maintenance, and repair of the Generator shall be included in Operating Expenses to the extent provided in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and Tenant shall not be responsible for any costs with respect thereto outside of Tenant’s Share of Operating Expenses. Landlord shall not be liable for any damages whatsoever resulting from any failure in operation of the Generator, or the failure of the Generator to provide suitable or adequate back-up power to the Premises,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4" w:name="page145"/>
    <w:bookmarkEnd w:id="144"/>
    <w:p>
      <w:pPr>
        <w:ind w:left="360" w:hanging="352"/>
        <w:spacing w:after="0"/>
        <w:tabs>
          <w:tab w:leader="none" w:pos="3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REPAIRS.</w:t>
      </w:r>
    </w:p>
    <w:p>
      <w:pPr>
        <w:spacing w:after="0" w:line="22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u w:val="single" w:color="auto"/>
          <w:color w:val="auto"/>
        </w:rPr>
        <w:t>Tenant Repair Obligations</w:t>
      </w:r>
      <w:r>
        <w:rPr>
          <w:rFonts w:ascii="Times New Roman" w:cs="Times New Roman" w:eastAsia="Times New Roman" w:hAnsi="Times New Roman"/>
          <w:sz w:val="18"/>
          <w:szCs w:val="18"/>
          <w:color w:val="auto"/>
        </w:rPr>
        <w:t xml:space="preserve">. Tenant shall, at Tenant's own expense, keep the interior, non-structural portions of the Premises, including all improvements, fixtures and furnishings therein, and the floor or floors of the Building on which the Premises are located, in good order, repair and condition at all times during the Lease Term. In addition, Tenant shall, at Tenant's own expense, but under the supervision and subject to the prior approval of Landlord, and within any reasonable period of time specified by Landlord, promptly and adequately repair all damage to the Premises and replace or repair all damaged, broken, or worn fixtures and appurtenances, except for damage caused by ordinary wear and tear or beyond the reasonable control of Tenant; provided however, that, Landlord shall have the exclusive right, at Landlord's option, but not the obligation, to make such repairs and replacements, and Tenant shall pay to Landlord the cost thereof, including Landlord's standard fee for its involvement with such repairs and replacements (to be uniformly established for the Building at a commercially reasonable level), promptly upon being billed for same. Landlord may, but shall not be required to, enter the Premises pursuant to the terms of </w:t>
      </w:r>
      <w:r>
        <w:rPr>
          <w:rFonts w:ascii="Times New Roman" w:cs="Times New Roman" w:eastAsia="Times New Roman" w:hAnsi="Times New Roman"/>
          <w:sz w:val="18"/>
          <w:szCs w:val="18"/>
          <w:u w:val="single" w:color="auto"/>
          <w:color w:val="auto"/>
        </w:rPr>
        <w:t>Article 27</w:t>
      </w:r>
      <w:r>
        <w:rPr>
          <w:rFonts w:ascii="Times New Roman" w:cs="Times New Roman" w:eastAsia="Times New Roman" w:hAnsi="Times New Roman"/>
          <w:sz w:val="18"/>
          <w:szCs w:val="18"/>
          <w:color w:val="auto"/>
        </w:rPr>
        <w:t>, below,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Tenant hereby waives any and all rights under and benefits of subsection 1 of Section 1932 and Sections 1941 and 1942 of the California Civil Code or under any similar law, statute, or ordinance now or hereafter in effect.</w:t>
      </w:r>
    </w:p>
    <w:p>
      <w:pPr>
        <w:spacing w:after="0" w:line="19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u w:val="single" w:color="auto"/>
          <w:color w:val="auto"/>
        </w:rPr>
        <w:t>Landlord Repair Obligations</w:t>
      </w:r>
      <w:r>
        <w:rPr>
          <w:rFonts w:ascii="Times New Roman" w:cs="Times New Roman" w:eastAsia="Times New Roman" w:hAnsi="Times New Roman"/>
          <w:sz w:val="18"/>
          <w:szCs w:val="18"/>
          <w:color w:val="auto"/>
        </w:rPr>
        <w:t xml:space="preserve">. Notwithstanding the foregoing, Landlord shall be responsible for repairs and replacement as necessary to the exterior walls, exterior doors and windows and waterproofing of the Building envelope, foundation and roof (including roof membrane, gutters, flashings, and downspouts) of the Building, utility connections to the Building, the structural portions of the floors of the Building (the " XE "Building Structure" </w:t>
      </w:r>
      <w:r>
        <w:rPr>
          <w:rFonts w:ascii="Times New Roman" w:cs="Times New Roman" w:eastAsia="Times New Roman" w:hAnsi="Times New Roman"/>
          <w:sz w:val="18"/>
          <w:szCs w:val="18"/>
          <w:b w:val="1"/>
          <w:bCs w:val="1"/>
          <w:color w:val="auto"/>
        </w:rPr>
        <w:t>Building Structure</w:t>
      </w:r>
      <w:r>
        <w:rPr>
          <w:rFonts w:ascii="Times New Roman" w:cs="Times New Roman" w:eastAsia="Times New Roman" w:hAnsi="Times New Roman"/>
          <w:sz w:val="18"/>
          <w:szCs w:val="18"/>
          <w:color w:val="auto"/>
        </w:rPr>
        <w:t xml:space="preserve">"), the base Building plumbing, sewer, drainage, electrical, fire protection, elevator, life safety, heating, ventilation and air-conditioning systems (the " XE "Building Systems" </w:t>
      </w:r>
      <w:r>
        <w:rPr>
          <w:rFonts w:ascii="Times New Roman" w:cs="Times New Roman" w:eastAsia="Times New Roman" w:hAnsi="Times New Roman"/>
          <w:sz w:val="18"/>
          <w:szCs w:val="18"/>
          <w:b w:val="1"/>
          <w:bCs w:val="1"/>
          <w:color w:val="auto"/>
        </w:rPr>
        <w:t>Building Systems</w:t>
      </w:r>
      <w:r>
        <w:rPr>
          <w:rFonts w:ascii="Times New Roman" w:cs="Times New Roman" w:eastAsia="Times New Roman" w:hAnsi="Times New Roman"/>
          <w:sz w:val="18"/>
          <w:szCs w:val="18"/>
          <w:color w:val="auto"/>
        </w:rPr>
        <w:t xml:space="preserve">" and together with the Building Structure, the " XE "Base Building" </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")of the Building, and the Common Areas, except to the extent that such repairs are required due to the negligence or willful misconduct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Tenant; provided, however, that if such repairs are due to the negligence or willful misconduct of Tenant, Landlord shall nevertheless make such repairs at Tenant's expense, or, if covered by Landlord's insurance, Tenant shall only be obligated to pay any deductible in connection therewith. Subject to the terms of </w:t>
      </w:r>
      <w:r>
        <w:rPr>
          <w:rFonts w:ascii="Times New Roman" w:cs="Times New Roman" w:eastAsia="Times New Roman" w:hAnsi="Times New Roman"/>
          <w:sz w:val="18"/>
          <w:szCs w:val="18"/>
          <w:u w:val="single" w:color="auto"/>
          <w:color w:val="auto"/>
        </w:rPr>
        <w:t>Article 27</w:t>
      </w:r>
      <w:r>
        <w:rPr>
          <w:rFonts w:ascii="Times New Roman" w:cs="Times New Roman" w:eastAsia="Times New Roman" w:hAnsi="Times New Roman"/>
          <w:sz w:val="18"/>
          <w:szCs w:val="18"/>
          <w:color w:val="auto"/>
        </w:rPr>
        <w:t>, below, Landlord may, but shall not be required to, enter the Premises at all reasonable times and upon reasonable prior notice to make such repairs, alterations, improvements or additions to the Premises or to the Project or to any equipment located in the Project as Landlord shall desire or deem necessary or as Landlord may be required to do by governmental or quasi-governmental authority or court order or decree. Tenant hereby waives any and all rights under and benefits of subsection 1 of Section 1932 and Sections 1941 and 1942 of the California Civil Code or under any similar law, statute, or ordinance now or hereafter in effect.</w:t>
      </w:r>
    </w:p>
    <w:p>
      <w:pPr>
        <w:spacing w:after="0" w:line="191" w:lineRule="exact"/>
        <w:rPr>
          <w:sz w:val="20"/>
          <w:szCs w:val="20"/>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AND ALTERATIONS.</w:t>
      </w:r>
    </w:p>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u w:val="single" w:color="auto"/>
          <w:color w:val="auto"/>
        </w:rPr>
        <w:t>Landlord's Consent to Alterations</w:t>
      </w:r>
      <w:r>
        <w:rPr>
          <w:rFonts w:ascii="Times New Roman" w:cs="Times New Roman" w:eastAsia="Times New Roman" w:hAnsi="Times New Roman"/>
          <w:sz w:val="18"/>
          <w:szCs w:val="18"/>
          <w:color w:val="auto"/>
        </w:rPr>
        <w:t xml:space="preserve">. Tenant may not make any improvements, alterations, additions or changes to the Premises or any mechanical, plumbing or HVAC facilities or systems pertaining to the Premises (collectively, the " XE "Alterations"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without first procuring the prior written consent of Landlord to such Alterations, which consent shall be requested by Tenant not less than thirty (30) days prior to the commencement thereof, and which consent shall not be unreasonably withheld, conditioned, or delayed by Landlord, provided it shall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5" w:name="page146"/>
    <w:bookmarkEnd w:id="145"/>
    <w:p>
      <w:pPr>
        <w:spacing w:after="0" w:line="261" w:lineRule="auto"/>
        <w:rPr>
          <w:sz w:val="20"/>
          <w:szCs w:val="20"/>
          <w:color w:val="auto"/>
        </w:rPr>
      </w:pPr>
      <w:r>
        <w:rPr>
          <w:rFonts w:ascii="Times New Roman" w:cs="Times New Roman" w:eastAsia="Times New Roman" w:hAnsi="Times New Roman"/>
          <w:sz w:val="18"/>
          <w:szCs w:val="18"/>
          <w:color w:val="auto"/>
        </w:rPr>
        <w:t>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ten</w:t>
      </w:r>
    </w:p>
    <w:p>
      <w:pPr>
        <w:jc w:val="both"/>
        <w:ind w:firstLine="8"/>
        <w:spacing w:after="0" w:line="253" w:lineRule="auto"/>
        <w:tabs>
          <w:tab w:leader="none" w:pos="3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notice to Landlord, but without Landlord's prior consent, to the extent that such Alterations (i) do not affect the building systems or equipment, (ii) are not visible from the exterior of the Building, and (iii) (A) are decorative only (i.e., installation of carpeting or painting of the Premises) or (B) cost less than $50,000.00 for a particular job of work. The construction of the initial improvements to the Premises shall be governed by the terms of the Tenant Work Letter and not the terms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u w:val="single" w:color="auto"/>
          <w:color w:val="auto"/>
        </w:rPr>
        <w:t>Manner of Construction</w:t>
      </w:r>
      <w:r>
        <w:rPr>
          <w:rFonts w:ascii="Times New Roman" w:cs="Times New Roman" w:eastAsia="Times New Roman" w:hAnsi="Times New Roman"/>
          <w:sz w:val="18"/>
          <w:szCs w:val="18"/>
          <w:color w:val="auto"/>
        </w:rPr>
        <w:t xml:space="preserve">. Landlord may impose, as a condition of its consent to any and all Alterations or repairs of the Premises or about the Premises, such requirements as Landlord in its reasonable discretion may deem desirable, including, but not limited to, the requirement that upon Landlord's request,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Upon completion of any Alterations (or repairs), Tenant shall deliver to Landlord final lien waivers from all contractors, subcontractors and materialmen who performed such work. In addition to Tenant's obligations under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Lease, upon completion of any Alterations, Tenant agrees to cause a Notice of Completion to be recorded in the office of the Recorder of the County of [[</w:t>
      </w:r>
      <w:r>
        <w:rPr>
          <w:rFonts w:ascii="Times New Roman" w:cs="Times New Roman" w:eastAsia="Times New Roman" w:hAnsi="Times New Roman"/>
          <w:sz w:val="18"/>
          <w:szCs w:val="18"/>
          <w:b w:val="1"/>
          <w:bCs w:val="1"/>
          <w:color w:val="auto"/>
        </w:rPr>
        <w:t>CONFIRM</w:t>
      </w:r>
      <w:r>
        <w:rPr>
          <w:rFonts w:ascii="Times New Roman" w:cs="Times New Roman" w:eastAsia="Times New Roman" w:hAnsi="Times New Roman"/>
          <w:sz w:val="18"/>
          <w:szCs w:val="18"/>
          <w:color w:val="auto"/>
        </w:rPr>
        <w:t xml:space="preserve">: Los Angeles]] in accordance with Section 3093 of the Civil Code of the State of California or any successor statute, and Tenant shall deliver to the Project construction manager a reproducible copy of the " XE "as built" </w:t>
      </w:r>
      <w:r>
        <w:rPr>
          <w:rFonts w:ascii="Times New Roman" w:cs="Times New Roman" w:eastAsia="Times New Roman" w:hAnsi="Times New Roman"/>
          <w:sz w:val="18"/>
          <w:szCs w:val="18"/>
          <w:b w:val="1"/>
          <w:bCs w:val="1"/>
          <w:color w:val="auto"/>
        </w:rPr>
        <w:t>as built</w:t>
      </w:r>
      <w:r>
        <w:rPr>
          <w:rFonts w:ascii="Times New Roman" w:cs="Times New Roman" w:eastAsia="Times New Roman" w:hAnsi="Times New Roman"/>
          <w:sz w:val="18"/>
          <w:szCs w:val="18"/>
          <w:color w:val="auto"/>
        </w:rPr>
        <w:t>" drawings of the Alterations as well as all permits, approvals and other documents issued by any governmental agency in connection with the Alterations.</w:t>
      </w:r>
    </w:p>
    <w:p>
      <w:pPr>
        <w:spacing w:after="0" w:line="187"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u w:val="single" w:color="auto"/>
          <w:color w:val="auto"/>
        </w:rPr>
        <w:t>Payment for Improvements</w:t>
      </w:r>
      <w:r>
        <w:rPr>
          <w:rFonts w:ascii="Times New Roman" w:cs="Times New Roman" w:eastAsia="Times New Roman" w:hAnsi="Times New Roman"/>
          <w:sz w:val="18"/>
          <w:szCs w:val="18"/>
          <w:color w:val="auto"/>
        </w:rPr>
        <w:t>. With respect to payments to be made to Tenant's contractors for any Alterations, Tenant shall (i) comply with Landlord's reasonable requirements for final lien releases and waivers in connection with Tenant's payment for work to contractors, and (ii) cause Tenant's contractor to sign Landlord's standard contractor's rules and regulations. If Tenant orders any work directly from Landlord, in connection with all Alterations, Tenant shall pay Landlord an oversight fee equal to three percent (3%) of the hard costs of such work to compensate Landlord for all overhead, general conditions, fees, and other costs and expenses arising from Landlord's involvement in such work. In any event, Tenant shall reimburse Landlord for Landlord's reasonable, actual, out-of-pocket costs and expenses actually incurred in connection with such work.</w:t>
      </w:r>
    </w:p>
    <w:p>
      <w:pPr>
        <w:spacing w:after="0" w:line="18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u w:val="single" w:color="auto"/>
          <w:color w:val="auto"/>
        </w:rPr>
        <w:t>Construction Insurance</w:t>
      </w:r>
      <w:r>
        <w:rPr>
          <w:rFonts w:ascii="Times New Roman" w:cs="Times New Roman" w:eastAsia="Times New Roman" w:hAnsi="Times New Roman"/>
          <w:sz w:val="18"/>
          <w:szCs w:val="18"/>
          <w:color w:val="auto"/>
        </w:rPr>
        <w:t xml:space="preserve">. In addition to the requirements of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in the event that Tenant makes any Alterations, prior to the commencement of such Alterations, Tenant shall provide Landlord with evidence that Tenant carries " XE "Builder's All Risk" </w:t>
      </w:r>
      <w:r>
        <w:rPr>
          <w:rFonts w:ascii="Times New Roman" w:cs="Times New Roman" w:eastAsia="Times New Roman" w:hAnsi="Times New Roman"/>
          <w:sz w:val="18"/>
          <w:szCs w:val="18"/>
          <w:b w:val="1"/>
          <w:bCs w:val="1"/>
          <w:color w:val="auto"/>
        </w:rPr>
        <w:t>Builder's All Risk</w:t>
      </w:r>
      <w:r>
        <w:rPr>
          <w:rFonts w:ascii="Times New Roman" w:cs="Times New Roman" w:eastAsia="Times New Roman" w:hAnsi="Times New Roman"/>
          <w:sz w:val="18"/>
          <w:szCs w:val="18"/>
          <w:color w:val="auto"/>
        </w:rPr>
        <w:t xml:space="preserve">" insurance in an amount reasonably approved by Landlord covering the construction of such Alterations, and such other insurance as Landlord may reasonably require, it being understood and agreed that all of such Alterations shall be insured by Tenant pursuant to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immediately upon completion thereof. In addition, Tenant's contractors and subcontractors shall be required to carry (i) Commercial General Liability Insurance in an amount reasonably approved by Landlord,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6" w:name="page147"/>
    <w:bookmarkEnd w:id="146"/>
    <w:p>
      <w:pPr>
        <w:jc w:val="both"/>
        <w:spacing w:after="0" w:line="258" w:lineRule="auto"/>
        <w:rPr>
          <w:sz w:val="20"/>
          <w:szCs w:val="20"/>
          <w:color w:val="auto"/>
        </w:rPr>
      </w:pPr>
      <w:r>
        <w:rPr>
          <w:rFonts w:ascii="Times New Roman" w:cs="Times New Roman" w:eastAsia="Times New Roman" w:hAnsi="Times New Roman"/>
          <w:sz w:val="18"/>
          <w:szCs w:val="18"/>
          <w:color w:val="auto"/>
        </w:rPr>
        <w:t>with Landlord, and, at Landlord's option, Landlord's property manager and project manager, as additional insureds in an amount reasonably approved by Landlord, and otherwise in accordance with the requirements of Article 10 of this Lease, and (ii) workers compensation insurance with a waiver of subrogation in favor of Landlord . Landlord may, in its discretion, require Tenant to obtain a lien and completion bond or some alternate form of security satisfactory to Landlord in an amount sufficient to ensure the lien-free completion of such Alterations and naming Landlord as a co-obligee, but only if the aggregate cost of such work is expected to exceed $100,000.</w:t>
      </w:r>
    </w:p>
    <w:p>
      <w:pPr>
        <w:spacing w:after="0" w:line="17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u w:val="single" w:color="auto"/>
          <w:color w:val="auto"/>
        </w:rPr>
        <w:t>Landlord's Property</w:t>
      </w:r>
      <w:r>
        <w:rPr>
          <w:rFonts w:ascii="Times New Roman" w:cs="Times New Roman" w:eastAsia="Times New Roman" w:hAnsi="Times New Roman"/>
          <w:sz w:val="18"/>
          <w:szCs w:val="18"/>
          <w:color w:val="auto"/>
        </w:rPr>
        <w:t>. All Alterations, improvements, fixtures (other than trade fixtures), and/or appurtenances which may be installed or placed in or about the Premises, from time to time, shall be at the sole cost of Tenant and shall be and become the property of Landlord and remain in place at the Premises following the expiration or earlier termination of this Lease, except that Tenant may remove any Alterations, improvements, and fixtures that are not permanently affixed to the Premises. Notwithstanding the foregoing, Landlord may, by written notice to Tenant given at the time of Landlord's consent (if any) to particular Alterations, require Tenant, at Tenant's expense, to remove any Alterations and/or improvements and/or systems and equipment within the Premises and to repair any damage to the Premises and Building caused by such removal and return the affected portion of the Premises to a building standard tenant improved condition as determined by Landlord. If Tenant fails to complete such removal and/or to repair any damage caused by the removal of any Alterations and/or improvements and/or systems and equipment in the Premises and return the affected portion of the Premises to a building standard tenant improved condition as reasonably determined by Landlord, Landlord may do so and may charge the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w:t>
      </w:r>
    </w:p>
    <w:p>
      <w:pPr>
        <w:spacing w:after="0" w:line="194" w:lineRule="exact"/>
        <w:rPr>
          <w:sz w:val="20"/>
          <w:szCs w:val="20"/>
          <w:color w:val="auto"/>
        </w:rPr>
      </w:pPr>
    </w:p>
    <w:p>
      <w:pPr>
        <w:jc w:val="both"/>
        <w:ind w:firstLine="8"/>
        <w:spacing w:after="0" w:line="254" w:lineRule="auto"/>
        <w:tabs>
          <w:tab w:leader="none" w:pos="3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COVENANT AGAINST LIENS. 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twenty (20) days prior to the commencement of any such work on the Premises (or such additional time as may be necessary under Applicable Laws) to afford Landlord the opportunity of posting and recording appropriate notices of non-responsibility (to the extent applicable pursuant to then Applicable Laws). Tenant shall remove any such lien or encumbrance by bond or otherwise within ten (10) business days after notice by Landlord, and if Tenant shall fail to do so, Landlord may pay the amount necessary to remove such lien or encumbrance, without being responsible for investigating the validity thereof.</w:t>
      </w:r>
    </w:p>
    <w:p>
      <w:pPr>
        <w:spacing w:after="0" w:line="19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INSURANCE.</w:t>
      </w:r>
    </w:p>
    <w:p>
      <w:pPr>
        <w:spacing w:after="0" w:line="22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u w:val="single" w:color="auto"/>
          <w:color w:val="auto"/>
        </w:rPr>
        <w:t>Indemnification and Waiver</w:t>
      </w:r>
      <w:r>
        <w:rPr>
          <w:rFonts w:ascii="Times New Roman" w:cs="Times New Roman" w:eastAsia="Times New Roman" w:hAnsi="Times New Roman"/>
          <w:sz w:val="18"/>
          <w:szCs w:val="18"/>
          <w:color w:val="auto"/>
        </w:rPr>
        <w:t xml:space="preserve">. Except to the extent arising from the negligence or willful misconduct of Landlord, Tenant hereby assumes all risk of damage to property or injury to persons in, upon or about the Premises from any cause whatsoever and agrees that Landlord, its partners, subpartners and their respective officers, agents, servants, employees, lenders, any property manager and independent contractors (collectively, " XE "Landlord Parties" </w:t>
      </w:r>
      <w:r>
        <w:rPr>
          <w:rFonts w:ascii="Times New Roman" w:cs="Times New Roman" w:eastAsia="Times New Roman" w:hAnsi="Times New Roman"/>
          <w:sz w:val="18"/>
          <w:szCs w:val="18"/>
          <w:b w:val="1"/>
          <w:bCs w:val="1"/>
          <w:color w:val="auto"/>
        </w:rPr>
        <w:t>Landlord Parties</w:t>
      </w:r>
      <w:r>
        <w:rPr>
          <w:rFonts w:ascii="Times New Roman" w:cs="Times New Roman" w:eastAsia="Times New Roman" w:hAnsi="Times New Roman"/>
          <w:sz w:val="18"/>
          <w:szCs w:val="18"/>
          <w:color w:val="auto"/>
        </w:rPr>
        <w:t>") shall not be liable for, and are hereby released from any responsibility for, any damage either to person or property or resulting from the loss of use thereof, which damage is sustained by Tenant or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7" w:name="page148"/>
    <w:bookmarkEnd w:id="14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by other persons claiming through Tenant. Except to the extent arising from the negligence or willful misconduct of Landlord, Tenant shall indemnify, defend, protect, and hold harmless the Landlord Parties from any and all claims, loss, cost, damage, injury, expense and liability (including without limitation court costs and reasonable attorneys' fees) incurred in connection with or arising from any cause in, on or about the Premises, any acts, omissions or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 Term, provided that the terms of the foregoing indemnity shall not apply if and from the time that a final adjudication has resulted in a finding of willful misconduct of Landlord.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reasonable appraisers', accountants' and attorneys' fees.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survive the expiration or sooner termination of this Lease with respect to any claims or liability arising in connection with any event occurring prior to such expiration or termination.</w:t>
      </w:r>
    </w:p>
    <w:p>
      <w:pPr>
        <w:spacing w:after="0" w:line="19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u w:val="single" w:color="auto"/>
          <w:color w:val="auto"/>
        </w:rPr>
        <w:t>Tenant's Compliance With Landlord's Property Insurance</w:t>
      </w:r>
      <w:r>
        <w:rPr>
          <w:rFonts w:ascii="Times New Roman" w:cs="Times New Roman" w:eastAsia="Times New Roman" w:hAnsi="Times New Roman"/>
          <w:sz w:val="18"/>
          <w:szCs w:val="18"/>
          <w:color w:val="auto"/>
        </w:rPr>
        <w:t>. Landlord shall insure the Building during the Lease Term against loss or damage under an "all risk" property insurance policy. Such coverage shall be in such amounts, from such companies, and on such other terms and conditions, as Landlord may from time to time reasonably determine.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Tenant shall, at Tenant's expense, comply with all insurance company requirements pertaining to the use of the Premises, provided that such requirements do not prevent Tenant's use of the Premises for the Permitted Use. If Tenant's conduct or use of the Premises (other than the Permitted Use)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Tenant shall also provide Landlord and Landlord’s insurer(s) with such information regarding the use of the Premises and any damage to the Premises as they may require in connection with the placement of insurance for the Premises or the adjusting of any losses to the Premises.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u w:val="single" w:color="auto"/>
          <w:color w:val="auto"/>
        </w:rPr>
        <w:t>Tenant's Insurance</w:t>
      </w:r>
      <w:r>
        <w:rPr>
          <w:rFonts w:ascii="Times New Roman" w:cs="Times New Roman" w:eastAsia="Times New Roman" w:hAnsi="Times New Roman"/>
          <w:sz w:val="18"/>
          <w:szCs w:val="18"/>
          <w:color w:val="auto"/>
        </w:rPr>
        <w:t>. Tenant shall maintain the following coverages in the following amounts.</w:t>
      </w:r>
    </w:p>
    <w:p>
      <w:pPr>
        <w:spacing w:after="0" w:line="229"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10.3.1 Commercial General Liability Insurance on an occurrence form covering the insured against claims of bodily injury, personal injury and property damage (including loss of use thereof) arising out of Tenant's operations, and contractual liabilities including a contractual coverage, and including products and completed operations coverage, for limits of liability on a per location basis of not less than: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Bodily Injury and</w:t>
            </w:r>
          </w:p>
        </w:tc>
        <w:tc>
          <w:tcPr>
            <w:tcW w:w="6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$5,000,000 each occurrence</w:t>
            </w:r>
          </w:p>
        </w:tc>
      </w:tr>
      <w:tr>
        <w:trPr>
          <w:trHeight w:val="234"/>
        </w:trPr>
        <w:tc>
          <w:tcPr>
            <w:tcW w:w="5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Property Damage Liability</w:t>
            </w:r>
          </w:p>
        </w:tc>
        <w:tc>
          <w:tcPr>
            <w:tcW w:w="6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$5,000,000 annual aggregate</w:t>
            </w:r>
          </w:p>
        </w:tc>
      </w:tr>
      <w:tr>
        <w:trPr>
          <w:trHeight w:val="360"/>
        </w:trPr>
        <w:tc>
          <w:tcPr>
            <w:tcW w:w="5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6060" w:type="dxa"/>
            <w:vAlign w:val="bottom"/>
          </w:tcPr>
          <w:p>
            <w:pPr>
              <w:spacing w:after="0"/>
              <w:rPr>
                <w:sz w:val="24"/>
                <w:szCs w:val="24"/>
                <w:color w:val="auto"/>
              </w:rPr>
            </w:pPr>
          </w:p>
        </w:tc>
      </w:tr>
      <w:tr>
        <w:trPr>
          <w:trHeight w:val="135"/>
        </w:trPr>
        <w:tc>
          <w:tcPr>
            <w:tcW w:w="51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6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51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6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6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518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8" w:name="page149"/>
    <w:bookmarkEnd w:id="148"/>
    <w:p>
      <w:pPr>
        <w:ind w:left="720"/>
        <w:spacing w:after="0"/>
        <w:rPr>
          <w:sz w:val="20"/>
          <w:szCs w:val="20"/>
          <w:color w:val="auto"/>
        </w:rPr>
      </w:pPr>
      <w:r>
        <w:rPr>
          <w:rFonts w:ascii="Times New Roman" w:cs="Times New Roman" w:eastAsia="Times New Roman" w:hAnsi="Times New Roman"/>
          <w:sz w:val="17"/>
          <w:szCs w:val="17"/>
          <w:color w:val="auto"/>
        </w:rPr>
        <w:t>Personal Injury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$3,000,000 each occurrence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$3,000,000 annual aggregate</w:t>
      </w:r>
    </w:p>
    <w:p>
      <w:pPr>
        <w:spacing w:after="0" w:line="200" w:lineRule="exact"/>
        <w:rPr>
          <w:sz w:val="20"/>
          <w:szCs w:val="20"/>
          <w:color w:val="auto"/>
        </w:rPr>
      </w:pPr>
    </w:p>
    <w:p>
      <w:pPr>
        <w:sectPr>
          <w:pgSz w:w="11900" w:h="16838" w:orient="portrait"/>
          <w:cols w:equalWidth="0" w:num="2">
            <w:col w:w="5160" w:space="720"/>
            <w:col w:w="5360"/>
          </w:cols>
          <w:pgMar w:left="320" w:top="567" w:right="339" w:bottom="1440" w:gutter="0" w:footer="0" w:header="0"/>
        </w:sectPr>
      </w:pPr>
    </w:p>
    <w:p>
      <w:pPr>
        <w:spacing w:after="0" w:line="248"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18"/>
          <w:szCs w:val="18"/>
          <w:color w:val="auto"/>
        </w:rPr>
        <w:t>10.3.2 Property Insurance covering (i) all office furniture, business and trade fixtures, office equipment, free-standing cabinet work, movable partitions, merchandise and all other items of Tenant's property on the Premises installed by, for, or at the expense of Tenant, (ii) the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Improvements </w:t>
      </w:r>
      <w:r>
        <w:rPr>
          <w:rFonts w:ascii="Times New Roman" w:cs="Times New Roman" w:eastAsia="Times New Roman" w:hAnsi="Times New Roman"/>
          <w:sz w:val="18"/>
          <w:szCs w:val="18"/>
          <w:color w:val="auto"/>
        </w:rPr>
        <w:t>XE "Tenant Improvements" ," as that term is defined in the Tenant Work Letter, and any other improvements which exist in the Premises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Lease Commencement Date (excluding the Base Building) (the " XE "Original Improvements" </w:t>
      </w:r>
      <w:r>
        <w:rPr>
          <w:rFonts w:ascii="Times New Roman" w:cs="Times New Roman" w:eastAsia="Times New Roman" w:hAnsi="Times New Roman"/>
          <w:sz w:val="18"/>
          <w:szCs w:val="18"/>
          <w:b w:val="1"/>
          <w:bCs w:val="1"/>
          <w:color w:val="auto"/>
        </w:rPr>
        <w:t>Original Improvements</w:t>
      </w:r>
      <w:r>
        <w:rPr>
          <w:rFonts w:ascii="Times New Roman" w:cs="Times New Roman" w:eastAsia="Times New Roman" w:hAnsi="Times New Roman"/>
          <w:sz w:val="18"/>
          <w:szCs w:val="18"/>
          <w:color w:val="auto"/>
        </w:rPr>
        <w:t xml:space="preserve">"), and (iii) all other improvements, alterations and additions to the Premises. Such insurance shall be written on an " XE "all risks" </w:t>
      </w:r>
      <w:r>
        <w:rPr>
          <w:rFonts w:ascii="Times New Roman" w:cs="Times New Roman" w:eastAsia="Times New Roman" w:hAnsi="Times New Roman"/>
          <w:sz w:val="18"/>
          <w:szCs w:val="18"/>
          <w:b w:val="1"/>
          <w:bCs w:val="1"/>
          <w:color w:val="auto"/>
        </w:rPr>
        <w:t>all risks</w:t>
      </w:r>
      <w:r>
        <w:rPr>
          <w:rFonts w:ascii="Times New Roman" w:cs="Times New Roman" w:eastAsia="Times New Roman" w:hAnsi="Times New Roman"/>
          <w:sz w:val="18"/>
          <w:szCs w:val="18"/>
          <w:color w:val="auto"/>
        </w:rPr>
        <w:t>" 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of any type, including sprinkler leakage, bursting or stoppage of pipes, and explosion.</w:t>
      </w:r>
    </w:p>
    <w:p>
      <w:pPr>
        <w:spacing w:after="0" w:line="188"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18"/>
          <w:szCs w:val="18"/>
          <w:color w:val="auto"/>
        </w:rPr>
        <w:t xml:space="preserve">10.3.3 Business Income Interruption for one (1) year plus Extra Expense insurance in such amounts as will reimburse Tenant for actual direct or indirect loss of earnings attributable to the risks outlined in </w:t>
      </w:r>
      <w:r>
        <w:rPr>
          <w:rFonts w:ascii="Times New Roman" w:cs="Times New Roman" w:eastAsia="Times New Roman" w:hAnsi="Times New Roman"/>
          <w:sz w:val="18"/>
          <w:szCs w:val="18"/>
          <w:u w:val="single" w:color="auto"/>
          <w:color w:val="auto"/>
        </w:rPr>
        <w:t>Section 10.3.2</w:t>
      </w:r>
      <w:r>
        <w:rPr>
          <w:rFonts w:ascii="Times New Roman" w:cs="Times New Roman" w:eastAsia="Times New Roman" w:hAnsi="Times New Roman"/>
          <w:sz w:val="18"/>
          <w:szCs w:val="18"/>
          <w:color w:val="auto"/>
        </w:rPr>
        <w:t xml:space="preserve"> above.</w:t>
      </w:r>
    </w:p>
    <w:p>
      <w:pPr>
        <w:spacing w:after="0" w:line="162"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10.3.4 Worker's Compensation and Employer's Liability or other similar insurance pursuant to all applicable state and local statutes and regulations. The policy shall include a waiver of subrogation in favor of Landlord, its employees, Lenders and any property manager or partners.</w:t>
      </w:r>
    </w:p>
    <w:p>
      <w:pPr>
        <w:spacing w:after="0" w:line="15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u w:val="single" w:color="auto"/>
          <w:color w:val="auto"/>
        </w:rPr>
        <w:t>Form of Policies</w:t>
      </w:r>
      <w:r>
        <w:rPr>
          <w:rFonts w:ascii="Times New Roman" w:cs="Times New Roman" w:eastAsia="Times New Roman" w:hAnsi="Times New Roman"/>
          <w:sz w:val="18"/>
          <w:szCs w:val="18"/>
          <w:color w:val="auto"/>
        </w:rPr>
        <w:t>. The minimum limits of policies of insurance required of Tenant under this Lease shall in no event limit the liability of Tenant under this Lease. Such insurance shall (i) name Landlord, its subsidiaries and affiliates, its property manager (if any) and any other party the Landlord so specifies, as an additional insured or loss payee, as applicable, including Landlord's managing agent, if any; (ii) be issued by an insurance company having a rating of not less than A-VII or better in Best's Insurance Guide or which is otherwise acceptable to Landlord and licensed to do business in the State of California; (iv) be primary insurance as to all claims thereunder and provide that any insurance carried by Landlord is excess and is non-contributing with any insurance required of Tenant; (v) be in form and content reasonably acceptable to Landlord; and (vi) provide that said insurance shall not be canceled or coverage changed unless thirty (30) days' prior written notice shall have been given to Landlord and any mortgagee of Landlord (unless such cancellation is the result of non-payment of premiums). Tenant shall deliver certificates thereof to Landlord on or before the Lease Commencement Date and at least ten (10) days before the expiration dates thereof. In the event Tenant shall fail to procure such insurance, or to deliver such policies or certificate, Landlord may, at its option, procure such policies for the account of Tenant, and the cost thereof shall be paid to Landlord within five (5) days after delivery to Tenant of bills therefor.</w:t>
      </w:r>
    </w:p>
    <w:p>
      <w:pPr>
        <w:spacing w:after="0" w:line="18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u w:val="single" w:color="auto"/>
          <w:color w:val="auto"/>
        </w:rPr>
        <w:t>Subrogation</w:t>
      </w:r>
      <w:r>
        <w:rPr>
          <w:rFonts w:ascii="Times New Roman" w:cs="Times New Roman" w:eastAsia="Times New Roman" w:hAnsi="Times New Roman"/>
          <w:sz w:val="18"/>
          <w:szCs w:val="18"/>
          <w:color w:val="auto"/>
        </w:rPr>
        <w:t>. Landlord and Tenant hereby agree to look solely to, and seek recovery only from, their respective insurance carriers in the event of a property or business interruption loss to the extent that such coverage is agreed to be provided hereunder. The parties each hereby waive all rights and claims against each other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type w:val="continuous"/>
        </w:sectPr>
      </w:pPr>
    </w:p>
    <w:bookmarkStart w:id="149" w:name="page150"/>
    <w:bookmarkEnd w:id="1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such losses, and waive all rights of subrogation of their respective insurers, provided such waiver of subrogation shall not affect the right to the insured to recover thereunder. The parties agree that their respective insurance policies do now, or shall, contain the waiver of subrogation.</w:t>
      </w:r>
    </w:p>
    <w:p>
      <w:pPr>
        <w:spacing w:after="0" w:line="15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u w:val="single" w:color="auto"/>
          <w:color w:val="auto"/>
        </w:rPr>
        <w:t>Additional Insurance Obligations</w:t>
      </w:r>
      <w:r>
        <w:rPr>
          <w:rFonts w:ascii="Times New Roman" w:cs="Times New Roman" w:eastAsia="Times New Roman" w:hAnsi="Times New Roman"/>
          <w:sz w:val="18"/>
          <w:szCs w:val="18"/>
          <w:color w:val="auto"/>
        </w:rPr>
        <w:t xml:space="preserve">. Tenant shall carry and maintain during the entire Lease Term, at Tenant's sole cost and expense, increased amounts of the insurance required to be carried by Tenant pursuant to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and such other reasonable types of insurance coverage and in such reasonable amounts covering the Premises and Tenant's operations therein, as may be reasonably requested by Landlord or Landlord's lender, but in no event in excess of the amounts and types of insurance then being required by landlords of buildings comparable to and in the vicinity of the Building.</w:t>
      </w:r>
    </w:p>
    <w:p>
      <w:pPr>
        <w:spacing w:after="0" w:line="180"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DAMAGE AND DESTRUCTION.</w:t>
      </w:r>
    </w:p>
    <w:p>
      <w:pPr>
        <w:spacing w:after="0" w:line="22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u w:val="single" w:color="auto"/>
          <w:color w:val="auto"/>
        </w:rPr>
        <w:t>Repair of Damage</w:t>
      </w:r>
      <w:r>
        <w:rPr>
          <w:rFonts w:ascii="Times New Roman" w:cs="Times New Roman" w:eastAsia="Times New Roman" w:hAnsi="Times New Roman"/>
          <w:sz w:val="18"/>
          <w:szCs w:val="18"/>
          <w:color w:val="auto"/>
        </w:rPr>
        <w:t xml:space="preserve">. Tenant shall promptly notify Landlord of any damage to the Premises resulting from fire or any other casualty (" XE "Casualty" </w:t>
      </w:r>
      <w:r>
        <w:rPr>
          <w:rFonts w:ascii="Times New Roman" w:cs="Times New Roman" w:eastAsia="Times New Roman" w:hAnsi="Times New Roman"/>
          <w:sz w:val="18"/>
          <w:szCs w:val="18"/>
          <w:b w:val="1"/>
          <w:bCs w:val="1"/>
          <w:color w:val="auto"/>
        </w:rPr>
        <w:t>Casualty</w:t>
      </w:r>
      <w:r>
        <w:rPr>
          <w:rFonts w:ascii="Times New Roman" w:cs="Times New Roman" w:eastAsia="Times New Roman" w:hAnsi="Times New Roman"/>
          <w:sz w:val="18"/>
          <w:szCs w:val="18"/>
          <w:color w:val="auto"/>
        </w:rPr>
        <w:t xml:space="preserve">").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restore the Base Building and such Common Areas. Such restoration shall be to substantially the same condition of the Base Building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shall not be materially impaired. Subject to the terms of Section 11.2, below, Tenant shall, at its sole cost and expense, repair any injury or damage to the Tenant Improvements and the Original Improvements installed in the Premises and shall return such Tenant Improvements and Original Improvements to their original condition. Whether or not Landlord delivers a “Landlord Repair Notice,” as that term is defined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below, prior to the commencement of construction, Tenant shall submit to Landlord, for Landlord's review and approval, all plans, specifications and working drawings relating thereto, and Landlord shall select the contractors to perform such improvement work. Tenant shall in addition cooperate with requests for information regarding any repairs from Landlord’s insurer(s) by providing the requested information within ten (10) days after Tenant receives the request. Landlord shall not be liable for any inconvenience or annoyance to Tenant or its visitors, or injury to Tenant's business resulting in any way from such damage or the repair thereof; provided however, that if such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(hereinafter defined), Tenant's right to rent abatement pursuant to the preceding sentence shall terminate as of the date which is reasonably determined by Landlord to be the date Tenant should have completed repairs to the Premises assuming Tenant used reasonable due diligence in connection therewith. Notwithstanding any contrary provision of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the parties hereby agree as follows: (i) the closure of the Project, the Building, the Common Areas, or any part thereof to protect public health shall not constitute a Casualty for purposes of this Lease, (ii) Casualty covered by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shall require that the physical or structural integrity of the Premises, the Project, the Building, or the Common Areas is degraded as a direct result of such occurrence, and (iii) a Casualty under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shall not be deemed to occur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merely because Tenant is unable to productively use the Premises in the event that the physical and structural integrity of the Premises is undamaged.</w:t>
      </w:r>
    </w:p>
    <w:p>
      <w:pPr>
        <w:spacing w:after="0" w:line="22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u w:val="single" w:color="auto"/>
          <w:color w:val="auto"/>
        </w:rPr>
        <w:t>Landlord's Option to Repair</w:t>
      </w:r>
      <w:r>
        <w:rPr>
          <w:rFonts w:ascii="Times New Roman" w:cs="Times New Roman" w:eastAsia="Times New Roman" w:hAnsi="Times New Roman"/>
          <w:sz w:val="18"/>
          <w:szCs w:val="18"/>
          <w:color w:val="auto"/>
        </w:rPr>
        <w:t xml:space="preserve">. Upon the occurrence of any damage to the Premises, Landlord may, at Landlord's option, deliver a notice (the " XE "Landlord Repair Notice" </w:t>
      </w:r>
      <w:r>
        <w:rPr>
          <w:rFonts w:ascii="Times New Roman" w:cs="Times New Roman" w:eastAsia="Times New Roman" w:hAnsi="Times New Roman"/>
          <w:sz w:val="18"/>
          <w:szCs w:val="18"/>
          <w:b w:val="1"/>
          <w:bCs w:val="1"/>
          <w:color w:val="auto"/>
        </w:rPr>
        <w:t>Landlord Repair Notice</w:t>
      </w:r>
      <w:r>
        <w:rPr>
          <w:rFonts w:ascii="Times New Roman" w:cs="Times New Roman" w:eastAsia="Times New Roman" w:hAnsi="Times New Roman"/>
          <w:sz w:val="18"/>
          <w:szCs w:val="18"/>
          <w:color w:val="auto"/>
        </w:rPr>
        <w:t xml:space="preserve">") to Tenant, and upon receipt of a Landlord Repair Notice Tenant shall assign to Landlord (or to any party designated by Landlord) all insurance proceeds payable to Tenant under Tenant's insurance required under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this Lease, and Landlord shall repair any injury or damage to the Tenant Improvements and the Original Improvements installed in the Premises and shall return such Tenant Improvements and Original Improvements to their original condition; provided that if the cost of such repair by Landlord exceeds the amount of insurance proceeds received by Landlord from Tenant's insurance carrier (including by taking into account any deductible or self-insured retention), as assigned by Tenant, the cost of such repairs shall be paid by Tenant to Landlord prior to Landlord's commencement of repair of the damage. Notwithstanding the terms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or Project shall be damaged by Casualty or cause, whether or not the Premises are affected, and one or more of the following conditions is present: (i) in Landlord's reasonable judgment, repairs cannot reasonably be completed within one hundred eighty (180)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the damage is not fully covered by Landlord's insurance policies; (iv) Landlord decides to rebuild the Building or Common Areas so that they will be substantially different structurally or architecturally; (v) the damage occurs during the last twelve (12) months of the Lease Term; or (vi)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one (1) year after being commenced,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Notwithstanding the provisions of this Section 11.2, Tenant shall have the right to terminate this Lease under this Section 11.2 only if each of the following conditions is satisfied: (a)Tenant is not then in default under this Lease; and (b) as a result of the damage, Tenant cannot reasonably conduct business from the Premises.</w:t>
      </w:r>
    </w:p>
    <w:p>
      <w:pPr>
        <w:spacing w:after="0" w:line="18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u w:val="single" w:color="auto"/>
          <w:color w:val="auto"/>
        </w:rPr>
        <w:t>Waiver of Statutory Provisions</w:t>
      </w:r>
      <w:r>
        <w:rPr>
          <w:rFonts w:ascii="Times New Roman" w:cs="Times New Roman" w:eastAsia="Times New Roman" w:hAnsi="Times New Roman"/>
          <w:sz w:val="18"/>
          <w:szCs w:val="18"/>
          <w:color w:val="auto"/>
        </w:rPr>
        <w:t xml:space="preserve">. The provisions of this Lease, including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1" w:name="page152"/>
    <w:bookmarkEnd w:id="151"/>
    <w:p>
      <w:pPr>
        <w:jc w:val="both"/>
        <w:ind w:firstLine="8"/>
        <w:spacing w:after="0" w:line="253" w:lineRule="auto"/>
        <w:tabs>
          <w:tab w:leader="none" w:pos="3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NONWAIVER. 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89"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3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CONDEMNATION. If the whole or any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Article 13,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 Notwithstanding any contrary provision of this Lease, the following governmental actions shall not constitute a taking or condemnation, either permanent or temporary: (i) an action that requires Tenant's business or the Building or Project to close during the Lease Term, and (ii) an action taken for the purpose of protecting public safety (e.g., to protect against acts of war, the spread of communicable diseases, or an infestation), and no such governmental actions shall entitle Tenant to any compensation from Landlord or any authority, or Rent abatement or any other remedy under this Lease.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2" w:name="page153"/>
    <w:bookmarkEnd w:id="152"/>
    <w:p>
      <w:pPr>
        <w:ind w:left="360" w:hanging="352"/>
        <w:spacing w:after="0"/>
        <w:tabs>
          <w:tab w:leader="none" w:pos="3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ASSIGNMENT AND SUBLETTING.</w:t>
      </w:r>
    </w:p>
    <w:p>
      <w:pPr>
        <w:spacing w:after="0" w:line="22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u w:val="single" w:color="auto"/>
          <w:color w:val="auto"/>
        </w:rPr>
        <w:t>Transfers</w:t>
      </w:r>
      <w:r>
        <w:rPr>
          <w:rFonts w:ascii="Times New Roman" w:cs="Times New Roman" w:eastAsia="Times New Roman" w:hAnsi="Times New Roman"/>
          <w:sz w:val="18"/>
          <w:szCs w:val="18"/>
          <w:color w:val="auto"/>
        </w:rPr>
        <w:t xml:space="preserve">. Except in connection with Permitted Transfers (hereinafter defined).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 XE "Transfers" </w:t>
      </w:r>
      <w:r>
        <w:rPr>
          <w:rFonts w:ascii="Times New Roman" w:cs="Times New Roman" w:eastAsia="Times New Roman" w:hAnsi="Times New Roman"/>
          <w:sz w:val="18"/>
          <w:szCs w:val="18"/>
          <w:b w:val="1"/>
          <w:bCs w:val="1"/>
          <w:color w:val="auto"/>
        </w:rPr>
        <w:t>Transfers</w:t>
      </w:r>
      <w:r>
        <w:rPr>
          <w:rFonts w:ascii="Times New Roman" w:cs="Times New Roman" w:eastAsia="Times New Roman" w:hAnsi="Times New Roman"/>
          <w:sz w:val="18"/>
          <w:szCs w:val="18"/>
          <w:color w:val="auto"/>
        </w:rPr>
        <w:t xml:space="preserve">" and any person to whom any Transfer is made or sought to be made is hereinafter sometimes referred to as a " XE "Transferee" </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xml:space="preserve">"). If Tenant desires Landlord's consent to any Transfer, Tenant shall notify Landlord in writing, which notice (the " XE "Transfer Notice" </w:t>
      </w:r>
      <w:r>
        <w:rPr>
          <w:rFonts w:ascii="Times New Roman" w:cs="Times New Roman" w:eastAsia="Times New Roman" w:hAnsi="Times New Roman"/>
          <w:sz w:val="18"/>
          <w:szCs w:val="18"/>
          <w:b w:val="1"/>
          <w:bCs w:val="1"/>
          <w:color w:val="auto"/>
        </w:rPr>
        <w:t>Transfer Notice</w:t>
      </w:r>
      <w:r>
        <w:rPr>
          <w:rFonts w:ascii="Times New Roman" w:cs="Times New Roman" w:eastAsia="Times New Roman" w:hAnsi="Times New Roman"/>
          <w:sz w:val="18"/>
          <w:szCs w:val="18"/>
          <w:color w:val="auto"/>
        </w:rPr>
        <w:t xml:space="preserve">") shall include (i) the proposed effective date of the Transfer, which shall not be less than thirty (30) days nor more than one hundred eighty (180) days after the date of delivery of the Transfer Notice, (ii) a description of the portion of the Premises to be transferred (the " XE "Subject Space" </w:t>
      </w:r>
      <w:r>
        <w:rPr>
          <w:rFonts w:ascii="Times New Roman" w:cs="Times New Roman" w:eastAsia="Times New Roman" w:hAnsi="Times New Roman"/>
          <w:sz w:val="18"/>
          <w:szCs w:val="18"/>
          <w:b w:val="1"/>
          <w:bCs w:val="1"/>
          <w:color w:val="auto"/>
        </w:rPr>
        <w:t>Subject Space</w:t>
      </w:r>
      <w:r>
        <w:rPr>
          <w:rFonts w:ascii="Times New Roman" w:cs="Times New Roman" w:eastAsia="Times New Roman" w:hAnsi="Times New Roman"/>
          <w:sz w:val="18"/>
          <w:szCs w:val="18"/>
          <w:color w:val="auto"/>
        </w:rPr>
        <w:t xml:space="preserve">"), (iii) all of the terms of the proposed Transfer and the consideration therefor, including calculation of the " XE "Transfer Premium" </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xml:space="preserve">", as that term is defined in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below, in connection with such Transfer, the name and address of the proposed Transferee, and a copy of all existing executed and/or proposed documentation pertaining to the proposed Transfer, and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(provided that Landlord agrees to execute a commercially reasonable confidentiality agreement covering the disclosure of such financial statements). Any Transfer made without Landlord's prior written consent shall, at Landlord's option, be null, void and of no effect, and shall, at Landlord's option, constitute an Event of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not to exceed $3,000.00 for a Transfer in the ordinary course of business, within thirty (30) days after written request by Landlord.</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u w:val="single" w:color="auto"/>
          <w:color w:val="auto"/>
        </w:rPr>
        <w:t>Landlord's Consent</w:t>
      </w:r>
      <w:r>
        <w:rPr>
          <w:rFonts w:ascii="Times New Roman" w:cs="Times New Roman" w:eastAsia="Times New Roman" w:hAnsi="Times New Roman"/>
          <w:sz w:val="18"/>
          <w:szCs w:val="18"/>
          <w:color w:val="auto"/>
        </w:rPr>
        <w:t>. Landlord shall not unreasonably withhold, condition or delay its consent to any proposed Transfer of the Subject Space to the Transferee on the terms specified in the Transfer Notice. Landlord shall approve or disapprove of any proposed Transfer within fifteen (15) business days after receipt of a complete Transfer Notice. If Landlord fails to respond within such fifteen (15) business day period, then Tenant may send Landlord a reminder notice setting forth such failure containing the following sentence at the top of such notice in bold, capitalized font at least twelve (12) points in size: “</w:t>
      </w:r>
      <w:r>
        <w:rPr>
          <w:rFonts w:ascii="Times New Roman" w:cs="Times New Roman" w:eastAsia="Times New Roman" w:hAnsi="Times New Roman"/>
          <w:sz w:val="18"/>
          <w:szCs w:val="18"/>
          <w:b w:val="1"/>
          <w:bCs w:val="1"/>
          <w:color w:val="auto"/>
        </w:rPr>
        <w:t>LANDLORD’S FAILURE TO RESPOND TO THIS NOTICE WITHIN FIVE (5) BUSINESS DAYS SHALL RESULT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LANDLORD’S DEEMED APPROVAL OF TENANT’S REQUEST FOR TRANSFER</w:t>
      </w:r>
      <w:r>
        <w:rPr>
          <w:rFonts w:ascii="Times New Roman" w:cs="Times New Roman" w:eastAsia="Times New Roman" w:hAnsi="Times New Roman"/>
          <w:sz w:val="18"/>
          <w:szCs w:val="18"/>
          <w:color w:val="auto"/>
        </w:rPr>
        <w:t>” (the “ XE "Transfer Reminder Notice"</w:t>
      </w:r>
      <w:r>
        <w:rPr>
          <w:rFonts w:ascii="Times New Roman" w:cs="Times New Roman" w:eastAsia="Times New Roman" w:hAnsi="Times New Roman"/>
          <w:sz w:val="18"/>
          <w:szCs w:val="18"/>
          <w:b w:val="1"/>
          <w:bCs w:val="1"/>
          <w:color w:val="auto"/>
        </w:rPr>
        <w:t xml:space="preserve"> Transfer Reminder Notice</w:t>
      </w:r>
      <w:r>
        <w:rPr>
          <w:rFonts w:ascii="Times New Roman" w:cs="Times New Roman" w:eastAsia="Times New Roman" w:hAnsi="Times New Roman"/>
          <w:sz w:val="18"/>
          <w:szCs w:val="18"/>
          <w:color w:val="auto"/>
        </w:rPr>
        <w:t>”). Any such Transfer Reminder Notice shall include a complete copy of Tenant’s Transfer Notice. If Landlord fails to respond within five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days after receipt of a Transfer Reminder Notice, then Tenant’s Transfer for which Tenant requested Landlord’s approval shall be deemed approved by Landlord.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3" w:name="page154"/>
    <w:bookmarkEnd w:id="153"/>
    <w:p>
      <w:pPr>
        <w:ind w:right="40" w:firstLine="1497"/>
        <w:spacing w:after="0" w:line="282" w:lineRule="auto"/>
        <w:rPr>
          <w:sz w:val="20"/>
          <w:szCs w:val="20"/>
          <w:color w:val="auto"/>
        </w:rPr>
      </w:pPr>
      <w:r>
        <w:rPr>
          <w:rFonts w:ascii="Times New Roman" w:cs="Times New Roman" w:eastAsia="Times New Roman" w:hAnsi="Times New Roman"/>
          <w:sz w:val="18"/>
          <w:szCs w:val="18"/>
          <w:color w:val="auto"/>
        </w:rPr>
        <w:t>14.2.1 The Transferee is of a character or reputation or engaged in a business which is not consistent with the quality of the Building or the Project;</w:t>
      </w:r>
    </w:p>
    <w:p>
      <w:pPr>
        <w:spacing w:after="0" w:line="162"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14.2.2</w:t>
      </w:r>
      <w:r>
        <w:rPr>
          <w:sz w:val="20"/>
          <w:szCs w:val="20"/>
          <w:color w:val="auto"/>
        </w:rPr>
        <w:tab/>
      </w:r>
      <w:r>
        <w:rPr>
          <w:rFonts w:ascii="Times New Roman" w:cs="Times New Roman" w:eastAsia="Times New Roman" w:hAnsi="Times New Roman"/>
          <w:sz w:val="17"/>
          <w:szCs w:val="17"/>
          <w:color w:val="auto"/>
        </w:rPr>
        <w:t>The Transferee intends to use the Subject Space for purposes which are not permitted under this Lease;</w:t>
      </w:r>
    </w:p>
    <w:p>
      <w:pPr>
        <w:spacing w:after="0" w:line="225"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14.2.3</w:t>
      </w:r>
      <w:r>
        <w:rPr>
          <w:sz w:val="20"/>
          <w:szCs w:val="20"/>
          <w:color w:val="auto"/>
        </w:rPr>
        <w:tab/>
      </w:r>
      <w:r>
        <w:rPr>
          <w:rFonts w:ascii="Times New Roman" w:cs="Times New Roman" w:eastAsia="Times New Roman" w:hAnsi="Times New Roman"/>
          <w:sz w:val="17"/>
          <w:szCs w:val="17"/>
          <w:color w:val="auto"/>
        </w:rPr>
        <w:t>The Transferee is either a governmental agency or instrumentality thereof;</w:t>
      </w:r>
    </w:p>
    <w:p>
      <w:pPr>
        <w:spacing w:after="0" w:line="225" w:lineRule="exact"/>
        <w:rPr>
          <w:sz w:val="20"/>
          <w:szCs w:val="20"/>
          <w:color w:val="auto"/>
        </w:rPr>
      </w:pPr>
    </w:p>
    <w:p>
      <w:pPr>
        <w:ind w:right="40" w:firstLine="1497"/>
        <w:spacing w:after="0" w:line="282" w:lineRule="auto"/>
        <w:rPr>
          <w:sz w:val="20"/>
          <w:szCs w:val="20"/>
          <w:color w:val="auto"/>
        </w:rPr>
      </w:pPr>
      <w:r>
        <w:rPr>
          <w:rFonts w:ascii="Times New Roman" w:cs="Times New Roman" w:eastAsia="Times New Roman" w:hAnsi="Times New Roman"/>
          <w:sz w:val="18"/>
          <w:szCs w:val="18"/>
          <w:color w:val="auto"/>
        </w:rPr>
        <w:t>14.2.4 The Transferee is not a party of reasonable financial worth and/or financial stability in light of the responsibilities to be undertaken in connection with the Transfer on the date consent is requested; or</w:t>
      </w:r>
    </w:p>
    <w:p>
      <w:pPr>
        <w:spacing w:after="0" w:line="162"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18"/>
          <w:szCs w:val="18"/>
          <w:color w:val="auto"/>
        </w:rPr>
        <w:t>14.2.5 The proposed Transfer would cause a violation of another lease for space in the Project, or would give an occupant of the Project a right to cancel its lease;</w:t>
      </w:r>
    </w:p>
    <w:p>
      <w:pPr>
        <w:spacing w:after="0" w:line="16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14.2.6 Either the proposed Transferee, or any person or entity which directly or indirectly, controls, is controlled by, or is under common control with, the proposed Transferee, (i) occupies space in the Project at the time of the request for consent, or (ii) is negotiating with Landlord or has negotiated with Landlord during the six (6) month period immediately preceding the date Landlord receives the Transfer Notice, to lease space in the Project (provided, however, that Landlord may not withhold its consent to an assignment or sublease pursuant to this Section 14.2.6 to the extent Landlord cannot meet such occupant’s space needs).</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If Landlord consents to any Transfer pursuant to the terms of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(and does not exercise any recapture rights Landlord may have under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of this Lease, provided that if there are any changes in the terms and conditions from those specified in the Transfer Notice such that Landlord would initially have been entitled to refuse its consent to such Transfer under this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Tenant shall again submit the Transfer to Landlord for its approval and other action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(including Landlord's right of recapture, if any, under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of this Lease). Notwithstanding anything to the contrary in this Lease, if Tenant or any proposed Transferee claims that Landlord has unreasonably withheld, conditioned or delayed its consent under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or otherwise has breached or acted unreasonably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spacing w:after="0" w:line="18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b w:val="1"/>
          <w:bCs w:val="1"/>
          <w:u w:val="single" w:color="auto"/>
          <w:color w:val="auto"/>
        </w:rPr>
        <w:t>Transfer Premium</w:t>
      </w:r>
      <w:r>
        <w:rPr>
          <w:rFonts w:ascii="Times New Roman" w:cs="Times New Roman" w:eastAsia="Times New Roman" w:hAnsi="Times New Roman"/>
          <w:sz w:val="18"/>
          <w:szCs w:val="18"/>
          <w:color w:val="auto"/>
        </w:rPr>
        <w:t>. If Landlord consents to a Transfer, as a condition thereto which the parties hereby agree is reasonable, Tenant shall pay to Landlord fifty percent (50%) of any "</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xml:space="preserve"> XE "Transfer Premium" ," as that term is defined in this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received by Tenant from such Transferee. "</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and after deduction of (i) any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4" w:name="page155"/>
    <w:bookmarkEnd w:id="154"/>
    <w:p>
      <w:pPr>
        <w:jc w:val="both"/>
        <w:spacing w:after="0" w:line="255" w:lineRule="auto"/>
        <w:rPr>
          <w:sz w:val="20"/>
          <w:szCs w:val="20"/>
          <w:color w:val="auto"/>
        </w:rPr>
      </w:pPr>
      <w:r>
        <w:rPr>
          <w:rFonts w:ascii="Times New Roman" w:cs="Times New Roman" w:eastAsia="Times New Roman" w:hAnsi="Times New Roman"/>
          <w:sz w:val="18"/>
          <w:szCs w:val="18"/>
          <w:color w:val="auto"/>
        </w:rPr>
        <w:t>costs of improvements or alterations made to the Subject Space in connection with such Transfer, (ii) brokerage commissions and marketing costs paid in connection with such Transfer, (iii) reasonable legal fees incurred in connection with such Transfer and (iv) any other monetary concessions provided by Tenant to the Transferee, such as rental abatement. "</w:t>
      </w:r>
      <w:r>
        <w:rPr>
          <w:rFonts w:ascii="Times New Roman" w:cs="Times New Roman" w:eastAsia="Times New Roman" w:hAnsi="Times New Roman"/>
          <w:sz w:val="18"/>
          <w:szCs w:val="18"/>
          <w:b w:val="1"/>
          <w:bCs w:val="1"/>
          <w:color w:val="auto"/>
        </w:rPr>
        <w:t>Transfer Premium</w:t>
      </w:r>
      <w:r>
        <w:rPr>
          <w:rFonts w:ascii="Times New Roman" w:cs="Times New Roman" w:eastAsia="Times New Roman" w:hAnsi="Times New Roman"/>
          <w:sz w:val="18"/>
          <w:szCs w:val="18"/>
          <w:color w:val="auto"/>
        </w:rPr>
        <w:t>" shall also include, but not be limited to, key money, bonus money or other cash consideration paid by Transferee to Tenant in connection with such Transfer, and any payment in excess of fair market value for services rendered by Tenant to Transferee or for assets, fixtures, inventory, equipment, or furniture transferred by Tenant to Transferee in connection with such Transfer. The determination of the amount of Landlord's applicable share of the Transfer Premium shall be made on a monthly basis as rent or other consideration is received by Tenant under the Transfer. No Transfer Premium shall be payable in connection with any Permitted Transfer.</w:t>
      </w:r>
    </w:p>
    <w:p>
      <w:pPr>
        <w:spacing w:after="0" w:line="18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b w:val="1"/>
          <w:bCs w:val="1"/>
          <w:u w:val="single" w:color="auto"/>
          <w:color w:val="auto"/>
        </w:rPr>
        <w:t>Landlord's Option as to Subject Space</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in the event Tenant contemplates a Transfer (other than a Permitted Transfer) which, together with all prior Transfers then remaining in effect (other than Permitted Transfers), would cause fifty percent (50%) or more of the Premises to be Transferred for more than fifty percent (50%) of the then remaining Lease Term (taking into account any extension of the Lease Term which has irrevocably exercised by Tenant), Tenant shall give Landlord notice (the " XE "Intention to Transfer Notice" </w:t>
      </w:r>
      <w:r>
        <w:rPr>
          <w:rFonts w:ascii="Times New Roman" w:cs="Times New Roman" w:eastAsia="Times New Roman" w:hAnsi="Times New Roman"/>
          <w:sz w:val="18"/>
          <w:szCs w:val="18"/>
          <w:b w:val="1"/>
          <w:bCs w:val="1"/>
          <w:color w:val="auto"/>
        </w:rPr>
        <w:t>Intention to Transfer Notice</w:t>
      </w:r>
      <w:r>
        <w:rPr>
          <w:rFonts w:ascii="Times New Roman" w:cs="Times New Roman" w:eastAsia="Times New Roman" w:hAnsi="Times New Roman"/>
          <w:sz w:val="18"/>
          <w:szCs w:val="18"/>
          <w:color w:val="auto"/>
        </w:rPr>
        <w:t xml:space="preserve">")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 XE "Contemplated Transfer Space" </w:t>
      </w:r>
      <w:r>
        <w:rPr>
          <w:rFonts w:ascii="Times New Roman" w:cs="Times New Roman" w:eastAsia="Times New Roman" w:hAnsi="Times New Roman"/>
          <w:sz w:val="18"/>
          <w:szCs w:val="18"/>
          <w:b w:val="1"/>
          <w:bCs w:val="1"/>
          <w:color w:val="auto"/>
        </w:rPr>
        <w:t>Contemplated Transfer Space</w:t>
      </w:r>
      <w:r>
        <w:rPr>
          <w:rFonts w:ascii="Times New Roman" w:cs="Times New Roman" w:eastAsia="Times New Roman" w:hAnsi="Times New Roman"/>
          <w:sz w:val="18"/>
          <w:szCs w:val="18"/>
          <w:color w:val="auto"/>
        </w:rPr>
        <w:t xml:space="preserve">"), the contemplated date of commencement of the Contemplated Transfer (the " XE "Contemplated Effective Date" </w:t>
      </w:r>
      <w:r>
        <w:rPr>
          <w:rFonts w:ascii="Times New Roman" w:cs="Times New Roman" w:eastAsia="Times New Roman" w:hAnsi="Times New Roman"/>
          <w:sz w:val="18"/>
          <w:szCs w:val="18"/>
          <w:b w:val="1"/>
          <w:bCs w:val="1"/>
          <w:color w:val="auto"/>
        </w:rPr>
        <w:t>Contemplated Effective Date</w:t>
      </w:r>
      <w:r>
        <w:rPr>
          <w:rFonts w:ascii="Times New Roman" w:cs="Times New Roman" w:eastAsia="Times New Roman" w:hAnsi="Times New Roman"/>
          <w:sz w:val="18"/>
          <w:szCs w:val="18"/>
          <w:color w:val="auto"/>
        </w:rPr>
        <w:t xml:space="preserve">"), and the contemplated length of the term of such contemplated Transfer, and shall specify that such Intention to Transfer Notice is delivered to Landlord pursuant to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in order to allow Landlord to elect to recapture the Contemplated Transfer Space. Thereafter, Landlord shall have the option, by giving written notice to Tenant within fifteen (15) business days after receipt of any Intention to Transfer Notice, to recapture the Contemplated Transfer Space.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then, subject to the other terms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for a period of nine (9) months (the " XE "Nine Month Period" </w:t>
      </w:r>
      <w:r>
        <w:rPr>
          <w:rFonts w:ascii="Times New Roman" w:cs="Times New Roman" w:eastAsia="Times New Roman" w:hAnsi="Times New Roman"/>
          <w:sz w:val="18"/>
          <w:szCs w:val="18"/>
          <w:b w:val="1"/>
          <w:bCs w:val="1"/>
          <w:color w:val="auto"/>
        </w:rPr>
        <w:t>Nine Month Period</w:t>
      </w:r>
      <w:r>
        <w:rPr>
          <w:rFonts w:ascii="Times New Roman" w:cs="Times New Roman" w:eastAsia="Times New Roman" w:hAnsi="Times New Roman"/>
          <w:sz w:val="18"/>
          <w:szCs w:val="18"/>
          <w:color w:val="auto"/>
        </w:rPr>
        <w:t xml:space="preserve">") commencing on the last day of such fifteen (15) business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If such a Transfer is not so consummated within the Nine Month Period (or if a 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b w:val="1"/>
          <w:bCs w:val="1"/>
          <w:u w:val="single" w:color="auto"/>
          <w:color w:val="auto"/>
        </w:rPr>
        <w:t>Effect of Transfer</w:t>
      </w:r>
      <w:r>
        <w:rPr>
          <w:rFonts w:ascii="Times New Roman" w:cs="Times New Roman" w:eastAsia="Times New Roman" w:hAnsi="Times New Roman"/>
          <w:sz w:val="18"/>
          <w:szCs w:val="18"/>
          <w:color w:val="auto"/>
        </w:rPr>
        <w:t>. If Landlord consents to a Transfer, (i) the terms and conditions of this Lease shall in no way be deemed to have been waived or modified, (ii) such consent shall not be deemed consent to 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5" w:name="page156"/>
    <w:bookmarkEnd w:id="155"/>
    <w:p>
      <w:pPr>
        <w:jc w:val="both"/>
        <w:spacing w:after="0" w:line="254" w:lineRule="auto"/>
        <w:rPr>
          <w:sz w:val="20"/>
          <w:szCs w:val="20"/>
          <w:color w:val="auto"/>
        </w:rPr>
      </w:pPr>
      <w:r>
        <w:rPr>
          <w:rFonts w:ascii="Times New Roman" w:cs="Times New Roman" w:eastAsia="Times New Roman" w:hAnsi="Times New Roman"/>
          <w:sz w:val="18"/>
          <w:szCs w:val="18"/>
          <w:color w:val="auto"/>
        </w:rPr>
        <w:t>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and upon reasonable written notice to Tenant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spacing w:after="0" w:line="18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b w:val="1"/>
          <w:bCs w:val="1"/>
          <w:u w:val="single" w:color="auto"/>
          <w:color w:val="auto"/>
        </w:rPr>
        <w:t>Additional Transfers</w:t>
      </w:r>
      <w:r>
        <w:rPr>
          <w:rFonts w:ascii="Times New Roman" w:cs="Times New Roman" w:eastAsia="Times New Roman" w:hAnsi="Times New Roman"/>
          <w:sz w:val="18"/>
          <w:szCs w:val="18"/>
          <w:color w:val="auto"/>
        </w:rPr>
        <w:t xml:space="preserve">. For purposes of this Lease, subject to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xml:space="preserve"> the term " XE "Transfer"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also include (i) if 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 and (ii) if Tenant is a closely held corporation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whose stock is not publicly held and not traded through an exchange or over the counter), (A) the dissolution, merger, consolidation or other reorganization of Tenant or (B) the sale or other transfer of an aggregate of fifty percent (50%) or more of the voting shares of Tenant (other than to immediate family members by reason of gift or death), within a twelve (12)-month period, or (C) the sale, mortgage, hypothecation or pledge of an aggregate of fifty percent (50%) or more of the value of the unencumbered assets of Tenant within a twelve (12)-month period.</w:t>
      </w:r>
    </w:p>
    <w:p>
      <w:pPr>
        <w:spacing w:after="0" w:line="18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b w:val="1"/>
          <w:bCs w:val="1"/>
          <w:u w:val="single" w:color="auto"/>
          <w:color w:val="auto"/>
        </w:rPr>
        <w:t>Occurrence of Default</w:t>
      </w:r>
      <w:r>
        <w:rPr>
          <w:rFonts w:ascii="Times New Roman" w:cs="Times New Roman" w:eastAsia="Times New Roman" w:hAnsi="Times New Roman"/>
          <w:sz w:val="18"/>
          <w:szCs w:val="18"/>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beyond all applicable notice and cure periods,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90"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b w:val="1"/>
          <w:bCs w:val="1"/>
          <w:u w:val="single" w:color="auto"/>
          <w:color w:val="auto"/>
        </w:rPr>
        <w:t>Non-Transfers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an assignment or subletting of all or a portion of the Premises to (a) an affiliate of Tenant (an entity which is controlled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6" w:name="page157"/>
    <w:bookmarkEnd w:id="15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by, controls, or is under common control with, Tenant), (b) transfer or sale of corporate shares or capital stock in Tenant in connection with an initial public offering of Tenant’s stock on a nationally-recognized stock exchange (and any subsequent exchange of Tenant’s stock), (c) a transfer of member interest or stock in Tenant in connection with any financing or any other member interest or stock transfer, (d) an assignment of the Lease to an entity which acquires all or substantially all of the stock or assets of Tenant, or (e) an assignment of this Lease to an entity which is the resulting entity of a merger or consolidation of Tenant during the Lease Term (each, a “ XE "Permitted Transfer" </w:t>
      </w:r>
      <w:r>
        <w:rPr>
          <w:rFonts w:ascii="Times New Roman" w:cs="Times New Roman" w:eastAsia="Times New Roman" w:hAnsi="Times New Roman"/>
          <w:sz w:val="18"/>
          <w:szCs w:val="18"/>
          <w:b w:val="1"/>
          <w:bCs w:val="1"/>
          <w:color w:val="auto"/>
        </w:rPr>
        <w:t>Permitted Transfer</w:t>
      </w:r>
      <w:r>
        <w:rPr>
          <w:rFonts w:ascii="Times New Roman" w:cs="Times New Roman" w:eastAsia="Times New Roman" w:hAnsi="Times New Roman"/>
          <w:sz w:val="18"/>
          <w:szCs w:val="18"/>
          <w:color w:val="auto"/>
        </w:rPr>
        <w:t xml:space="preserve">”), shall not be deemed a Transfer requiring Landlord’s consent under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and shall not be subject to the provisions of Section 14.3, 14.4, and 14.5 above, provided that Tenant notifies Landlord of any such assignment or sublease and promptly supplies Landlord with any documents or information reasonably requested by Landlord regarding such transfer or transferee as set forth above, and further provided that such assignment or sublease is not a subterfuge by Tenant to avoid its obligations under this Lease.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xml:space="preserve"> XE "Control" ," as used in this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shall mean the ownership, directly or indirectly, of at least fifty-one percent (51%) of the voting securities of, or possession of the right to vote, in the ordinary direction of its affairs, of at least fifty-one percent (51%) of the voting interest in, any person or entity.</w:t>
      </w:r>
    </w:p>
    <w:p>
      <w:pPr>
        <w:spacing w:after="0" w:line="19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14.9 Office Sharing. Notwithstanding anything in this Lease to the contrary, without being subject to Landlord’s rights and Tenant’s obligations set forth in this Article 14, and without requiring Landlord’s consent, Tenant may permit Office Sharing (as hereinafter defined) by Affiliates, Clients and Business Partners (as hereinafter defined) of Tenant, without the same constituting a Transfer, an assignment or subletting within the meaning of this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provided that the total space licensed under Office Sharing shall not exceed 25% of the Premises. The term “Affiliate” means any entity Controlling, Controlled by or under common Control with Tenant; and “Control” (and with correlative meaning, “Controlled by”) means ownership of not less than 50% of all of the beneficial ownership interests of any business entity, and/or the power to direct or cause the direction of the management and policy of such business entity. The term “Clients and Business Partners” shall mean persons or entities who are occupying or using portions of the Demised Premises and are either (a) performing services for Tenant as subcontractors under Tenant’s contracts, (b) personnel employed by persons or entities for whom Tenant is performing services on a contractual basis, or (c) personnel employed by persons or entities with whom Tenant is engaged in a joint venture or joint teaming effort. The term “Office Sharing” shall mean the use of portions of the Demised Premises by Affiliates and/or Clients and Business Partners, if, with respect to such Clients and Business Partners, such use is in connection with the services being provided to Tenant by the applicable Clients and Business Partners, the services being provided to the applicable Clients and Business Partners by Tenant, or the services being jointly provided by Tenant and the applicable Clients and Business Partners. No Office Sharing arrangement shall release Tenant from its obligations hereunder.</w:t>
      </w:r>
    </w:p>
    <w:p>
      <w:pPr>
        <w:spacing w:after="0" w:line="187" w:lineRule="exact"/>
        <w:rPr>
          <w:sz w:val="20"/>
          <w:szCs w:val="20"/>
          <w:color w:val="auto"/>
        </w:rPr>
      </w:pPr>
    </w:p>
    <w:p>
      <w:pPr>
        <w:ind w:left="360" w:hanging="352"/>
        <w:spacing w:after="0"/>
        <w:tabs>
          <w:tab w:leader="none" w:pos="3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SURRENDER OF PREMISES; OWNERSHIP AND REMOVAL OF TRADE FIXTURES.</w:t>
      </w:r>
    </w:p>
    <w:p>
      <w:pPr>
        <w:spacing w:after="0" w:line="22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u w:val="single" w:color="auto"/>
          <w:color w:val="auto"/>
        </w:rPr>
        <w:t>Surrender of Premises</w:t>
      </w:r>
      <w:r>
        <w:rPr>
          <w:rFonts w:ascii="Times New Roman" w:cs="Times New Roman" w:eastAsia="Times New Roman" w:hAnsi="Times New Roman"/>
          <w:sz w:val="18"/>
          <w:szCs w:val="18"/>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Landlord of all subleases or subtenancies affecting the Premises or terminate any or all such sublessees or subtenancies.</w:t>
      </w:r>
    </w:p>
    <w:p>
      <w:pPr>
        <w:spacing w:after="0" w:line="2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u w:val="single" w:color="auto"/>
          <w:color w:val="auto"/>
        </w:rPr>
        <w:t>Removal of Tenant Property by Tenant</w:t>
      </w:r>
      <w:r>
        <w:rPr>
          <w:rFonts w:ascii="Times New Roman" w:cs="Times New Roman" w:eastAsia="Times New Roman" w:hAnsi="Times New Roman"/>
          <w:sz w:val="18"/>
          <w:szCs w:val="18"/>
          <w:color w:val="auto"/>
        </w:rPr>
        <w:t xml:space="preserve">. Upon the expiration of the Lease Term, or upon any earlier termination of this Lease, Tenant shall, subject to the provisions of this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and/or damage due to casualty excepted. Upon such expiration or termination, Tenant shall, without expense to Landlord, remove or cause to be removed from the Premises all debris and rubbish, and such items of furniture, equipment,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u w:val="single" w:color="auto"/>
          <w:color w:val="auto"/>
        </w:rPr>
        <w:t>Environmental Assessment</w:t>
      </w:r>
      <w:r>
        <w:rPr>
          <w:rFonts w:ascii="Times New Roman" w:cs="Times New Roman" w:eastAsia="Times New Roman" w:hAnsi="Times New Roman"/>
          <w:sz w:val="18"/>
          <w:szCs w:val="18"/>
          <w:color w:val="auto"/>
        </w:rPr>
        <w:t>. Landlord has provided to Tenant an Environmental Assessment prepared by Langan Engineering and Environmental Services, Inc., dated as of August 3, 2021 (the “</w:t>
      </w:r>
      <w:r>
        <w:rPr>
          <w:rFonts w:ascii="Times New Roman" w:cs="Times New Roman" w:eastAsia="Times New Roman" w:hAnsi="Times New Roman"/>
          <w:sz w:val="18"/>
          <w:szCs w:val="18"/>
          <w:b w:val="1"/>
          <w:bCs w:val="1"/>
          <w:color w:val="auto"/>
        </w:rPr>
        <w:t>Existing Condition Environmental Report</w:t>
      </w:r>
      <w:r>
        <w:rPr>
          <w:rFonts w:ascii="Times New Roman" w:cs="Times New Roman" w:eastAsia="Times New Roman" w:hAnsi="Times New Roman"/>
          <w:sz w:val="18"/>
          <w:szCs w:val="18"/>
          <w:color w:val="auto"/>
        </w:rPr>
        <w:t xml:space="preserve">”). In connection with Tenant’s surrender of the Premises, Tenant shall submit to Landlord, at least one hundred twenty (120) days prior to the expiration date of this Lease (or in the event of an earlier termination of this Lease, as soon as reasonably possible following such termination), an environmental Assessment of the Premises by a competent and experienced environmental engineer or engineering firm reasonably satisfactory to Landlord (pursuant to a contract approved by Landlord and providing that Landlord can rely on the Environmental Assessment), which (i) evidences that the Premises are in a clean and safe condition and free and clear of any Hazardous Materials; and (ii) includes a review of the Premises by an environmental consultant for asbestos, mold, fungus, spores, and other moisture conditions, on-site chemical use, and lead-based paint. If such Environmental Assessment reveals that remediation or Clean-up is required under any Environmental Laws for conditions that were not disclosed in the Existing Condition Environmental Report, Tenant shall submit a remediation plan prepared by a recognized environmental consultant and shall be responsible for all costs of remediation and Clean-up, as more particularly provided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above.</w:t>
      </w:r>
    </w:p>
    <w:p>
      <w:pPr>
        <w:spacing w:after="0" w:line="18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u w:val="single" w:color="auto"/>
          <w:color w:val="auto"/>
        </w:rPr>
        <w:t>Condition of the Building and Premises Upon Surrender</w:t>
      </w:r>
      <w:r>
        <w:rPr>
          <w:rFonts w:ascii="Times New Roman" w:cs="Times New Roman" w:eastAsia="Times New Roman" w:hAnsi="Times New Roman"/>
          <w:sz w:val="18"/>
          <w:szCs w:val="18"/>
          <w:color w:val="auto"/>
        </w:rPr>
        <w:t xml:space="preserve">. In addition to the above requirements of this </w:t>
      </w:r>
      <w:r>
        <w:rPr>
          <w:rFonts w:ascii="Times New Roman" w:cs="Times New Roman" w:eastAsia="Times New Roman" w:hAnsi="Times New Roman"/>
          <w:sz w:val="18"/>
          <w:szCs w:val="18"/>
          <w:u w:val="single" w:color="auto"/>
          <w:color w:val="auto"/>
        </w:rPr>
        <w:t>Article 15</w:t>
      </w:r>
      <w:r>
        <w:rPr>
          <w:rFonts w:ascii="Times New Roman" w:cs="Times New Roman" w:eastAsia="Times New Roman" w:hAnsi="Times New Roman"/>
          <w:sz w:val="18"/>
          <w:szCs w:val="18"/>
          <w:color w:val="auto"/>
        </w:rPr>
        <w:t xml:space="preserve">, upon the expiration of the Lease Term, or upon any earlier termination of this Lease, Tenant shall, surrender the Premises and Building such that the same are in compliance with all Applicable Laws and with Tenant having complied with all of Tenant’s obligations under this Lease, including those relating to improvement, repair, maintenance, compliance with law, testing and other related obligations of Tenant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of this Lease. In the event that the Building and Premises shall be surrendered in a condition which does not comply with the terms of this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 xml:space="preserve">, because Tenant failed to comply with its obligations set forth in Lease, then following thirty (30) days’ notice to Tenant, during which thirty (30) day period Tenant shall have the right to cure such noncompliance, Landlord shall be entitled to expend all reasonable costs in order to cause the same to comply with the required condition upon surrender and Tenant shall immediately reimburse Landlord for all such costs upon notice and Tenant shall be deemed during the period that Tenant or Landlord, as the case may be, perform obligations relating to the Surrender Improvements to be in holdover under </w:t>
      </w:r>
      <w:r>
        <w:rPr>
          <w:rFonts w:ascii="Times New Roman" w:cs="Times New Roman" w:eastAsia="Times New Roman" w:hAnsi="Times New Roman"/>
          <w:sz w:val="18"/>
          <w:szCs w:val="18"/>
          <w:u w:val="single" w:color="auto"/>
          <w:color w:val="auto"/>
        </w:rPr>
        <w:t>Article 16</w:t>
      </w:r>
      <w:r>
        <w:rPr>
          <w:rFonts w:ascii="Times New Roman" w:cs="Times New Roman" w:eastAsia="Times New Roman" w:hAnsi="Times New Roman"/>
          <w:sz w:val="18"/>
          <w:szCs w:val="18"/>
          <w:color w:val="auto"/>
        </w:rPr>
        <w:t xml:space="preserve"> of this Lease.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8" w:name="page159"/>
    <w:bookmarkEnd w:id="158"/>
    <w:p>
      <w:pPr>
        <w:jc w:val="both"/>
        <w:ind w:firstLine="8"/>
        <w:spacing w:after="0" w:line="252" w:lineRule="auto"/>
        <w:tabs>
          <w:tab w:leader="none" w:pos="3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HOLDING OVER. If Tenant holds over after the expiration of the Lease Term or earlier termination thereof, with the express or implied consent of Landlord, such 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Base Rent shall be payable at a monthly rate equal to (i) one hundred twenty-five percent (125%) of the Base Rent applicable during the last rental period of the Lease Term under this Lease for the first thirty (30) days of such holdover, and (ii) one hundred fifty percent (150%) of the Base Rent applicable during the last rental period of the Lease Term under this Lease thereafter, and Tenant shall continue to pay all Additional Rent due during such period. Such month-to-month tenancy or tenancy by sufferance, as the case may be, shall be subject to every other applicable term, covenant and agreement contained herein. Nothing contained in this Article 16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within thirty (30) days following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191"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ESTOPPEL CERTIFICATES. </w:t>
      </w:r>
      <w:r>
        <w:rPr>
          <w:rFonts w:ascii="Times New Roman" w:cs="Times New Roman" w:eastAsia="Times New Roman" w:hAnsi="Times New Roman"/>
          <w:sz w:val="18"/>
          <w:szCs w:val="18"/>
          <w:color w:val="auto"/>
        </w:rPr>
        <w:t>Within ten (10) business days following a request in writing by Landlord, Tenant shall execute, acknowledge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 to Landlord an estoppel certificate, which, as submitted by Landlord, shall be substantially in the form of </w:t>
      </w:r>
      <w:r>
        <w:rPr>
          <w:rFonts w:ascii="Times New Roman" w:cs="Times New Roman" w:eastAsia="Times New Roman" w:hAnsi="Times New Roman"/>
          <w:sz w:val="18"/>
          <w:szCs w:val="18"/>
          <w:b w:val="1"/>
          <w:bCs w:val="1"/>
          <w:u w:val="single" w:color="auto"/>
          <w:color w:val="auto"/>
        </w:rPr>
        <w:t>Exhibit D</w:t>
      </w:r>
      <w:r>
        <w:rPr>
          <w:rFonts w:ascii="Times New Roman" w:cs="Times New Roman" w:eastAsia="Times New Roman" w:hAnsi="Times New Roman"/>
          <w:sz w:val="18"/>
          <w:szCs w:val="18"/>
          <w:color w:val="auto"/>
        </w:rPr>
        <w:t>, attached hereto (or such other commercially reasonable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but for so long as no Event of Default is continuing, not more than once per Lease Year except in connection with any sale or financing of the Building,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 Within ten (10) business days of receipt of a written request by Tenant, Landlord shall provide Tenant with a similar estoppel certificate (but in all cases limited to Landlord’s actual knowledge (without any duty of investigation)) as Landlord reasonably deems appropriate and as otherwise reasonably modified by Landlord.</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3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SUBORDINATION. </w:t>
      </w:r>
      <w:r>
        <w:rPr>
          <w:rFonts w:ascii="Times New Roman" w:cs="Times New Roman" w:eastAsia="Times New Roman" w:hAnsi="Times New Roman"/>
          <w:sz w:val="18"/>
          <w:szCs w:val="18"/>
          <w:color w:val="auto"/>
        </w:rPr>
        <w:t>This Lease shall be subject and subordinate to all present and future ground or underlying leases of the Building or Project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lien of any mortgage, trust deed or other encumbrances now or hereafter in force against the Building or Project or any part thereof, if any, and to all renewals, extensions, modifications,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9" w:name="page160"/>
    <w:bookmarkEnd w:id="159"/>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(collectively, the “ </w:t>
      </w:r>
      <w:r>
        <w:rPr>
          <w:rFonts w:ascii="Times New Roman" w:cs="Times New Roman" w:eastAsia="Times New Roman" w:hAnsi="Times New Roman"/>
          <w:sz w:val="18"/>
          <w:szCs w:val="18"/>
          <w:b w:val="1"/>
          <w:bCs w:val="1"/>
          <w:color w:val="auto"/>
        </w:rPr>
        <w:t>XE "Superior Holders" Superior Holders</w:t>
      </w:r>
      <w:r>
        <w:rPr>
          <w:rFonts w:ascii="Times New Roman" w:cs="Times New Roman" w:eastAsia="Times New Roman" w:hAnsi="Times New Roman"/>
          <w:sz w:val="18"/>
          <w:szCs w:val="18"/>
          <w:color w:val="auto"/>
        </w:rPr>
        <w:t>”); provided, however, that as a condition to Tenant’s obligation to subordinate to any future Superior Holders, that Landlord shall deliver to Tenant a commercially reasonable subordination, non-disturbance, and attornment agreement executed by such Superior Holders (which requires such Superior Holders, among other things, to accept this Lease and not disturb Tenant’s possession, so long as no default has occurred and is not then continuing beyond all applicable notice and cure periods).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commercially reasonable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195" w:lineRule="exact"/>
        <w:rPr>
          <w:sz w:val="20"/>
          <w:szCs w:val="20"/>
          <w:color w:val="auto"/>
        </w:rPr>
      </w:pPr>
    </w:p>
    <w:p>
      <w:pPr>
        <w:ind w:left="360" w:hanging="352"/>
        <w:spacing w:after="0"/>
        <w:tabs>
          <w:tab w:leader="none" w:pos="3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DEFAULTS; REMEDIES.</w:t>
      </w:r>
    </w:p>
    <w:p>
      <w:pPr>
        <w:spacing w:after="0" w:line="22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color w:val="auto"/>
        </w:rPr>
        <w:t xml:space="preserve">. In addition to any other Events of Default specified in this Lease, the occurrence of any of the following shall constitute a default of this Lease by Tenant (each, an “ XE "Event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18"/>
          <w:szCs w:val="18"/>
          <w:color w:val="auto"/>
        </w:rPr>
        <w:t>19.1.1 Any failure by Tenant to pay any Rent or any other charge required to be paid under this Lease, or any part thereof, which failure is not cured within five (5) days following the date Tenant receives written notice thereof from Landlord; or</w:t>
      </w:r>
    </w:p>
    <w:p>
      <w:pPr>
        <w:spacing w:after="0" w:line="162"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Times New Roman" w:cs="Times New Roman" w:eastAsia="Times New Roman" w:hAnsi="Times New Roman"/>
          <w:sz w:val="18"/>
          <w:szCs w:val="18"/>
          <w:u w:val="single" w:color="auto"/>
          <w:color w:val="auto"/>
        </w:rPr>
        <w:t>Section 19.1.2</w:t>
      </w:r>
      <w:r>
        <w:rPr>
          <w:rFonts w:ascii="Times New Roman" w:cs="Times New Roman" w:eastAsia="Times New Roman" w:hAnsi="Times New Roman"/>
          <w:sz w:val="18"/>
          <w:szCs w:val="18"/>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187" w:lineRule="exact"/>
        <w:rPr>
          <w:sz w:val="20"/>
          <w:szCs w:val="20"/>
          <w:color w:val="auto"/>
        </w:rPr>
      </w:pPr>
    </w:p>
    <w:p>
      <w:pPr>
        <w:ind w:left="1500"/>
        <w:spacing w:after="0"/>
        <w:tabs>
          <w:tab w:leader="none" w:pos="2200" w:val="left"/>
        </w:tabs>
        <w:rPr>
          <w:sz w:val="20"/>
          <w:szCs w:val="20"/>
          <w:color w:val="auto"/>
        </w:rPr>
      </w:pPr>
      <w:r>
        <w:rPr>
          <w:rFonts w:ascii="Times New Roman" w:cs="Times New Roman" w:eastAsia="Times New Roman" w:hAnsi="Times New Roman"/>
          <w:sz w:val="18"/>
          <w:szCs w:val="18"/>
          <w:color w:val="auto"/>
        </w:rPr>
        <w:t>19.1.3</w:t>
      </w:r>
      <w:r>
        <w:rPr>
          <w:sz w:val="20"/>
          <w:szCs w:val="20"/>
          <w:color w:val="auto"/>
        </w:rPr>
        <w:tab/>
      </w:r>
      <w:r>
        <w:rPr>
          <w:rFonts w:ascii="Times New Roman" w:cs="Times New Roman" w:eastAsia="Times New Roman" w:hAnsi="Times New Roman"/>
          <w:sz w:val="17"/>
          <w:szCs w:val="17"/>
          <w:color w:val="auto"/>
        </w:rPr>
        <w:t>Abandonment of all or a substantial portion of the Premises by Tenant with no intent to return; or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0" w:name="page161"/>
    <w:bookmarkEnd w:id="160"/>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19.1.4 The failure by Tenant to observe or perform according to the provisions of </w:t>
      </w:r>
      <w:r>
        <w:rPr>
          <w:rFonts w:ascii="Times New Roman" w:cs="Times New Roman" w:eastAsia="Times New Roman" w:hAnsi="Times New Roman"/>
          <w:sz w:val="18"/>
          <w:szCs w:val="18"/>
          <w:u w:val="single" w:color="auto"/>
          <w:color w:val="auto"/>
        </w:rPr>
        <w:t>Articles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of this Lease or any provision of the Tenant Work Letter, where, in each instance, such failure continues for more than five (5) days after notice from Landlord; or</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Any notices to be provided by Landlord under this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xml:space="preserve"> shall be in lieu of, and not in addition to, any notice required under Section 1161 et seq. of the Code of Civil Procedure, and may be served on Tenant in the manner allowed for service of notices under this Lease.</w:t>
      </w:r>
    </w:p>
    <w:p>
      <w:pPr>
        <w:spacing w:after="0" w:line="15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b w:val="1"/>
          <w:bCs w:val="1"/>
          <w:u w:val="single" w:color="auto"/>
          <w:color w:val="auto"/>
        </w:rPr>
        <w:t>Remedies Upon Event of Default</w:t>
      </w:r>
      <w:r>
        <w:rPr>
          <w:rFonts w:ascii="Times New Roman" w:cs="Times New Roman" w:eastAsia="Times New Roman" w:hAnsi="Times New Roman"/>
          <w:sz w:val="18"/>
          <w:szCs w:val="18"/>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(including, without limitation, during any eviction moratorium, to the extent allowed by Applicable Law), each and all of which shall be cumulative and nonexclusive, without any notice or demand whatsoever.</w:t>
      </w:r>
    </w:p>
    <w:p>
      <w:pPr>
        <w:spacing w:after="0" w:line="180"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180" w:lineRule="exact"/>
        <w:rPr>
          <w:sz w:val="20"/>
          <w:szCs w:val="20"/>
          <w:color w:val="auto"/>
        </w:rPr>
      </w:pPr>
    </w:p>
    <w:p>
      <w:pPr>
        <w:ind w:left="2620" w:hanging="366"/>
        <w:spacing w:after="0"/>
        <w:tabs>
          <w:tab w:leader="none" w:pos="2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unpaid rent which has been earned at the time of such termination; plus</w:t>
      </w:r>
    </w:p>
    <w:p>
      <w:pPr>
        <w:spacing w:after="0" w:line="225" w:lineRule="exact"/>
        <w:rPr>
          <w:rFonts w:ascii="Times New Roman" w:cs="Times New Roman" w:eastAsia="Times New Roman" w:hAnsi="Times New Roman"/>
          <w:sz w:val="18"/>
          <w:szCs w:val="18"/>
          <w:color w:val="auto"/>
        </w:rPr>
      </w:pPr>
    </w:p>
    <w:p>
      <w:pPr>
        <w:ind w:left="760" w:right="40" w:firstLine="1494"/>
        <w:spacing w:after="0" w:line="282" w:lineRule="auto"/>
        <w:tabs>
          <w:tab w:leader="none" w:pos="261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61" w:lineRule="exact"/>
        <w:rPr>
          <w:rFonts w:ascii="Times New Roman" w:cs="Times New Roman" w:eastAsia="Times New Roman" w:hAnsi="Times New Roman"/>
          <w:sz w:val="18"/>
          <w:szCs w:val="18"/>
          <w:color w:val="auto"/>
        </w:rPr>
      </w:pPr>
    </w:p>
    <w:p>
      <w:pPr>
        <w:ind w:left="760" w:firstLine="1494"/>
        <w:spacing w:after="0" w:line="282" w:lineRule="auto"/>
        <w:tabs>
          <w:tab w:leader="none" w:pos="261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61" w:lineRule="exact"/>
        <w:rPr>
          <w:rFonts w:ascii="Times New Roman" w:cs="Times New Roman" w:eastAsia="Times New Roman" w:hAnsi="Times New Roman"/>
          <w:sz w:val="18"/>
          <w:szCs w:val="18"/>
          <w:color w:val="auto"/>
        </w:rPr>
      </w:pPr>
    </w:p>
    <w:p>
      <w:pPr>
        <w:jc w:val="both"/>
        <w:ind w:left="760" w:firstLine="1494"/>
        <w:spacing w:after="0" w:line="261" w:lineRule="auto"/>
        <w:tabs>
          <w:tab w:leader="none" w:pos="261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7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Landlord's election, such other amounts in addition to or in lieu of the foregoing as may be permitted from time to</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by Applicable Law.</w:t>
      </w:r>
    </w:p>
    <w:p>
      <w:pPr>
        <w:spacing w:after="0" w:line="20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The term " XE "rent"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Section 19.2</w:t>
      </w:r>
      <w:r>
        <w:rPr>
          <w:rFonts w:ascii="Times New Roman" w:cs="Times New Roman" w:eastAsia="Times New Roman" w:hAnsi="Times New Roman"/>
          <w:sz w:val="18"/>
          <w:szCs w:val="18"/>
          <w:color w:val="auto"/>
        </w:rPr>
        <w:t xml:space="preserve"> shall be deemed to be and to mean all sums of every nature required to be paid by Tenant pursuant to the terms of this Lease, whether to Landlord or to others. As used in </w:t>
      </w:r>
      <w:r>
        <w:rPr>
          <w:rFonts w:ascii="Times New Roman" w:cs="Times New Roman" w:eastAsia="Times New Roman" w:hAnsi="Times New Roman"/>
          <w:sz w:val="18"/>
          <w:szCs w:val="18"/>
          <w:u w:val="single" w:color="auto"/>
          <w:color w:val="auto"/>
        </w:rPr>
        <w:t>Sections 19.2.1(i)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above, the "worth at the time of award" shall be computed by allowing interest at the rate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1" w:name="page162"/>
    <w:bookmarkEnd w:id="16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Article 25</w:t>
      </w:r>
      <w:r>
        <w:rPr>
          <w:rFonts w:ascii="Times New Roman" w:cs="Times New Roman" w:eastAsia="Times New Roman" w:hAnsi="Times New Roman"/>
          <w:sz w:val="18"/>
          <w:szCs w:val="18"/>
          <w:color w:val="auto"/>
        </w:rPr>
        <w:t xml:space="preserve"> of this Lease, but in no case greater than the maximum amount of such interest permitted by law. As used in </w:t>
      </w:r>
      <w:r>
        <w:rPr>
          <w:rFonts w:ascii="Times New Roman" w:cs="Times New Roman" w:eastAsia="Times New Roman" w:hAnsi="Times New Roman"/>
          <w:sz w:val="18"/>
          <w:szCs w:val="18"/>
          <w:u w:val="single" w:color="auto"/>
          <w:color w:val="auto"/>
        </w:rPr>
        <w:t>Section 19.2.1(iii)</w:t>
      </w:r>
      <w:r>
        <w:rPr>
          <w:rFonts w:ascii="Times New Roman" w:cs="Times New Roman" w:eastAsia="Times New Roman" w:hAnsi="Times New Roman"/>
          <w:sz w:val="18"/>
          <w:szCs w:val="18"/>
          <w:color w:val="auto"/>
        </w:rPr>
        <w:t xml:space="preserve"> above, the " XE "worth at the time of award" </w:t>
      </w:r>
      <w:r>
        <w:rPr>
          <w:rFonts w:ascii="Times New Roman" w:cs="Times New Roman" w:eastAsia="Times New Roman" w:hAnsi="Times New Roman"/>
          <w:sz w:val="18"/>
          <w:szCs w:val="18"/>
          <w:b w:val="1"/>
          <w:bCs w:val="1"/>
          <w:color w:val="auto"/>
        </w:rPr>
        <w:t>worth at the time of award</w:t>
      </w:r>
      <w:r>
        <w:rPr>
          <w:rFonts w:ascii="Times New Roman" w:cs="Times New Roman" w:eastAsia="Times New Roman" w:hAnsi="Times New Roman"/>
          <w:sz w:val="18"/>
          <w:szCs w:val="18"/>
          <w:color w:val="auto"/>
        </w:rPr>
        <w:t>" shall be computed by discounting such amount at the discount rate of the Federal Reserve Bank of San Francisco at the time of award plus one percent (1%).</w:t>
      </w:r>
    </w:p>
    <w:p>
      <w:pPr>
        <w:spacing w:after="0" w:line="17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Event of Default by Tenant, Landlord may, from time to time, without terminating this Lease, enforce all of its rights and remedies under this Lease, including the right to recover all rent as it becomes due.</w:t>
      </w:r>
    </w:p>
    <w:p>
      <w:pPr>
        <w:spacing w:after="0" w:line="180"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 xml:space="preserve">19.2.3 Landlord shall at all times have the rights and remedies (which shall be cumulative with each other and cumulative and in addition to those rights and remedies available under </w:t>
      </w:r>
      <w:r>
        <w:rPr>
          <w:rFonts w:ascii="Times New Roman" w:cs="Times New Roman" w:eastAsia="Times New Roman" w:hAnsi="Times New Roman"/>
          <w:sz w:val="18"/>
          <w:szCs w:val="18"/>
          <w:u w:val="single" w:color="auto"/>
          <w:color w:val="auto"/>
        </w:rPr>
        <w:t>Sections 19.2.1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19.2.2</w:t>
      </w:r>
      <w:r>
        <w:rPr>
          <w:rFonts w:ascii="Times New Roman" w:cs="Times New Roman" w:eastAsia="Times New Roman" w:hAnsi="Times New Roman"/>
          <w:sz w:val="18"/>
          <w:szCs w:val="18"/>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7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19.3 </w:t>
      </w:r>
      <w:r>
        <w:rPr>
          <w:rFonts w:ascii="Times New Roman" w:cs="Times New Roman" w:eastAsia="Times New Roman" w:hAnsi="Times New Roman"/>
          <w:sz w:val="18"/>
          <w:szCs w:val="18"/>
          <w:b w:val="1"/>
          <w:bCs w:val="1"/>
          <w:u w:val="single" w:color="auto"/>
          <w:color w:val="auto"/>
        </w:rPr>
        <w:t>Subleases of Tenant</w:t>
      </w:r>
      <w:r>
        <w:rPr>
          <w:rFonts w:ascii="Times New Roman" w:cs="Times New Roman" w:eastAsia="Times New Roman" w:hAnsi="Times New Roman"/>
          <w:sz w:val="18"/>
          <w:szCs w:val="18"/>
          <w:color w:val="auto"/>
        </w:rPr>
        <w:t xml:space="preserve">. Whether or not Landlord elects to terminate this Lease on account of any Event of Default by Tenant, as set forth in this </w:t>
      </w:r>
      <w:r>
        <w:rPr>
          <w:rFonts w:ascii="Times New Roman" w:cs="Times New Roman" w:eastAsia="Times New Roman" w:hAnsi="Times New Roman"/>
          <w:sz w:val="18"/>
          <w:szCs w:val="18"/>
          <w:u w:val="single" w:color="auto"/>
          <w:color w:val="auto"/>
        </w:rPr>
        <w:t>Article 19</w:t>
      </w:r>
      <w:r>
        <w:rPr>
          <w:rFonts w:ascii="Times New Roman" w:cs="Times New Roman" w:eastAsia="Times New Roman" w:hAnsi="Times New Roman"/>
          <w:sz w:val="18"/>
          <w:szCs w:val="18"/>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7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b w:val="1"/>
          <w:bCs w:val="1"/>
          <w:u w:val="single" w:color="auto"/>
          <w:color w:val="auto"/>
        </w:rPr>
        <w:t>Efforts to Relet</w:t>
      </w:r>
      <w:r>
        <w:rPr>
          <w:rFonts w:ascii="Times New Roman" w:cs="Times New Roman" w:eastAsia="Times New Roman" w:hAnsi="Times New Roman"/>
          <w:sz w:val="18"/>
          <w:szCs w:val="18"/>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19.5 </w:t>
      </w:r>
      <w:r>
        <w:rPr>
          <w:rFonts w:ascii="Times New Roman" w:cs="Times New Roman" w:eastAsia="Times New Roman" w:hAnsi="Times New Roman"/>
          <w:sz w:val="18"/>
          <w:szCs w:val="18"/>
          <w:b w:val="1"/>
          <w:bCs w:val="1"/>
          <w:u w:val="single" w:color="auto"/>
          <w:color w:val="auto"/>
        </w:rPr>
        <w:t>Landlord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57" w:lineRule="auto"/>
        <w:rPr>
          <w:sz w:val="20"/>
          <w:szCs w:val="20"/>
          <w:color w:val="auto"/>
        </w:rPr>
      </w:pPr>
      <w:r>
        <w:rPr>
          <w:rFonts w:ascii="Times New Roman" w:cs="Times New Roman" w:eastAsia="Times New Roman" w:hAnsi="Times New Roman"/>
          <w:sz w:val="18"/>
          <w:szCs w:val="18"/>
          <w:color w:val="auto"/>
        </w:rPr>
        <w:t xml:space="preserve">19.5.1 </w:t>
      </w:r>
      <w:r>
        <w:rPr>
          <w:rFonts w:ascii="Times New Roman" w:cs="Times New Roman" w:eastAsia="Times New Roman" w:hAnsi="Times New Roman"/>
          <w:sz w:val="18"/>
          <w:szCs w:val="18"/>
          <w:b w:val="1"/>
          <w:bCs w:val="1"/>
          <w:u w:val="single" w:color="auto"/>
          <w:color w:val="auto"/>
        </w:rPr>
        <w:t>In General</w:t>
      </w:r>
      <w:r>
        <w:rPr>
          <w:rFonts w:ascii="Times New Roman" w:cs="Times New Roman" w:eastAsia="Times New Roman" w:hAnsi="Times New Roman"/>
          <w:sz w:val="18"/>
          <w:szCs w:val="18"/>
          <w:color w:val="auto"/>
        </w:rPr>
        <w:t>. Landlord shall be in default under this Lease if Landlord fails to perform any of its obligations hereunder following the Lease Commencement Date and such failure continues for thirty (30) days after Tenant delivers to Landlord written notice specifying such failure; however, if such failure cannot reasonably be cured within such 30-day period, but Landlord commences to cure such failure within such 30-day period and thereafter diligently pursues the curing thereof to completion, then Landlord shall not be in default hereunder or liable for damages therefor. Except where the provisions of this Lease grant Tenant an express, exclusive remedy, or expressly deny Tenant a remedy, Tenant's exclusive remedy for Landlord's failure to perform its obligations under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2" w:name="page163"/>
    <w:bookmarkEnd w:id="162"/>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this Lease shall be limited to damages, injunctive relief, or specific performance; in each case, Landlord's liability or obligations with respect to any such remedy shall be limited as provided in </w:t>
      </w:r>
      <w:r>
        <w:rPr>
          <w:rFonts w:ascii="Times New Roman" w:cs="Times New Roman" w:eastAsia="Times New Roman" w:hAnsi="Times New Roman"/>
          <w:sz w:val="18"/>
          <w:szCs w:val="18"/>
          <w:u w:val="single" w:color="auto"/>
          <w:color w:val="auto"/>
        </w:rPr>
        <w:t>Section 29.13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19.5.2 </w:t>
      </w:r>
      <w:r>
        <w:rPr>
          <w:rFonts w:ascii="Times New Roman" w:cs="Times New Roman" w:eastAsia="Times New Roman" w:hAnsi="Times New Roman"/>
          <w:sz w:val="18"/>
          <w:szCs w:val="18"/>
          <w:b w:val="1"/>
          <w:bCs w:val="1"/>
          <w:u w:val="single" w:color="auto"/>
          <w:color w:val="auto"/>
        </w:rPr>
        <w:t>Abatement of Rent</w:t>
      </w:r>
      <w:r>
        <w:rPr>
          <w:rFonts w:ascii="Times New Roman" w:cs="Times New Roman" w:eastAsia="Times New Roman" w:hAnsi="Times New Roman"/>
          <w:sz w:val="18"/>
          <w:szCs w:val="18"/>
          <w:color w:val="auto"/>
        </w:rPr>
        <w:t xml:space="preserve">. In the event that Tenant is prevented from using, and does not use, the Premises or any portion thereof, as a result of (i) any repair, maintenance or alteration performed by Landlord, or which Landlord failed to perform, after the Lease Commencement Date and required by this Lease, which substantially interferes with Tenant's use of the Premises, or (ii) any failure to provide or allow services, utilities or access to the Premises as required by this Lease (either such set of circumstances as set forth in items (i) or (ii), above, to be known as an " XE "Abatement Event" </w:t>
      </w:r>
      <w:r>
        <w:rPr>
          <w:rFonts w:ascii="Times New Roman" w:cs="Times New Roman" w:eastAsia="Times New Roman" w:hAnsi="Times New Roman"/>
          <w:sz w:val="18"/>
          <w:szCs w:val="18"/>
          <w:b w:val="1"/>
          <w:bCs w:val="1"/>
          <w:color w:val="auto"/>
        </w:rPr>
        <w:t>Abatement Event</w:t>
      </w:r>
      <w:r>
        <w:rPr>
          <w:rFonts w:ascii="Times New Roman" w:cs="Times New Roman" w:eastAsia="Times New Roman" w:hAnsi="Times New Roman"/>
          <w:sz w:val="18"/>
          <w:szCs w:val="18"/>
          <w:color w:val="auto"/>
        </w:rPr>
        <w:t xml:space="preserve">"), then Tenant shall give Landlord notice of such Abatement Event, and if such Abatement Event continues for five (5) consecutive business days after Landlord's receipt of any such notice (the " XE "Eligibility Period" </w:t>
      </w:r>
      <w:r>
        <w:rPr>
          <w:rFonts w:ascii="Times New Roman" w:cs="Times New Roman" w:eastAsia="Times New Roman" w:hAnsi="Times New Roman"/>
          <w:sz w:val="18"/>
          <w:szCs w:val="18"/>
          <w:b w:val="1"/>
          <w:bCs w:val="1"/>
          <w:color w:val="auto"/>
        </w:rPr>
        <w:t>Eligibility Period</w:t>
      </w:r>
      <w:r>
        <w:rPr>
          <w:rFonts w:ascii="Times New Roman" w:cs="Times New Roman" w:eastAsia="Times New Roman" w:hAnsi="Times New Roman"/>
          <w:sz w:val="18"/>
          <w:szCs w:val="18"/>
          <w:color w:val="auto"/>
        </w:rPr>
        <w:t xml:space="preserve">") and either (A) Landlord does not diligently commence and pursue to completion the remedy of such Abatement Event, (B) Landlord receives proceeds from its rental interruption insurance which covers such Abatement Event or (C) Landlord does not complete the remedy of such Abatement Event within ten (10) days from when the Abatement Event commenced, then the Base Rent, Tenant's Share of Direct Expenses shall be abated or reduced, as the case may be, after expiration of the Eligibility Period for such time that Tenant continues to be so prevented from using, for the normal conduct of Tenant's business, the Premises or a portion thereof, in the proportion that the rentable area of the portion of the 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Base Rent and Tenant's Share of Direct Expenses for the entire Premises shall be abated for such time as Tenant continues to be so prevented from using, and does not use, the Premises. If, however, Tenant reoccupies any portion of the Premises during such period, the Rent allocable to such reoccupied portion, based on the proportion that the rentable area of such reoccupied portion of the Premises bears to the total rentable area of the Premises, shall be payable by Tenant from the date Tenant reoccupies such portion of the Premises. To the extent an Abatement Event is caused by an event covered by </w:t>
      </w:r>
      <w:r>
        <w:rPr>
          <w:rFonts w:ascii="Times New Roman" w:cs="Times New Roman" w:eastAsia="Times New Roman" w:hAnsi="Times New Roman"/>
          <w:sz w:val="18"/>
          <w:szCs w:val="18"/>
          <w:u w:val="single" w:color="auto"/>
          <w:color w:val="auto"/>
        </w:rPr>
        <w:t>Articles 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of this Lease, then Tenant's right to abate rent shall be governed by the terms of such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as applicable, and the Eligibility Period shall not be applicable thereto. Such right to abate Base Rent and Tenant's Share of Direct Expenses shall be Tenant's sole and exclusive remedy for rent abatement at law or in equity for an Abatement Event. Except as provided in this </w:t>
      </w:r>
      <w:r>
        <w:rPr>
          <w:rFonts w:ascii="Times New Roman" w:cs="Times New Roman" w:eastAsia="Times New Roman" w:hAnsi="Times New Roman"/>
          <w:sz w:val="18"/>
          <w:szCs w:val="18"/>
          <w:u w:val="single" w:color="auto"/>
          <w:color w:val="auto"/>
        </w:rPr>
        <w:t>Section 19.5.2</w:t>
      </w:r>
      <w:r>
        <w:rPr>
          <w:rFonts w:ascii="Times New Roman" w:cs="Times New Roman" w:eastAsia="Times New Roman" w:hAnsi="Times New Roman"/>
          <w:sz w:val="18"/>
          <w:szCs w:val="18"/>
          <w:color w:val="auto"/>
        </w:rPr>
        <w:t>, nothing contained herein shall be interpreted to mean that Tenant is excused from paying Rent due hereunder.</w:t>
      </w:r>
    </w:p>
    <w:p>
      <w:pPr>
        <w:spacing w:after="0" w:line="191" w:lineRule="exact"/>
        <w:rPr>
          <w:sz w:val="20"/>
          <w:szCs w:val="20"/>
          <w:color w:val="auto"/>
        </w:rPr>
      </w:pPr>
    </w:p>
    <w:p>
      <w:pPr>
        <w:jc w:val="both"/>
        <w:ind w:firstLine="8"/>
        <w:spacing w:after="0" w:line="258" w:lineRule="auto"/>
        <w:tabs>
          <w:tab w:leader="none" w:pos="387"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COVENANT OF QUIET ENJOYMENT. 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183"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LETTER OF CREDIT.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3" w:name="page164"/>
    <w:bookmarkEnd w:id="163"/>
    <w:p>
      <w:pPr>
        <w:jc w:val="both"/>
        <w:ind w:firstLine="749"/>
        <w:spacing w:after="0" w:line="217" w:lineRule="exact"/>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Delivery of Letter of Credit</w:t>
      </w:r>
      <w:r>
        <w:rPr>
          <w:rFonts w:ascii="Times New Roman" w:cs="Times New Roman" w:eastAsia="Times New Roman" w:hAnsi="Times New Roman"/>
          <w:sz w:val="18"/>
          <w:szCs w:val="18"/>
          <w:color w:val="auto"/>
        </w:rPr>
        <w:t>. Tenant shall deliver to Landlord, within ten (10) business days after Tenant's execution of this Lease, an unconditional, clean, irrevocable letter of credit (the "</w:t>
      </w:r>
      <w:r>
        <w:rPr>
          <w:rFonts w:ascii="Times New Roman" w:cs="Times New Roman" w:eastAsia="Times New Roman" w:hAnsi="Times New Roman"/>
          <w:sz w:val="18"/>
          <w:szCs w:val="18"/>
          <w:b w:val="1"/>
          <w:bCs w:val="1"/>
          <w:color w:val="auto"/>
        </w:rPr>
        <w:t>L</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XE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 in the amount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the Lease Summary (the "</w:t>
      </w:r>
      <w:r>
        <w:rPr>
          <w:rFonts w:ascii="Times New Roman" w:cs="Times New Roman" w:eastAsia="Times New Roman" w:hAnsi="Times New Roman"/>
          <w:sz w:val="18"/>
          <w:szCs w:val="18"/>
          <w:b w:val="1"/>
          <w:bCs w:val="1"/>
          <w:color w:val="auto"/>
        </w:rPr>
        <w:t>L</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 Amount</w:t>
      </w:r>
      <w:r>
        <w:rPr>
          <w:rFonts w:ascii="Times New Roman" w:cs="Times New Roman" w:eastAsia="Times New Roman" w:hAnsi="Times New Roman"/>
          <w:sz w:val="18"/>
          <w:szCs w:val="18"/>
          <w:color w:val="auto"/>
        </w:rPr>
        <w:t xml:space="preserve"> XE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Amount" "), which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shall be issued by a money-center, solvent and nationally recognized bank (a bank which accepts deposits, maintains accounts, has a local San Francisco Bay Area office which will negotiate a letter of credit or will accept draw requests by facsimile, and whose deposits are insured by the FDIC) reasonably acceptable to Landlord (such approved, issuing bank being referred to herein as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xml:space="preserve"> XE "Bank" "), which Bank must have a rating from Standard and Poors Corporation of BBB+ or better (or any equivalent rating thereto from any successor or substitute rating service selected by Lessor) and a letter of credit issuer rating from Moody’s Investor Service of A3 or better (or any equivalent rating thereto from any successor rating agency thereto)) (collectively, the "</w:t>
      </w:r>
      <w:r>
        <w:rPr>
          <w:rFonts w:ascii="Times New Roman" w:cs="Times New Roman" w:eastAsia="Times New Roman" w:hAnsi="Times New Roman"/>
          <w:sz w:val="18"/>
          <w:szCs w:val="18"/>
          <w:b w:val="1"/>
          <w:bCs w:val="1"/>
          <w:color w:val="auto"/>
        </w:rPr>
        <w:t>Bank’s Credit Rating Threshold</w:t>
      </w:r>
      <w:r>
        <w:rPr>
          <w:rFonts w:ascii="Times New Roman" w:cs="Times New Roman" w:eastAsia="Times New Roman" w:hAnsi="Times New Roman"/>
          <w:sz w:val="18"/>
          <w:szCs w:val="18"/>
          <w:color w:val="auto"/>
        </w:rPr>
        <w:t xml:space="preserve"> XE "Bank’s Credit Rating Threshold" "), and which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shall be substantially in the form of </w:t>
      </w:r>
      <w:r>
        <w:rPr>
          <w:rFonts w:ascii="Times New Roman" w:cs="Times New Roman" w:eastAsia="Times New Roman" w:hAnsi="Times New Roman"/>
          <w:sz w:val="18"/>
          <w:szCs w:val="18"/>
          <w:b w:val="1"/>
          <w:bCs w:val="1"/>
          <w:u w:val="single" w:color="auto"/>
          <w:color w:val="auto"/>
        </w:rPr>
        <w:t>Exhibit H</w:t>
      </w:r>
      <w:r>
        <w:rPr>
          <w:rFonts w:ascii="Times New Roman" w:cs="Times New Roman" w:eastAsia="Times New Roman" w:hAnsi="Times New Roman"/>
          <w:sz w:val="18"/>
          <w:szCs w:val="18"/>
          <w:color w:val="auto"/>
        </w:rPr>
        <w:t>, attached hereto (with such commercially reasonable modifications required by the issuing bank as are reasonably approved by Landlord).. Landlord hereby agrees that Silicon Valley Bank is an approved “Bank” as of the date of this Lease. Tenant shall pay all expenses, points and/or fees incurred by Tenant in obtaining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shall (i) be "callable" at sight, irrevocable and unconditional, (ii) be maintained in effect, whether through renewal or extension, for the period commencing on the date of this Lease and continuing until the date (the "</w:t>
      </w:r>
      <w:r>
        <w:rPr>
          <w:rFonts w:ascii="Times New Roman" w:cs="Times New Roman" w:eastAsia="Times New Roman" w:hAnsi="Times New Roman"/>
          <w:sz w:val="18"/>
          <w:szCs w:val="18"/>
          <w:b w:val="1"/>
          <w:bCs w:val="1"/>
          <w:color w:val="auto"/>
        </w:rPr>
        <w:t>L</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 Expiration Date</w:t>
      </w:r>
      <w:r>
        <w:rPr>
          <w:rFonts w:ascii="Times New Roman" w:cs="Times New Roman" w:eastAsia="Times New Roman" w:hAnsi="Times New Roman"/>
          <w:sz w:val="18"/>
          <w:szCs w:val="18"/>
          <w:color w:val="auto"/>
        </w:rPr>
        <w:t xml:space="preserve"> XE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Expiration Date" ") that is no less than sixty (60) days after the expiration of the Lease Term as the same may be extended, and Tenant shall deliver a new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or certificate of renewal or extension to Landlord at least thirty (30) days prior to the expiration of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then held by Landlord, without any action whatsoever on the part of Landlord, (iii) be fully assignable by Landlord, its successors and assigns, (iv) permit partial draws and multiple presentations and drawings, and (v) be otherwise subject to the Uniform Customs and Practices for Documentary Credits (1993-Rev), International Chamber of Commerce Publication #500, or the International Standby Practices-ISP 98, International Chamber of Commerce Publication #590. Landlord, or its then managing agent, shall have the right to draw down an amount up to the face amount of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if any of the following shall have occurred or be applicable: (A) such amount is due to Landlord under the terms and conditions of this Lease, and has not been paid within applicable notice and cure periods (or, if Landlord is prevented by law from providing notice, within the period for payment set forth in this Lease), or (B) Tenant has filed a voluntary petition under the U. S. Bankruptcy Code or any state bankruptcy code (collectively,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xml:space="preserve"> XE "Bankruptcy Code" "), or (C) an involuntary petition has been filed against Tenant under the Bankruptcy Code that is not dismissed within thirty (30) days,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will not be renewed or extended through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Expiration Date, and Tenant has not provided a replacement L-C that satisfies the requirements of this Lease at least thirty (30) days prior to such expiration, or (F) Tenant is placed into receivership or conservatorship, or becomes subject to similar proceedings under Federal or State law, or (G) Tenant executes an assignment for the benefit of creditors, or (H) if (1) any of the Bank's credit ratings have been reduced below the Bank's Credit Rating Threshold, or (2) the Bank ceases to satisfy the conditions required by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Tenant has failed to provide Landlord with a replacement letter of credit, conforming in all respects to the requirements of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xml:space="preserve"> (including, but not limited to, the requirements placed on the issuing Bank more particularly set forth in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in the amount of the applicable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Amount, within ten (10) days following Landlord’s written demand therefor (with no other notice or cure or grace period being applicable thereto, notwithstanding anything in this Lease to the contrary) (each of the foregoing being an "</w:t>
      </w:r>
      <w:r>
        <w:rPr>
          <w:rFonts w:ascii="Times New Roman" w:cs="Times New Roman" w:eastAsia="Times New Roman" w:hAnsi="Times New Roman"/>
          <w:sz w:val="18"/>
          <w:szCs w:val="18"/>
          <w:b w:val="1"/>
          <w:bCs w:val="1"/>
          <w:color w:val="auto"/>
        </w:rPr>
        <w:t>L</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 Draw Event</w:t>
      </w:r>
      <w:r>
        <w:rPr>
          <w:rFonts w:ascii="Times New Roman" w:cs="Times New Roman" w:eastAsia="Times New Roman" w:hAnsi="Times New Roman"/>
          <w:sz w:val="18"/>
          <w:szCs w:val="18"/>
          <w:color w:val="auto"/>
        </w:rPr>
        <w:t xml:space="preserve"> XE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Draw Event" ").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shall be honored by the Bank regardless of whether Tenant disputes Landlord's right to draw upon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In addition, in the event the Bank is placed into receivership or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4" w:name="page165"/>
    <w:bookmarkEnd w:id="164"/>
    <w:p>
      <w:pPr>
        <w:jc w:val="both"/>
        <w:spacing w:after="0" w:line="218" w:lineRule="exact"/>
        <w:rPr>
          <w:sz w:val="20"/>
          <w:szCs w:val="20"/>
          <w:color w:val="auto"/>
        </w:rPr>
      </w:pPr>
      <w:r>
        <w:rPr>
          <w:rFonts w:ascii="Times New Roman" w:cs="Times New Roman" w:eastAsia="Times New Roman" w:hAnsi="Times New Roman"/>
          <w:sz w:val="18"/>
          <w:szCs w:val="18"/>
          <w:color w:val="auto"/>
        </w:rPr>
        <w:t>conservatorship by the Federal Deposit Insurance Corporation or any successor or similar entity, then, effective as of the date such receivership or conservatorship occurs, said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shall be deemed to fail to meet the requirements of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and, within ten (10) days following Landlord's notice to Tenant of such receivership or conservatorship (the "</w:t>
      </w:r>
      <w:r>
        <w:rPr>
          <w:rFonts w:ascii="Times New Roman" w:cs="Times New Roman" w:eastAsia="Times New Roman" w:hAnsi="Times New Roman"/>
          <w:sz w:val="18"/>
          <w:szCs w:val="18"/>
          <w:b w:val="1"/>
          <w:bCs w:val="1"/>
          <w:color w:val="auto"/>
        </w:rPr>
        <w:t>L</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C FDIC Replacement Notice</w:t>
      </w:r>
      <w:r>
        <w:rPr>
          <w:rFonts w:ascii="Times New Roman" w:cs="Times New Roman" w:eastAsia="Times New Roman" w:hAnsi="Times New Roman"/>
          <w:sz w:val="18"/>
          <w:szCs w:val="18"/>
          <w:color w:val="auto"/>
        </w:rPr>
        <w:t xml:space="preserve"> XE "</w:t>
      </w:r>
      <w:r>
        <w:rPr>
          <w:rFonts w:ascii="Times New Roman" w:cs="Times New Roman" w:eastAsia="Times New Roman" w:hAnsi="Times New Roman"/>
          <w:sz w:val="18"/>
          <w:szCs w:val="18"/>
          <w:b w:val="1"/>
          <w:bCs w:val="1"/>
          <w:color w:val="auto"/>
        </w:rPr>
        <w:t>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FDIC Replacement Notice" "), Tenant shall replace such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If Tenant fails to replace such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with such conforming, substitute letter of credit pursuant to the terms and conditions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Tenant’s and Bank’s costs incurred with the review of any replacement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which replacement is required pursuant to this Section or is otherwise requested by Tenant. In the event of an assignment by Tenant of its interest in this Lease (and irrespective of whether Landlord's consent is required for such assignment), the acceptance of any replacement or substitute letter of credit by Landlord from the assignee shall be subject to Landlord's prior written approval, in Landlord's reasonable discretion, and the actual and reasonable attorneys’ fees incurred by Landlord in connection with such determination shall be payable by Tenant to Landlord within ten (10) days of billing.</w:t>
      </w:r>
    </w:p>
    <w:p>
      <w:pPr>
        <w:spacing w:after="0" w:line="170"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u w:val="single" w:color="auto"/>
          <w:color w:val="auto"/>
        </w:rPr>
        <w:t>Application of L</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8"/>
          <w:szCs w:val="18"/>
          <w:color w:val="auto"/>
        </w:rPr>
        <w:t>. Tenant hereby acknowledges and agrees that Landlord is entering into this Lease in material reliance upon the ability of Landlord to draw upon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upon the occurrence of any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Draw Event. In the event of any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Draw Event, Landlord may, but without obligation to do so, and without notice to Tenant (except in connection with an L-C Draw Event under </w:t>
      </w:r>
      <w:r>
        <w:rPr>
          <w:rFonts w:ascii="Times New Roman" w:cs="Times New Roman" w:eastAsia="Times New Roman" w:hAnsi="Times New Roman"/>
          <w:sz w:val="18"/>
          <w:szCs w:val="18"/>
          <w:u w:val="single" w:color="auto"/>
          <w:color w:val="auto"/>
        </w:rPr>
        <w:t>Section 21.1(H)</w:t>
      </w:r>
      <w:r>
        <w:rPr>
          <w:rFonts w:ascii="Times New Roman" w:cs="Times New Roman" w:eastAsia="Times New Roman" w:hAnsi="Times New Roman"/>
          <w:sz w:val="18"/>
          <w:szCs w:val="18"/>
          <w:color w:val="auto"/>
        </w:rPr>
        <w:t xml:space="preserve"> above), draw upon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in part or in whole, in the amount necessary to cure any such L-C Draw Event and/or to compensate Landlord for any and all damages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or any portion thereof, by Landlord shall not prevent Landlord from exercising any other right or remedy provided by this Lease or by any applicable law, it being intended that Landlord shall not first be required to proceed against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and such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shall not operate as a limitation on any recovery to which Landlord may otherwise be entitled. Tenant agrees and acknowledges that (i)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constitutes a separate and independent contract between Landlord and the Bank, (ii) Tenant is not a third party beneficiary of such contract, (iii) Tenant has no property interest whatsoever in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and/or the proceeds thereof by application of Section 502(b)(6) of the U. S. Bankruptcy Code or otherwise.</w:t>
      </w:r>
    </w:p>
    <w:p>
      <w:pPr>
        <w:spacing w:after="0" w:line="198"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u w:val="single" w:color="auto"/>
          <w:color w:val="auto"/>
        </w:rPr>
        <w:t>Maintenance of L-C by Tenant</w:t>
      </w:r>
      <w:r>
        <w:rPr>
          <w:rFonts w:ascii="Times New Roman" w:cs="Times New Roman" w:eastAsia="Times New Roman" w:hAnsi="Times New Roman"/>
          <w:sz w:val="18"/>
          <w:szCs w:val="18"/>
          <w:color w:val="auto"/>
        </w:rPr>
        <w:t>. If, as a result of any drawing by Landlord of all or any portion of the L-C, the amount of the L-C shall be less than the L-C Amount, Tenant shall, within ten (10) days thereafter, replenish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or provide Landlord with additional letter(s) of credit in an amount equal to the deficiency, and any such additional letter(s) of credit shall comply with all of the provisions of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Tenant further covenants and warrants that it will neither assign nor encumber the L-C or any part thereof and that neither Landlord nor its successors or assigns will be bound by any such assignment, encumbrance, attempted assignment or attempted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5" w:name="page166"/>
    <w:bookmarkEnd w:id="165"/>
    <w:p>
      <w:pPr>
        <w:jc w:val="both"/>
        <w:spacing w:after="0" w:line="219" w:lineRule="exact"/>
        <w:rPr>
          <w:sz w:val="20"/>
          <w:szCs w:val="20"/>
          <w:color w:val="auto"/>
        </w:rPr>
      </w:pPr>
      <w:r>
        <w:rPr>
          <w:rFonts w:ascii="Times New Roman" w:cs="Times New Roman" w:eastAsia="Times New Roman" w:hAnsi="Times New Roman"/>
          <w:sz w:val="18"/>
          <w:szCs w:val="18"/>
          <w:color w:val="auto"/>
        </w:rPr>
        <w:t>encumbrance. Without limiting the generality of the foregoing, if the L-C expires earlier than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Expiration Date upon the same terms as the expiring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or such other terms as may be acceptable to Landlord in its sole discretion. If Tenant exercises its option to extend the Lease Term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this Lease then, not later than thirty (30) days prior to the commencement of the Option Term, Tenant shall deliver to Landlord a new L-C or certificate of renewal or extension evidencing the L-C Expiration Date as thirty (30) days after the expiration of the Option Term. However, if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is not timely renewed, or if Tenant fails to maintain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in the amount and in accordance with the terms set forth in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Landlord shall have the right to present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 to the Bank in accordance with the terms of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color w:val="auto"/>
        </w:rPr>
        <w:t>,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In the event Landlord elects to exercise its rights as provided above,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 (II) Landlord agrees to pay to Tenant within thirty (30) days after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Expiration Date the amount of any proceeds of the L-C received by Landlord and not applied against any Rent payable by Tenant under this Lease that was not paid when due or used to pay for any losses and/or damages suffered by Landlord as a result of any breach or default by Tenant under this Lease; provided, however, that if prior to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 If Landlord draws on the L-C due to Tenant’s failure to timely renew or provide a replacement L-C, such failure shall not be considered a default under this Lease and Landlord shall return such cash proceeds upon Tenant’s presentation of a replacement L-C that satisfies the requirements of this Lease, subject to reasonable satisfaction of any preference risk to Landlord.</w:t>
      </w:r>
    </w:p>
    <w:p>
      <w:pPr>
        <w:spacing w:after="0" w:line="19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b w:val="1"/>
          <w:bCs w:val="1"/>
          <w:u w:val="single" w:color="auto"/>
          <w:color w:val="auto"/>
        </w:rPr>
        <w:t>Transfer and Encumbrance</w:t>
      </w:r>
      <w:r>
        <w:rPr>
          <w:rFonts w:ascii="Times New Roman" w:cs="Times New Roman" w:eastAsia="Times New Roman" w:hAnsi="Times New Roman"/>
          <w:sz w:val="18"/>
          <w:szCs w:val="18"/>
          <w:color w:val="auto"/>
        </w:rPr>
        <w:t>. The L-C shall also provide that Landlord may, at any time and without notice to Tenant and without first obtaining Tenant's consent thereto, transfer (one or more times) all or any portion of its interest in and to the L-C to another party, person or entity, as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 provided that, Landlord shall have the right (in its sole discretion), but not the obligation, to pay such fees on behalf of Tenant, in which case Tenant shall reimburse Landlord within ten (10) days after Tenant's receipt of an invoice from Landlord therefor.</w:t>
      </w:r>
    </w:p>
    <w:p>
      <w:pPr>
        <w:spacing w:after="0" w:line="164" w:lineRule="exact"/>
        <w:rPr>
          <w:sz w:val="20"/>
          <w:szCs w:val="20"/>
          <w:color w:val="auto"/>
        </w:rPr>
      </w:pPr>
    </w:p>
    <w:p>
      <w:pPr>
        <w:jc w:val="both"/>
        <w:ind w:firstLine="749"/>
        <w:spacing w:after="0" w:line="239" w:lineRule="exact"/>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b w:val="1"/>
          <w:bCs w:val="1"/>
          <w:u w:val="single" w:color="auto"/>
          <w:color w:val="auto"/>
        </w:rPr>
        <w:t>L-C Not a Security Deposit</w:t>
      </w:r>
      <w:r>
        <w:rPr>
          <w:rFonts w:ascii="Times New Roman" w:cs="Times New Roman" w:eastAsia="Times New Roman" w:hAnsi="Times New Roman"/>
          <w:sz w:val="18"/>
          <w:szCs w:val="18"/>
          <w:color w:val="auto"/>
        </w:rPr>
        <w:t>. Landlord and Tenant (1) acknowledge and agree that in no event or circumstance shall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or any renewal thereof or substitute therefor or any proceeds thereof be deemed to be or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66" w:name="page167"/>
    <w:bookmarkEnd w:id="166"/>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treated as a “security deposit” under any law applicable to security deposits in the commercial context, </w:t>
      </w:r>
      <w:r>
        <w:rPr>
          <w:rFonts w:ascii="Times New Roman" w:cs="Times New Roman" w:eastAsia="Times New Roman" w:hAnsi="Times New Roman"/>
          <w:sz w:val="18"/>
          <w:szCs w:val="18"/>
          <w:i w:val="1"/>
          <w:iCs w:val="1"/>
          <w:color w:val="auto"/>
        </w:rPr>
        <w:t>including, but not limited to, Section 1950.7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California Civil Code, as such Section now exists or as it may be hereafter amended or succeeded </w:t>
      </w:r>
      <w:r>
        <w:rPr>
          <w:rFonts w:ascii="Times New Roman" w:cs="Times New Roman" w:eastAsia="Times New Roman" w:hAnsi="Times New Roman"/>
          <w:sz w:val="18"/>
          <w:szCs w:val="18"/>
          <w:color w:val="auto"/>
        </w:rPr>
        <w:t>(the " XE "Security Deposit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Security Deposit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u w:val="single" w:color="auto"/>
          <w:color w:val="auto"/>
        </w:rPr>
        <w:t>Laws"</w:t>
      </w:r>
      <w:r>
        <w:rPr>
          <w:rFonts w:ascii="Times New Roman" w:cs="Times New Roman" w:eastAsia="Times New Roman" w:hAnsi="Times New Roman"/>
          <w:sz w:val="18"/>
          <w:szCs w:val="18"/>
          <w:color w:val="auto"/>
        </w:rPr>
        <w:t>), (2) acknowledge and agree that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(including any renewal thereof or substitute therefor or any proceeds thereof) is not intended to serve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security deposit, and the Security Deposit Laws shall have no applicability or relevancy thereto, and (3) waive any and all rights, duties and obligations that any such party may now, or in the future will, have relating to or arising from the Security Deposit Laws. </w:t>
      </w:r>
      <w:r>
        <w:rPr>
          <w:rFonts w:ascii="Times New Roman" w:cs="Times New Roman" w:eastAsia="Times New Roman" w:hAnsi="Times New Roman"/>
          <w:sz w:val="18"/>
          <w:szCs w:val="18"/>
          <w:i w:val="1"/>
          <w:iCs w:val="1"/>
          <w:color w:val="auto"/>
        </w:rPr>
        <w:t>Tenant hereby</w:t>
      </w:r>
      <w:r>
        <w:rPr>
          <w:rFonts w:ascii="Times New Roman" w:cs="Times New Roman" w:eastAsia="Times New Roman" w:hAnsi="Times New Roman"/>
          <w:sz w:val="18"/>
          <w:szCs w:val="18"/>
          <w:color w:val="auto"/>
        </w:rPr>
        <w:t xml:space="preserve"> irrevocably waives and relinquishes </w:t>
      </w:r>
      <w:r>
        <w:rPr>
          <w:rFonts w:ascii="Times New Roman" w:cs="Times New Roman" w:eastAsia="Times New Roman" w:hAnsi="Times New Roman"/>
          <w:sz w:val="18"/>
          <w:szCs w:val="18"/>
          <w:i w:val="1"/>
          <w:iCs w:val="1"/>
          <w:color w:val="auto"/>
        </w:rPr>
        <w:t>the provisions of Section 1950.7 of the California Civil Code and</w:t>
      </w:r>
      <w:r>
        <w:rPr>
          <w:rFonts w:ascii="Times New Roman" w:cs="Times New Roman" w:eastAsia="Times New Roman" w:hAnsi="Times New Roman"/>
          <w:sz w:val="18"/>
          <w:szCs w:val="18"/>
          <w:color w:val="auto"/>
        </w:rPr>
        <w:t xml:space="preserve"> any successor statute, and all other provisions of law, now or hereafter in effect, </w:t>
      </w:r>
      <w:r>
        <w:rPr>
          <w:rFonts w:ascii="Times New Roman" w:cs="Times New Roman" w:eastAsia="Times New Roman" w:hAnsi="Times New Roman"/>
          <w:sz w:val="18"/>
          <w:szCs w:val="18"/>
          <w:i w:val="1"/>
          <w:iCs w:val="1"/>
          <w:color w:val="auto"/>
        </w:rPr>
        <w:t>which (x) establish the time frame by which a landlord must refund a security deposit under a lease, and/or (y) provide that a landlord may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a security deposit only those sums reasonably necessary to remedy defaults in the payment of rent, to repair damage caused by a tenant or to clean the premises, it being agreed that Landlord may, in addition, claim those sums specified in this </w:t>
      </w:r>
      <w:r>
        <w:rPr>
          <w:rFonts w:ascii="Times New Roman" w:cs="Times New Roman" w:eastAsia="Times New Roman" w:hAnsi="Times New Roman"/>
          <w:sz w:val="18"/>
          <w:szCs w:val="18"/>
          <w:u w:val="single" w:color="auto"/>
          <w:color w:val="auto"/>
        </w:rPr>
        <w:t>Article 21</w:t>
      </w:r>
      <w:r>
        <w:rPr>
          <w:rFonts w:ascii="Times New Roman" w:cs="Times New Roman" w:eastAsia="Times New Roman" w:hAnsi="Times New Roman"/>
          <w:sz w:val="18"/>
          <w:szCs w:val="18"/>
          <w:i w:val="1"/>
          <w:iCs w:val="1"/>
          <w:color w:val="auto"/>
        </w:rPr>
        <w:t xml:space="preserve"> and/or those sums reasonably necessary to (a) compensate Landlord for any loss or damage caused by Tenant's breach of this Lease, including any damages Landlord suffers following termination of this Lease, </w:t>
      </w:r>
      <w:r>
        <w:rPr>
          <w:rFonts w:ascii="Times New Roman" w:cs="Times New Roman" w:eastAsia="Times New Roman" w:hAnsi="Times New Roman"/>
          <w:sz w:val="18"/>
          <w:szCs w:val="18"/>
          <w:color w:val="auto"/>
        </w:rPr>
        <w:t>and/or (b) compensate Landlord for any and all damages arising out of, or incurred in connection with, the termination of this Lease,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limitation, those specifically identified in Section 1951.2 of the California Civil Code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conditional and thereby afford the Bank a justification for failing to honor a drawing upon such L-C in a timely manner. Tenant shall not request or instruct the Bank of any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to refrain from paying sight draft(s) drawn under such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w:t>
      </w:r>
    </w:p>
    <w:p>
      <w:pPr>
        <w:spacing w:after="0" w:line="179"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b w:val="1"/>
          <w:bCs w:val="1"/>
          <w:u w:val="single" w:color="auto"/>
          <w:color w:val="auto"/>
        </w:rPr>
        <w:t>Remedy for Improper Drafts</w:t>
      </w:r>
      <w:r>
        <w:rPr>
          <w:rFonts w:ascii="Times New Roman" w:cs="Times New Roman" w:eastAsia="Times New Roman" w:hAnsi="Times New Roman"/>
          <w:sz w:val="18"/>
          <w:szCs w:val="18"/>
          <w:color w:val="auto"/>
        </w:rPr>
        <w:t>. Tenant's sole remedy in connection with the improper presentment or payment of sight drafts drawn under any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shall be the right to obtain from Landlord a refund of the amount of any sight draft(s) that were improperly presented or the proceeds of which were misapplied, and reasonable actual out-of-pocket attorneys' fees, provided that at the time of such refund, Tenant increases the amount of such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to the amount (if any) then required under the applicable provisions of this Lease. Tenant acknowledges that the presentment of sight drafts drawn under any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or the Bank's payment of sight drafts drawn under such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from the next installment(s) of Base Rent.</w:t>
      </w:r>
    </w:p>
    <w:p>
      <w:pPr>
        <w:spacing w:after="0" w:line="202" w:lineRule="exact"/>
        <w:rPr>
          <w:sz w:val="20"/>
          <w:szCs w:val="20"/>
          <w:color w:val="auto"/>
        </w:rPr>
      </w:pPr>
    </w:p>
    <w:p>
      <w:pPr>
        <w:jc w:val="both"/>
        <w:ind w:firstLine="8"/>
        <w:spacing w:after="0" w:line="258" w:lineRule="auto"/>
        <w:tabs>
          <w:tab w:leader="none" w:pos="3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COMMUNICATIONS AND COMPUTER LINE. Tenant may install, maintain, replace, remove or use any communications or computer wires and cables serving the Premises (collectively, the "</w:t>
      </w:r>
      <w:r>
        <w:rPr>
          <w:rFonts w:ascii="Times New Roman" w:cs="Times New Roman" w:eastAsia="Times New Roman" w:hAnsi="Times New Roman"/>
          <w:sz w:val="18"/>
          <w:szCs w:val="18"/>
          <w:b w:val="1"/>
          <w:bCs w:val="1"/>
          <w:color w:val="auto"/>
        </w:rPr>
        <w:t>Lines XE "</w:t>
      </w:r>
      <w:r>
        <w:rPr>
          <w:rFonts w:ascii="Times New Roman" w:cs="Times New Roman" w:eastAsia="Times New Roman" w:hAnsi="Times New Roman"/>
          <w:sz w:val="18"/>
          <w:szCs w:val="18"/>
          <w:color w:val="auto"/>
        </w:rPr>
        <w:t>Lines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provided that Tenant shall obtain Landlord's prior written consent, use an experienced and qualified contractor approved in writing by Landlord, and comply with all of the other provisions of Articles 7 and 8 of this Lease. Tenant shall pay all costs in connection therewith.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67" w:name="page168"/>
    <w:bookmarkEnd w:id="167"/>
    <w:p>
      <w:pPr>
        <w:ind w:left="360" w:hanging="352"/>
        <w:spacing w:after="0"/>
        <w:tabs>
          <w:tab w:leader="none" w:pos="3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SIGNS.</w:t>
      </w:r>
    </w:p>
    <w:p>
      <w:pPr>
        <w:spacing w:after="0" w:line="221"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b w:val="1"/>
          <w:bCs w:val="1"/>
          <w:u w:val="single" w:color="auto"/>
          <w:color w:val="auto"/>
        </w:rPr>
        <w:t>Signage</w:t>
      </w:r>
      <w:r>
        <w:rPr>
          <w:rFonts w:ascii="Times New Roman" w:cs="Times New Roman" w:eastAsia="Times New Roman" w:hAnsi="Times New Roman"/>
          <w:sz w:val="18"/>
          <w:szCs w:val="18"/>
          <w:color w:val="auto"/>
        </w:rPr>
        <w:t>. Subject to Landlord’s prior written approval, which shall not be unreasonably withheld, conditioned, or delayed, and provided that all signs are comparable to that used by Landlord for the Building and comply with Landlord’s Building standard signage, at Tenant’s sole cost and expense (i) Tenant, may install Tenant identification signage on a Building monument sign as designated by Landlord (if applicable) and Building entrance signage, (ii) if other tenants occupy space on the floor on which the Premises is located, Landlord will provide Tenant's identifying suite entrance signage, and (iii) Landlord will list Tenant’s name in the Building directory, lobby identification signage, and internal directional signage, if applicable. All signage shall conform with Landlord’s Building standard specifications.</w:t>
      </w:r>
    </w:p>
    <w:p>
      <w:pPr>
        <w:spacing w:after="0" w:line="18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b w:val="1"/>
          <w:bCs w:val="1"/>
          <w:u w:val="single" w:color="auto"/>
          <w:color w:val="auto"/>
        </w:rPr>
        <w:t>Prohibited Signage and Other Items</w:t>
      </w:r>
      <w:r>
        <w:rPr>
          <w:rFonts w:ascii="Times New Roman" w:cs="Times New Roman" w:eastAsia="Times New Roman" w:hAnsi="Times New Roman"/>
          <w:sz w:val="18"/>
          <w:szCs w:val="18"/>
          <w:color w:val="auto"/>
        </w:rPr>
        <w:t xml:space="preserve">. Except as otherwise set forth in this </w:t>
      </w:r>
      <w:r>
        <w:rPr>
          <w:rFonts w:ascii="Times New Roman" w:cs="Times New Roman" w:eastAsia="Times New Roman" w:hAnsi="Times New Roman"/>
          <w:sz w:val="18"/>
          <w:szCs w:val="18"/>
          <w:u w:val="single" w:color="auto"/>
          <w:color w:val="auto"/>
        </w:rPr>
        <w:t>Section 23.3</w:t>
      </w:r>
      <w:r>
        <w:rPr>
          <w:rFonts w:ascii="Times New Roman" w:cs="Times New Roman" w:eastAsia="Times New Roman" w:hAnsi="Times New Roman"/>
          <w:sz w:val="18"/>
          <w:szCs w:val="18"/>
          <w:color w:val="auto"/>
        </w:rPr>
        <w:t>, any signs, notices, logos, pictures, names or advertisements which are installed and that have not been separately approved by Landlord may be removed without notice by Landlord at the sole expense of Tenant.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reasonable discretion.</w:t>
      </w:r>
    </w:p>
    <w:p>
      <w:pPr>
        <w:spacing w:after="0" w:line="179" w:lineRule="exact"/>
        <w:rPr>
          <w:sz w:val="20"/>
          <w:szCs w:val="20"/>
          <w:color w:val="auto"/>
        </w:rPr>
      </w:pPr>
    </w:p>
    <w:p>
      <w:pPr>
        <w:jc w:val="both"/>
        <w:ind w:firstLine="8"/>
        <w:spacing w:after="0" w:line="252" w:lineRule="auto"/>
        <w:tabs>
          <w:tab w:leader="none" w:pos="3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Tenant shall not do anything or suffer anything to be done in or about the Premises or the Project which will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way conflict with any law, statute, ordinance or other rule, directive, order, regulation, guideline or requirement of any governmental entity or governmental agency (the “ </w:t>
      </w:r>
      <w:r>
        <w:rPr>
          <w:rFonts w:ascii="Times New Roman" w:cs="Times New Roman" w:eastAsia="Times New Roman" w:hAnsi="Times New Roman"/>
          <w:sz w:val="18"/>
          <w:szCs w:val="18"/>
          <w:b w:val="1"/>
          <w:bCs w:val="1"/>
          <w:color w:val="auto"/>
        </w:rPr>
        <w:t>XE "Applicable Laws" Applicable Laws</w:t>
      </w:r>
      <w:r>
        <w:rPr>
          <w:rFonts w:ascii="Times New Roman" w:cs="Times New Roman" w:eastAsia="Times New Roman" w:hAnsi="Times New Roman"/>
          <w:sz w:val="18"/>
          <w:szCs w:val="18"/>
          <w:color w:val="auto"/>
        </w:rPr>
        <w:t>”) now in force or which may hereafter be enacted or promulgated. At its sole cost and expense, Tenant shall promptly comply with any Applicable Laws which relate to (i) Tenant’s use of the Premises, (ii) any Alterations made by Tenant to the Premises, or (iii) the Building, only to the extent such obligations are triggered by Alterations made by Tenant to the Premises to the extent such Alterations are not normal and customary business improvements. Notwithstanding anything to the contrary set forth in this Lease, (a) in no event shall Tenant be obligated to make any physical alterations to the Premises or the Project, or any portion thereof, in order to comply with Applicable Laws except to the extent caused by (i) voluntary Alterations made by Tenant to the Premises after the Lease Commencement Date or (ii) any unusual non-general office or laboratory use of the Premises by Tenant, and (b) Landlord shall not create, suffer or allow the Project to be encumbered with, and in no event shall Tenant be obligated to comply in any manner with, any new or modified easements, covenants, conditions, restrictions or similar matters that might adversely affect Tenant’s use of or access to or from the Project, including without limitation parking, signage or roof rights.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Tenant shall be responsible, at its sole cost and expense, to make all alterations to the Building and Premises as are required to comply with the governmental rules, regulations, requirements or standards described in this Article 24. The judgment of any court of competent jurisdiction or the admission of Tenant in any judicial action, regardless of whether Landlord is a party thereto, that Tenant has violated any of said governmental measures, shall be conclusive of that fact as between Landlord and Tenant. For purposes of Section 1938 of the California Civil Code, Landlord hereby discloses to Tenant, and Tenant hereby acknowledges, that the Project, Building and Premises have not undergone inspection by a Certified Access Specialist (CASp). As required by Section 1938(e) of the California Civil Code, Landlord hereby states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8" w:name="page169"/>
    <w:bookmarkEnd w:id="168"/>
    <w:p>
      <w:pPr>
        <w:jc w:val="both"/>
        <w:spacing w:after="0" w:line="253" w:lineRule="auto"/>
        <w:rPr>
          <w:sz w:val="20"/>
          <w:szCs w:val="20"/>
          <w:color w:val="auto"/>
        </w:rPr>
      </w:pPr>
      <w:r>
        <w:rPr>
          <w:rFonts w:ascii="Times New Roman" w:cs="Times New Roman" w:eastAsia="Times New Roman" w:hAnsi="Times New Roman"/>
          <w:sz w:val="18"/>
          <w:szCs w:val="18"/>
          <w:color w:val="auto"/>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approved in advance by Landlord; and (b) pursuant to Article 24 below, Tenant, at its cost, is responsible for making any repairs within the Premises to correct violations of construction-related accessibility standards; and, if anything done by or for Tenant in its use or occupancy of the Premises shall require repairs to the Building (outside the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w:t>
      </w:r>
    </w:p>
    <w:p>
      <w:pPr>
        <w:spacing w:after="0" w:line="192"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LATE CHARGES. If any installment of Rent or any other sum due from Tenant shall not be received by Landlord or Landlord's designee within five</w:t>
      </w:r>
    </w:p>
    <w:p>
      <w:pPr>
        <w:spacing w:after="0" w:line="27" w:lineRule="exact"/>
        <w:rPr>
          <w:rFonts w:ascii="Times New Roman" w:cs="Times New Roman" w:eastAsia="Times New Roman" w:hAnsi="Times New Roman"/>
          <w:sz w:val="18"/>
          <w:szCs w:val="18"/>
          <w:b w:val="1"/>
          <w:bCs w:val="1"/>
          <w:color w:val="auto"/>
        </w:rPr>
      </w:pPr>
    </w:p>
    <w:p>
      <w:pPr>
        <w:jc w:val="both"/>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 business days after Tenant's receipt of written notice from Landlord that said amount is due, then Tenant shall pay to Landlord a late charge equal to five percent (5%) of the overdue amount plus any reasonable attorneys' fees incurred by Landlord by reason of Tenant's failure to pay Rent and/or other charges when due hereunder.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four (4) percentage points, and (ii) the highest rate permitted by Applicable Law.</w:t>
      </w:r>
    </w:p>
    <w:p>
      <w:pPr>
        <w:spacing w:after="0" w:line="193"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LANDLORD'S RIGHT TO CURE DEFAULT; PAYMENTS BY TENANT.</w:t>
      </w:r>
    </w:p>
    <w:p>
      <w:pPr>
        <w:spacing w:after="0" w:line="22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b w:val="1"/>
          <w:bCs w:val="1"/>
          <w:u w:val="single" w:color="auto"/>
          <w:color w:val="auto"/>
        </w:rPr>
        <w:t>Landlord's Cure</w:t>
      </w:r>
      <w:r>
        <w:rPr>
          <w:rFonts w:ascii="Times New Roman" w:cs="Times New Roman" w:eastAsia="Times New Roman" w:hAnsi="Times New Roman"/>
          <w:sz w:val="18"/>
          <w:szCs w:val="18"/>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Times New Roman" w:cs="Times New Roman" w:eastAsia="Times New Roman" w:hAnsi="Times New Roman"/>
          <w:sz w:val="18"/>
          <w:szCs w:val="18"/>
          <w:u w:val="single" w:color="auto"/>
          <w:color w:val="auto"/>
        </w:rPr>
        <w:t>Section 19.1.2</w:t>
      </w:r>
      <w:r>
        <w:rPr>
          <w:rFonts w:ascii="Times New Roman" w:cs="Times New Roman" w:eastAsia="Times New Roman" w:hAnsi="Times New Roman"/>
          <w:sz w:val="18"/>
          <w:szCs w:val="18"/>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b w:val="1"/>
          <w:bCs w:val="1"/>
          <w:u w:val="single" w:color="auto"/>
          <w:color w:val="auto"/>
        </w:rPr>
        <w:t>Tenant's Reimbursement</w:t>
      </w:r>
      <w:r>
        <w:rPr>
          <w:rFonts w:ascii="Times New Roman" w:cs="Times New Roman" w:eastAsia="Times New Roman" w:hAnsi="Times New Roman"/>
          <w:sz w:val="18"/>
          <w:szCs w:val="18"/>
          <w:color w:val="auto"/>
        </w:rPr>
        <w:t>. Except as may be specifically provided to the contrary in this Lease, Tenant shall pay to Landlord, within thirty</w:t>
      </w:r>
    </w:p>
    <w:p>
      <w:pPr>
        <w:spacing w:after="0" w:line="31" w:lineRule="exact"/>
        <w:rPr>
          <w:sz w:val="20"/>
          <w:szCs w:val="20"/>
          <w:color w:val="auto"/>
        </w:rPr>
      </w:pPr>
    </w:p>
    <w:p>
      <w:pPr>
        <w:jc w:val="both"/>
        <w:ind w:firstLine="8"/>
        <w:spacing w:after="0" w:line="255" w:lineRule="auto"/>
        <w:tabs>
          <w:tab w:leader="none" w:pos="3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delivery by Landlord to Tenant of statements therefor: (i) sums equal to expenditures reasonably made and obligations incurred by Landlord in connection with the remedying by Landlord of Tenant's defaults pursuant to the provisions of </w:t>
      </w:r>
      <w:r>
        <w:rPr>
          <w:rFonts w:ascii="Times New Roman" w:cs="Times New Roman" w:eastAsia="Times New Roman" w:hAnsi="Times New Roman"/>
          <w:sz w:val="18"/>
          <w:szCs w:val="18"/>
          <w:u w:val="single" w:color="auto"/>
          <w:color w:val="auto"/>
        </w:rPr>
        <w:t>Section 26.1</w:t>
      </w:r>
      <w:r>
        <w:rPr>
          <w:rFonts w:ascii="Times New Roman" w:cs="Times New Roman" w:eastAsia="Times New Roman" w:hAnsi="Times New Roman"/>
          <w:sz w:val="18"/>
          <w:szCs w:val="18"/>
          <w:color w:val="auto"/>
        </w:rPr>
        <w:t xml:space="preserve">; (ii) sums equal to all losses, costs, liabilities, damages and expenses referred to in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Lease; and (iii) sums equal to all expenditures made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9" w:name="page170"/>
    <w:bookmarkEnd w:id="16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Times New Roman" w:cs="Times New Roman" w:eastAsia="Times New Roman" w:hAnsi="Times New Roman"/>
          <w:sz w:val="18"/>
          <w:szCs w:val="18"/>
          <w:u w:val="single" w:color="auto"/>
          <w:color w:val="auto"/>
        </w:rPr>
        <w:t>Section 26.2</w:t>
      </w:r>
      <w:r>
        <w:rPr>
          <w:rFonts w:ascii="Times New Roman" w:cs="Times New Roman" w:eastAsia="Times New Roman" w:hAnsi="Times New Roman"/>
          <w:sz w:val="18"/>
          <w:szCs w:val="18"/>
          <w:color w:val="auto"/>
        </w:rPr>
        <w:t xml:space="preserve"> shall survive the expiration or sooner termination of the Lease Term.</w:t>
      </w:r>
    </w:p>
    <w:p>
      <w:pPr>
        <w:spacing w:after="0" w:line="176" w:lineRule="exact"/>
        <w:rPr>
          <w:sz w:val="20"/>
          <w:szCs w:val="20"/>
          <w:color w:val="auto"/>
        </w:rPr>
      </w:pPr>
    </w:p>
    <w:p>
      <w:pPr>
        <w:jc w:val="both"/>
        <w:ind w:firstLine="8"/>
        <w:spacing w:after="0" w:line="254" w:lineRule="auto"/>
        <w:tabs>
          <w:tab w:leader="none" w:pos="3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ENTRY BY LANDLORD. Landlord reserves the right at all reasonable times and upon at least twenty-four (24) hours’ prior notice to Tenant (except in the case of an emergency) to enter the Premises to (i) inspect them; (ii) show the Premises to prospective purchasers, or to current or prospective mortgagees, ground or underlying lessors or insurers or, during the last twelve (12) months of the Lease Term, to prospective tenants; (iii) post notices of nonresponsibility (to the extent applicable pursuant to then Applicable Law); or (iv) alter, improve or repair the Premises or the Building, or for structural alterations, repairs or improvements to the Building or the Building's systems and equipment. Landlord may make any such entries without the abatement of Rent, except as otherwise provided in this Lease, and may take such reasonable steps as required to accomplish the stated purposes.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3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TENANT PARKING. Tenant shall have the right to use, at no additional charge the amount of parking set forth in Section 9 of the Summary, in the on-site parking facility (or facilities) which serve the Project. Tenant shall abide by all reasonable rules and regulations which are prescribed from time to time for the orderly operation and use of the parking facility where the parking passes are located (including any sticker or other identification system established by Landlord and the prohibition of vehicle repair and maintenance activities in the parking facilities), and shall cooperate in seeing that 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w:t>
      </w:r>
    </w:p>
    <w:p>
      <w:pPr>
        <w:spacing w:after="0" w:line="19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MISCELLANEOUS PROVISIONS.</w:t>
      </w:r>
    </w:p>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b w:val="1"/>
          <w:bCs w:val="1"/>
          <w:u w:val="single" w:color="auto"/>
          <w:color w:val="auto"/>
        </w:rPr>
        <w:t>Terms; Captions</w:t>
      </w:r>
      <w:r>
        <w:rPr>
          <w:rFonts w:ascii="Times New Roman" w:cs="Times New Roman" w:eastAsia="Times New Roman" w:hAnsi="Times New Roman"/>
          <w:sz w:val="18"/>
          <w:szCs w:val="18"/>
          <w:color w:val="auto"/>
        </w:rPr>
        <w:t xml:space="preserve">. The words " XE "Landlord"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xml:space="preserve">" and " XE "Tenant"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7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29.2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of this Lease.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0" w:name="page171"/>
    <w:bookmarkEnd w:id="170"/>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29.3 </w:t>
      </w:r>
      <w:r>
        <w:rPr>
          <w:rFonts w:ascii="Times New Roman" w:cs="Times New Roman" w:eastAsia="Times New Roman" w:hAnsi="Times New Roman"/>
          <w:sz w:val="18"/>
          <w:szCs w:val="18"/>
          <w:b w:val="1"/>
          <w:bCs w:val="1"/>
          <w:u w:val="single" w:color="auto"/>
          <w:color w:val="auto"/>
        </w:rPr>
        <w:t>No Air Rights</w:t>
      </w:r>
      <w:r>
        <w:rPr>
          <w:rFonts w:ascii="Times New Roman" w:cs="Times New Roman" w:eastAsia="Times New Roman" w:hAnsi="Times New Roman"/>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7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29.4 </w:t>
      </w:r>
      <w:r>
        <w:rPr>
          <w:rFonts w:ascii="Times New Roman" w:cs="Times New Roman" w:eastAsia="Times New Roman" w:hAnsi="Times New Roman"/>
          <w:sz w:val="18"/>
          <w:szCs w:val="18"/>
          <w:b w:val="1"/>
          <w:bCs w:val="1"/>
          <w:u w:val="single" w:color="auto"/>
          <w:color w:val="auto"/>
        </w:rPr>
        <w:t>Modification of Lease</w:t>
      </w:r>
      <w:r>
        <w:rPr>
          <w:rFonts w:ascii="Times New Roman" w:cs="Times New Roman" w:eastAsia="Times New Roman" w:hAnsi="Times New Roman"/>
          <w:sz w:val="18"/>
          <w:szCs w:val="18"/>
          <w:color w:val="auto"/>
        </w:rPr>
        <w:t>. Should any current or prospective mortgagee or ground lessor for the Building or Project require a modification of this Lease, which modification will not cause an increased cost or expense to Tenant or in any other way change the rights and obligations of Tenant hereunder, then and in such event, Tenant agrees that this Lease may be so modified and agrees to execute whatever commercially reasonable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spacing w:after="0" w:line="18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29.5 </w:t>
      </w:r>
      <w:r>
        <w:rPr>
          <w:rFonts w:ascii="Times New Roman" w:cs="Times New Roman" w:eastAsia="Times New Roman" w:hAnsi="Times New Roman"/>
          <w:sz w:val="18"/>
          <w:szCs w:val="18"/>
          <w:b w:val="1"/>
          <w:bCs w:val="1"/>
          <w:u w:val="single" w:color="auto"/>
          <w:color w:val="auto"/>
        </w:rPr>
        <w:t>Transfer of Landlord's Interest</w:t>
      </w:r>
      <w:r>
        <w:rPr>
          <w:rFonts w:ascii="Times New Roman" w:cs="Times New Roman" w:eastAsia="Times New Roman" w:hAnsi="Times New Roman"/>
          <w:sz w:val="18"/>
          <w:szCs w:val="18"/>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arising after the date of transfer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29.6 </w:t>
      </w:r>
      <w:r>
        <w:rPr>
          <w:rFonts w:ascii="Times New Roman" w:cs="Times New Roman" w:eastAsia="Times New Roman" w:hAnsi="Times New Roman"/>
          <w:sz w:val="18"/>
          <w:szCs w:val="18"/>
          <w:b w:val="1"/>
          <w:bCs w:val="1"/>
          <w:u w:val="single" w:color="auto"/>
          <w:color w:val="auto"/>
        </w:rPr>
        <w:t>Prohibition Against Recording</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29.4</w:t>
      </w:r>
      <w:r>
        <w:rPr>
          <w:rFonts w:ascii="Times New Roman" w:cs="Times New Roman" w:eastAsia="Times New Roman" w:hAnsi="Times New Roman"/>
          <w:sz w:val="18"/>
          <w:szCs w:val="18"/>
          <w:color w:val="auto"/>
        </w:rPr>
        <w:t xml:space="preserve"> of this Lease, neither this Lease, nor any memorandum, affidavit or other writing with respect thereto, shall be recorded by Tenant or by anyone acting through, under or on behalf of Tenant.</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29.7 </w:t>
      </w:r>
      <w:r>
        <w:rPr>
          <w:rFonts w:ascii="Times New Roman" w:cs="Times New Roman" w:eastAsia="Times New Roman" w:hAnsi="Times New Roman"/>
          <w:sz w:val="18"/>
          <w:szCs w:val="18"/>
          <w:b w:val="1"/>
          <w:bCs w:val="1"/>
          <w:u w:val="single" w:color="auto"/>
          <w:color w:val="auto"/>
        </w:rPr>
        <w:t>Landlord's Title</w:t>
      </w:r>
      <w:r>
        <w:rPr>
          <w:rFonts w:ascii="Times New Roman" w:cs="Times New Roman" w:eastAsia="Times New Roman" w:hAnsi="Times New Roman"/>
          <w:sz w:val="18"/>
          <w:szCs w:val="18"/>
          <w:color w:val="auto"/>
        </w:rPr>
        <w:t>. Landlord's title is and always shall be paramount to the title of Tenant. Nothing herein contained shall empower Tenant to do any act which can, shall or may encumber the title of Landlord.</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29.8 </w:t>
      </w:r>
      <w:r>
        <w:rPr>
          <w:rFonts w:ascii="Times New Roman" w:cs="Times New Roman" w:eastAsia="Times New Roman" w:hAnsi="Times New Roman"/>
          <w:sz w:val="18"/>
          <w:szCs w:val="18"/>
          <w:b w:val="1"/>
          <w:bCs w:val="1"/>
          <w:u w:val="single" w:color="auto"/>
          <w:color w:val="auto"/>
        </w:rPr>
        <w:t>Relationship of Parties</w:t>
      </w:r>
      <w:r>
        <w:rPr>
          <w:rFonts w:ascii="Times New Roman" w:cs="Times New Roman" w:eastAsia="Times New Roman" w:hAnsi="Times New Roman"/>
          <w:sz w:val="18"/>
          <w:szCs w:val="18"/>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29.9 </w:t>
      </w:r>
      <w:r>
        <w:rPr>
          <w:rFonts w:ascii="Times New Roman" w:cs="Times New Roman" w:eastAsia="Times New Roman" w:hAnsi="Times New Roman"/>
          <w:sz w:val="18"/>
          <w:szCs w:val="18"/>
          <w:b w:val="1"/>
          <w:bCs w:val="1"/>
          <w:u w:val="single" w:color="auto"/>
          <w:color w:val="auto"/>
        </w:rPr>
        <w:t>Application of Payments</w:t>
      </w:r>
      <w:r>
        <w:rPr>
          <w:rFonts w:ascii="Times New Roman" w:cs="Times New Roman" w:eastAsia="Times New Roman" w:hAnsi="Times New Roman"/>
          <w:sz w:val="18"/>
          <w:szCs w:val="18"/>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29.10 </w:t>
      </w:r>
      <w:r>
        <w:rPr>
          <w:rFonts w:ascii="Times New Roman" w:cs="Times New Roman" w:eastAsia="Times New Roman" w:hAnsi="Times New Roman"/>
          <w:sz w:val="18"/>
          <w:szCs w:val="18"/>
          <w:b w:val="1"/>
          <w:bCs w:val="1"/>
          <w:u w:val="single" w:color="auto"/>
          <w:color w:val="auto"/>
        </w:rPr>
        <w:t>Time of Essence</w:t>
      </w:r>
      <w:r>
        <w:rPr>
          <w:rFonts w:ascii="Times New Roman" w:cs="Times New Roman" w:eastAsia="Times New Roman" w:hAnsi="Times New Roman"/>
          <w:sz w:val="18"/>
          <w:szCs w:val="18"/>
          <w:color w:val="auto"/>
        </w:rPr>
        <w:t>. Time is of the essence with respect to the performance of every provision of this Lease in which time of performance is a factor.</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29.11 </w:t>
      </w:r>
      <w:r>
        <w:rPr>
          <w:rFonts w:ascii="Times New Roman" w:cs="Times New Roman" w:eastAsia="Times New Roman" w:hAnsi="Times New Roman"/>
          <w:sz w:val="18"/>
          <w:szCs w:val="18"/>
          <w:b w:val="1"/>
          <w:bCs w:val="1"/>
          <w:u w:val="single" w:color="auto"/>
          <w:color w:val="auto"/>
        </w:rPr>
        <w:t>Partial Invalidity</w:t>
      </w:r>
      <w:r>
        <w:rPr>
          <w:rFonts w:ascii="Times New Roman" w:cs="Times New Roman" w:eastAsia="Times New Roman" w:hAnsi="Times New Roman"/>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thereby, and each and every other term, provision and condition of this Lease shall be valid and enforceable to the fullest extent possible permitted by law.</w:t>
      </w:r>
    </w:p>
    <w:p>
      <w:pPr>
        <w:spacing w:after="0" w:line="22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29.12 </w:t>
      </w:r>
      <w:r>
        <w:rPr>
          <w:rFonts w:ascii="Times New Roman" w:cs="Times New Roman" w:eastAsia="Times New Roman" w:hAnsi="Times New Roman"/>
          <w:sz w:val="18"/>
          <w:szCs w:val="18"/>
          <w:b w:val="1"/>
          <w:bCs w:val="1"/>
          <w:u w:val="single" w:color="auto"/>
          <w:color w:val="auto"/>
        </w:rPr>
        <w:t>No Warranty</w:t>
      </w:r>
      <w:r>
        <w:rPr>
          <w:rFonts w:ascii="Times New Roman" w:cs="Times New Roman" w:eastAsia="Times New Roman" w:hAnsi="Times New Roman"/>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7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29.13 </w:t>
      </w:r>
      <w:r>
        <w:rPr>
          <w:rFonts w:ascii="Times New Roman" w:cs="Times New Roman" w:eastAsia="Times New Roman" w:hAnsi="Times New Roman"/>
          <w:sz w:val="18"/>
          <w:szCs w:val="18"/>
          <w:b w:val="1"/>
          <w:bCs w:val="1"/>
          <w:u w:val="single" w:color="auto"/>
          <w:color w:val="auto"/>
        </w:rPr>
        <w:t>Landlord Exculpation</w:t>
      </w:r>
      <w:r>
        <w:rPr>
          <w:rFonts w:ascii="Times New Roman" w:cs="Times New Roman" w:eastAsia="Times New Roman" w:hAnsi="Times New Roman"/>
          <w:sz w:val="18"/>
          <w:szCs w:val="18"/>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lesser of (a) the interest of Landlord in the Building or (b) the equity interest Landlord would have in the Building if the Building were encumbered by third-party debt in an amount equal to eighty percent (80%) of the value of the Building (as such value is reasonably determined by Landlord), in either case including sales or insurance proceeds received by Landlord or the Landlord Parties in connection with the Project, Building or Premises.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cs="Times New Roman" w:eastAsia="Times New Roman" w:hAnsi="Times New Roman"/>
          <w:sz w:val="18"/>
          <w:szCs w:val="18"/>
          <w:u w:val="single" w:color="auto"/>
          <w:color w:val="auto"/>
        </w:rPr>
        <w:t>Section 29.13</w:t>
      </w:r>
      <w:r>
        <w:rPr>
          <w:rFonts w:ascii="Times New Roman" w:cs="Times New Roman" w:eastAsia="Times New Roman" w:hAnsi="Times New Roman"/>
          <w:sz w:val="18"/>
          <w:szCs w:val="18"/>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except with respect to bodily injury or property damage to the extent caused by the negligence or willful misconduct of Landlord or Landlord Parties,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 Neither Landlord nor Tenant shall have any liability to the other for consequential, indirect, special, or punitive damages pursuant to this Lease.</w:t>
      </w:r>
    </w:p>
    <w:p>
      <w:pPr>
        <w:spacing w:after="0" w:line="19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29.14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29.15 </w:t>
      </w:r>
      <w:r>
        <w:rPr>
          <w:rFonts w:ascii="Times New Roman" w:cs="Times New Roman" w:eastAsia="Times New Roman" w:hAnsi="Times New Roman"/>
          <w:sz w:val="18"/>
          <w:szCs w:val="18"/>
          <w:b w:val="1"/>
          <w:bCs w:val="1"/>
          <w:u w:val="single" w:color="auto"/>
          <w:color w:val="auto"/>
        </w:rPr>
        <w:t>Right to Lease</w:t>
      </w:r>
      <w:r>
        <w:rPr>
          <w:rFonts w:ascii="Times New Roman" w:cs="Times New Roman" w:eastAsia="Times New Roman" w:hAnsi="Times New Roman"/>
          <w:sz w:val="18"/>
          <w:szCs w:val="18"/>
          <w:color w:val="auto"/>
        </w:rPr>
        <w:t>. Landlord reserves the absolute right to effect such other tenancies in the Project as Landlord in the exercise of its sole business judgment shall determine to best promote the interests of the Building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2" w:name="page173"/>
    <w:bookmarkEnd w:id="172"/>
    <w:p>
      <w:pPr>
        <w:jc w:val="both"/>
        <w:spacing w:after="0" w:line="282" w:lineRule="auto"/>
        <w:rPr>
          <w:sz w:val="20"/>
          <w:szCs w:val="20"/>
          <w:color w:val="auto"/>
        </w:rPr>
      </w:pPr>
      <w:r>
        <w:rPr>
          <w:rFonts w:ascii="Times New Roman" w:cs="Times New Roman" w:eastAsia="Times New Roman" w:hAnsi="Times New Roman"/>
          <w:sz w:val="18"/>
          <w:szCs w:val="18"/>
          <w:color w:val="auto"/>
        </w:rPr>
        <w:t>or Project. Tenant does not rely on the fact, nor does Landlord represent, that any specific tenant or type or number of tenants shall, during the Lease Term, occupy any space in the Building or Project.</w:t>
      </w:r>
    </w:p>
    <w:p>
      <w:pPr>
        <w:spacing w:after="0" w:line="15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29.16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xml:space="preserve">. Notwithstanding anything to the contrary contained in this Lease, any prevention, delay or stoppage due to strikes, lockouts, labor disputes, acts of God, acts of war, terrorist acts, inability to obtain services, labor, or materials or reasonable substitutes therefor, governmental actions, civil commotions, Casualty, actual or threatened public health emergency (including, without limitation, epidemic, pandemic, famine, disease, plague, quarantine, and other significant public health risk), governmental edicts, actions, declarations or quarantines by a governmental entity or health organization (including, without limitation, any shelter-in-place orders, stay at home orders or any restrictions on travel related thereto that preclude Tenant, its agents, contractors or its employees from accessing the Premises, national or regional emergency), breaches in cybersecurity, and other causes beyond the reasonable control of the party obligated to perform, regardless of whether such other causes are (i) foreseeable or unforeseeable or (ii) related to the specifically enumerated events in this paragraph (collectively, a " XE "Force Majeure"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xml:space="preserve">"), shall excuse the performance of such party for a period equal to any such prevention, delay or stoppage. If this Lease specifies a time period for performance of an obligation of either party, that time period shall be extended by the period of any delay in such party's performance caused by a Force Majeure. Notwithstanding anything to the contrary in this Lease, no event of Force Majeure shall (i) excuse Tenant's obligations to pay Rent and other charges due pursuant to this Lease, (ii) be grounds for Tenant to abate any portion of Rent due pursuant to this Lease, or entitle either party to terminate this Lease, except as allowed pursuant to </w:t>
      </w:r>
      <w:r>
        <w:rPr>
          <w:rFonts w:ascii="Times New Roman" w:cs="Times New Roman" w:eastAsia="Times New Roman" w:hAnsi="Times New Roman"/>
          <w:sz w:val="18"/>
          <w:szCs w:val="18"/>
          <w:u w:val="single" w:color="auto"/>
          <w:color w:val="auto"/>
        </w:rPr>
        <w:t>Articles 11 and 13</w:t>
      </w:r>
      <w:r>
        <w:rPr>
          <w:rFonts w:ascii="Times New Roman" w:cs="Times New Roman" w:eastAsia="Times New Roman" w:hAnsi="Times New Roman"/>
          <w:sz w:val="18"/>
          <w:szCs w:val="18"/>
          <w:color w:val="auto"/>
        </w:rPr>
        <w:t xml:space="preserve"> of this Lease, (iii) excuse Tenant's obligations under </w:t>
      </w:r>
      <w:r>
        <w:rPr>
          <w:rFonts w:ascii="Times New Roman" w:cs="Times New Roman" w:eastAsia="Times New Roman" w:hAnsi="Times New Roman"/>
          <w:sz w:val="18"/>
          <w:szCs w:val="18"/>
          <w:u w:val="single" w:color="auto"/>
          <w:color w:val="auto"/>
        </w:rPr>
        <w:t>Articles 5 and 24</w:t>
      </w:r>
      <w:r>
        <w:rPr>
          <w:rFonts w:ascii="Times New Roman" w:cs="Times New Roman" w:eastAsia="Times New Roman" w:hAnsi="Times New Roman"/>
          <w:sz w:val="18"/>
          <w:szCs w:val="18"/>
          <w:color w:val="auto"/>
        </w:rPr>
        <w:t xml:space="preserve"> of this Lease.</w:t>
      </w:r>
    </w:p>
    <w:p>
      <w:pPr>
        <w:spacing w:after="0" w:line="187"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color w:val="auto"/>
        </w:rPr>
        <w:t xml:space="preserve">29.17 </w:t>
      </w:r>
      <w:r>
        <w:rPr>
          <w:rFonts w:ascii="Times New Roman" w:cs="Times New Roman" w:eastAsia="Times New Roman" w:hAnsi="Times New Roman"/>
          <w:sz w:val="18"/>
          <w:szCs w:val="18"/>
          <w:b w:val="1"/>
          <w:bCs w:val="1"/>
          <w:u w:val="single" w:color="auto"/>
          <w:color w:val="auto"/>
        </w:rPr>
        <w:t>Waiver of Redemption by Tenant</w:t>
      </w:r>
      <w:r>
        <w:rPr>
          <w:rFonts w:ascii="Times New Roman" w:cs="Times New Roman" w:eastAsia="Times New Roman" w:hAnsi="Times New Roman"/>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17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29.18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All notices, demands, statements, designations, approvals or other communications (collectively, " XE "Notices"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given or required to be given by either party to the other hereunder or by law shall be in writing, shall be (A) sent by United States certified or registered mail, postage prepaid, return receipt requested (" XE "Mail" </w:t>
      </w:r>
      <w:r>
        <w:rPr>
          <w:rFonts w:ascii="Times New Roman" w:cs="Times New Roman" w:eastAsia="Times New Roman" w:hAnsi="Times New Roman"/>
          <w:sz w:val="18"/>
          <w:szCs w:val="18"/>
          <w:b w:val="1"/>
          <w:bCs w:val="1"/>
          <w:color w:val="auto"/>
        </w:rPr>
        <w:t>Mail</w:t>
      </w:r>
      <w:r>
        <w:rPr>
          <w:rFonts w:ascii="Times New Roman" w:cs="Times New Roman" w:eastAsia="Times New Roman" w:hAnsi="Times New Roman"/>
          <w:sz w:val="18"/>
          <w:szCs w:val="18"/>
          <w:color w:val="auto"/>
        </w:rPr>
        <w:t xml:space="preserve">"), (B) transmitted by email, if such email is promptly followed by a Notice sent pursuant to Sections 29.18(A) or (C), (C) delivered by a nationally recognized overnight courier, or (D) delivered personally. Any Notice shall be sent, transmitted, or delivered, as the case may be, to Tenant at the appropriate address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days after the date it is posted if sent by Mail, (ii) the date the email is transmitted, (iii) the date the overnight courier delivery is made, or (iv) the date personal delivery is made. As of the date of this Lease, any Notices to Landlord must be sent, transmitted, or delivered, as the case may be, to the following addresses:</w:t>
      </w:r>
    </w:p>
    <w:p>
      <w:pPr>
        <w:spacing w:after="0" w:line="19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HCP Life Science REIT, INC.</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c/o Healthpeak Properties, Inc.</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5050 S Syracuse St. #800</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Denver, CO 80237</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3" w:name="page174"/>
    <w:bookmarkEnd w:id="173"/>
    <w:p>
      <w:pPr>
        <w:ind w:left="300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Email: LSE_Legal@healthpeak.com</w:t>
      </w:r>
    </w:p>
    <w:p>
      <w:pPr>
        <w:spacing w:after="0" w:line="2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Allen Matkins Leck Gamble Mallory &amp; Natsis LLP</w:t>
      </w:r>
    </w:p>
    <w:p>
      <w:pPr>
        <w:spacing w:after="0" w:line="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1901 Avenue of the Stars, Suite 1800</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Attention: Anton N. Natsis, Esq.</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Email: tnatsis@allenmatkins.com</w:t>
      </w:r>
    </w:p>
    <w:p>
      <w:pPr>
        <w:spacing w:after="0" w:line="203"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29.19</w:t>
      </w:r>
      <w:r>
        <w:rPr>
          <w:sz w:val="20"/>
          <w:szCs w:val="20"/>
          <w:color w:val="auto"/>
        </w:rPr>
        <w:tab/>
      </w:r>
      <w:r>
        <w:rPr>
          <w:rFonts w:ascii="Times New Roman" w:cs="Times New Roman" w:eastAsia="Times New Roman" w:hAnsi="Times New Roman"/>
          <w:sz w:val="18"/>
          <w:szCs w:val="18"/>
          <w:b w:val="1"/>
          <w:bCs w:val="1"/>
          <w:u w:val="single" w:color="auto"/>
          <w:color w:val="auto"/>
        </w:rPr>
        <w:t>Joint and Several</w:t>
      </w:r>
      <w:r>
        <w:rPr>
          <w:rFonts w:ascii="Times New Roman" w:cs="Times New Roman" w:eastAsia="Times New Roman" w:hAnsi="Times New Roman"/>
          <w:sz w:val="18"/>
          <w:szCs w:val="18"/>
          <w:color w:val="auto"/>
        </w:rPr>
        <w:t>. If there is more than one tenant, the obligations imposed upon Tenant under this Lease shall be joint and several.</w:t>
      </w:r>
    </w:p>
    <w:p>
      <w:pPr>
        <w:spacing w:after="0" w:line="22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29.20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If Tenant is a corporation, trust or partnership, each individual executing this Lease on behalf of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 In such event, Tenant shall, within ten (10)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the State of California.</w:t>
      </w:r>
    </w:p>
    <w:p>
      <w:pPr>
        <w:spacing w:after="0" w:line="17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29.21 </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7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29.22 </w:t>
      </w:r>
      <w:r>
        <w:rPr>
          <w:rFonts w:ascii="Times New Roman" w:cs="Times New Roman" w:eastAsia="Times New Roman" w:hAnsi="Times New Roman"/>
          <w:sz w:val="18"/>
          <w:szCs w:val="18"/>
          <w:b w:val="1"/>
          <w:bCs w:val="1"/>
          <w:u w:val="single" w:color="auto"/>
          <w:color w:val="auto"/>
        </w:rPr>
        <w:t>Governing Law; WAIVER OF TRIAL BY JURY; JUDICIAL REFERENCE</w:t>
      </w:r>
      <w:r>
        <w:rPr>
          <w:rFonts w:ascii="Times New Roman" w:cs="Times New Roman" w:eastAsia="Times New Roman" w:hAnsi="Times New Roman"/>
          <w:sz w:val="18"/>
          <w:szCs w:val="18"/>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4" w:name="page175"/>
    <w:bookmarkEnd w:id="174"/>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INDEPENDENT ACTION AT LAW. IF THE JURY WAIVER PROVISIONS OF THIS SECTION 29.22 ARE NOT ENFORCEABLE UNDER CALIFORNIA LAW, THEN THE FOLLOWING PROVISIONS SHALL APPLY. IT IS THE DESIRE AND INTENTION OF THE PARTIES TO AGREE UPON A MECHANISM AND PROCEDURE UNDER WHICH CONTROVERSIES AND DISPUTES ARISING OUT OF THIS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THIS LEASE, TENANT'S USE OR OCCUPANCY OF THE PREMISES AND/OR ANY CLAIM OF INJURY OR DAMAGE, WHETHER SOUNDING IN CONTRACT, TORT, OR OTHERWISE, SHALL BE HEARD AND RESOLVED BY A REFEREE UNDER THE PROVISIONS OF THE CALIFORNIA CODE OF CIVIL PROCEDURE, SECTIONS 638 — 645.1, INCLUSIVE (AS SAME MAY BE AMENDED, OR ANY SUCCESSOR STATUTE(S) THERETO) (THE " XE "REFEREE SECTIONS" </w:t>
      </w:r>
      <w:r>
        <w:rPr>
          <w:rFonts w:ascii="Times New Roman" w:cs="Times New Roman" w:eastAsia="Times New Roman" w:hAnsi="Times New Roman"/>
          <w:sz w:val="18"/>
          <w:szCs w:val="18"/>
          <w:b w:val="1"/>
          <w:bCs w:val="1"/>
          <w:color w:val="auto"/>
        </w:rPr>
        <w:t>REFEREE SECTIONS</w:t>
      </w:r>
      <w:r>
        <w:rPr>
          <w:rFonts w:ascii="Times New Roman" w:cs="Times New Roman" w:eastAsia="Times New Roman" w:hAnsi="Times New Roman"/>
          <w:sz w:val="18"/>
          <w:szCs w:val="18"/>
          <w:color w:val="auto"/>
        </w:rPr>
        <w:t>"). ANY FEE TO INITIATE THE JUDICIAL REFERENCE PROCEEDINGS AND ALL FEES CHARGED AND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SECTION 29.22 ABOVE. THE VENUE OF THE PROCEEDINGS SHALL BE IN THE COUNTY IN WHICH THE PREMISES ARE LOCATED. WITHIN TEN (10) DAYS OF RECEIPT BY ANY PARTY OF A WRITTEN REQUEST TO RESOLVE ANY DISPUTE OR CONTROVERSY PURSUANT TO THIS SECTION 29.22, THE PARTIES SHALL AGREE UPON A SINGLE REFEREE WHO SHALL TRY ALL ISSUES, WHETHER OF FACT OR LAW, AND REPORT A FINDING AND JUDGMENT ON SUCH ISSUES AS REQUIRED BY THE REFEREE SECTIONS. IF THE PARTIES ARE UNABLE TO AGREE UPON A REFEREE WITHIN SUCH TEN (10) 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PUNITIVE DAMAGES, NOR ANY OTHER DAMAGES WHICH ARE NOT PERMITTED BY THE EXPRESS PROVISIONS OF THIS LEASE, AND THE PARTIES HEREBY WAIVE ANY RIGHT TO RECOVER ANY SUCH DAMAGES. THE PARTIES SHALL BE ENTITLED TO CONDUCT ALL DISCOVERY AS PROVIDED IN THE CALIFORNIA CODE OF CIVIL PROCEDURE, AND THE REFEREE SHALL OVERSEE DISCOVERY AND MAY ENFORCE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5" w:name="page176"/>
    <w:bookmarkEnd w:id="175"/>
    <w:p>
      <w:pPr>
        <w:jc w:val="both"/>
        <w:spacing w:after="0" w:line="252" w:lineRule="auto"/>
        <w:rPr>
          <w:sz w:val="20"/>
          <w:szCs w:val="20"/>
          <w:color w:val="auto"/>
        </w:rPr>
      </w:pPr>
      <w:r>
        <w:rPr>
          <w:rFonts w:ascii="Times New Roman" w:cs="Times New Roman" w:eastAsia="Times New Roman" w:hAnsi="Times New Roman"/>
          <w:sz w:val="18"/>
          <w:szCs w:val="18"/>
          <w:color w:val="auto"/>
        </w:rPr>
        <w:t>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SECTION 29.22. IN THIS REGARD, THE PARTIES AGREE THAT THE PARTIES AND THE REFEREE SHALL USE BEST EFFORTS TO ENSURE THAT (A) DISCOVERY BE CONDUCTED FOR A PERIOD NO LONGER THAN SIX (6) MONTHS FROM THE DATE THE REFEREE IS APPOINTED, EXCLUDING MOTIONS REGARDING DISCOVERY, AND (B) A TRIAL DATE BE SET WITHIN NINE (9) MONTHS OF THE DATE THE REFEREE IS APPOINTED.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SECTION 29.22 SHALL PREJUDICE THE RIGHT OF ANY PARTY TO OBTAIN PROVISIONAL RELIEF OR OTHER EQUITABLE REMEDIES FROM A COURT OF COMPETENT JURISDICTION AS SHALL OTHERWISE BE AVAILABLE UNDER THE CODE OF CIVIL PROCEDURE AND/OR APPLICABLE COURT RULES.</w:t>
      </w:r>
    </w:p>
    <w:p>
      <w:pPr>
        <w:spacing w:after="0" w:line="18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 xml:space="preserve">29.23 </w:t>
      </w:r>
      <w:r>
        <w:rPr>
          <w:rFonts w:ascii="Times New Roman" w:cs="Times New Roman" w:eastAsia="Times New Roman" w:hAnsi="Times New Roman"/>
          <w:sz w:val="18"/>
          <w:szCs w:val="18"/>
          <w:b w:val="1"/>
          <w:bCs w:val="1"/>
          <w:u w:val="single" w:color="auto"/>
          <w:color w:val="auto"/>
        </w:rPr>
        <w:t>Submission of Lease</w:t>
      </w:r>
      <w:r>
        <w:rPr>
          <w:rFonts w:ascii="Times New Roman" w:cs="Times New Roman" w:eastAsia="Times New Roman" w:hAnsi="Times New Roman"/>
          <w:sz w:val="18"/>
          <w:szCs w:val="18"/>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5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29.24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Summary (the " XE "Brokers"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whose commissions shall be paid by Landlord pursuant to separate written agreements, and that they know of no other real estate broker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Times New Roman" w:cs="Times New Roman" w:eastAsia="Times New Roman" w:hAnsi="Times New Roman"/>
          <w:sz w:val="18"/>
          <w:szCs w:val="18"/>
          <w:u w:val="single" w:color="auto"/>
          <w:color w:val="auto"/>
        </w:rPr>
        <w:t>Section 29.24</w:t>
      </w:r>
      <w:r>
        <w:rPr>
          <w:rFonts w:ascii="Times New Roman" w:cs="Times New Roman" w:eastAsia="Times New Roman" w:hAnsi="Times New Roman"/>
          <w:sz w:val="18"/>
          <w:szCs w:val="18"/>
          <w:color w:val="auto"/>
        </w:rPr>
        <w:t xml:space="preserve"> shall survive the expiration or earlier termination of the Lease Term.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6" w:name="page177"/>
    <w:bookmarkEnd w:id="176"/>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29.25 </w:t>
      </w:r>
      <w:r>
        <w:rPr>
          <w:rFonts w:ascii="Times New Roman" w:cs="Times New Roman" w:eastAsia="Times New Roman" w:hAnsi="Times New Roman"/>
          <w:sz w:val="18"/>
          <w:szCs w:val="18"/>
          <w:b w:val="1"/>
          <w:bCs w:val="1"/>
          <w:u w:val="single" w:color="auto"/>
          <w:color w:val="auto"/>
        </w:rPr>
        <w:t>Independent Covenants</w:t>
      </w:r>
      <w:r>
        <w:rPr>
          <w:rFonts w:ascii="Times New Roman" w:cs="Times New Roman" w:eastAsia="Times New Roman" w:hAnsi="Times New Roman"/>
          <w:sz w:val="18"/>
          <w:szCs w:val="18"/>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76" w:lineRule="exact"/>
        <w:rPr>
          <w:sz w:val="20"/>
          <w:szCs w:val="20"/>
          <w:color w:val="auto"/>
        </w:rPr>
      </w:pPr>
    </w:p>
    <w:p>
      <w:pPr>
        <w:jc w:val="both"/>
        <w:ind w:right="20" w:firstLine="749"/>
        <w:spacing w:after="0" w:line="259" w:lineRule="auto"/>
        <w:rPr>
          <w:sz w:val="20"/>
          <w:szCs w:val="20"/>
          <w:color w:val="auto"/>
        </w:rPr>
      </w:pPr>
      <w:r>
        <w:rPr>
          <w:rFonts w:ascii="Times New Roman" w:cs="Times New Roman" w:eastAsia="Times New Roman" w:hAnsi="Times New Roman"/>
          <w:sz w:val="18"/>
          <w:szCs w:val="18"/>
          <w:color w:val="auto"/>
        </w:rPr>
        <w:t xml:space="preserve">29.26 </w:t>
      </w:r>
      <w:r>
        <w:rPr>
          <w:rFonts w:ascii="Times New Roman" w:cs="Times New Roman" w:eastAsia="Times New Roman" w:hAnsi="Times New Roman"/>
          <w:sz w:val="18"/>
          <w:szCs w:val="18"/>
          <w:b w:val="1"/>
          <w:bCs w:val="1"/>
          <w:u w:val="single" w:color="auto"/>
          <w:color w:val="auto"/>
        </w:rPr>
        <w:t>Project or Building Name, Address and Signage</w:t>
      </w:r>
      <w:r>
        <w:rPr>
          <w:rFonts w:ascii="Times New Roman" w:cs="Times New Roman" w:eastAsia="Times New Roman" w:hAnsi="Times New Roman"/>
          <w:sz w:val="18"/>
          <w:szCs w:val="18"/>
          <w:color w:val="auto"/>
        </w:rPr>
        <w:t>. Landlord shall have the right at any time to change the name and/or address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7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 xml:space="preserve">29.27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Lease may be executed in counterparts with the same effect as if both parties hereto had executed the same document. Both counterparts shall be construed together and shall constitute a single lease. Such counterparts may be executed and delivered by the parties hereto by electronic means, including by electronic mail or facsimile transmission and, when so fully delivered, such copies shall be binding as if ink originals.</w:t>
      </w:r>
    </w:p>
    <w:p>
      <w:pPr>
        <w:spacing w:after="0" w:line="39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29.28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Tenant acknowledges that the content of this Lease and any related documents are confidential information. Tenant shall keep such confidential information strictly confidential and shall not disclose such confidential information to any person or entity other than Tenant's employees, property managers, and financial, legal, and space planning consultants. In the event Tenant reasonably believes that disclosure is compelled by Applicable Law, to the extent possible, it shall provide Landlord ten (10) days’ advance notice of disclosure of confidential information so that Landlord may attempt to obtain a protective order.</w:t>
      </w:r>
    </w:p>
    <w:p>
      <w:pPr>
        <w:spacing w:after="0" w:line="179"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29.29</w:t>
      </w:r>
      <w:r>
        <w:rPr>
          <w:sz w:val="20"/>
          <w:szCs w:val="20"/>
          <w:color w:val="auto"/>
        </w:rPr>
        <w:tab/>
      </w:r>
      <w:r>
        <w:rPr>
          <w:rFonts w:ascii="Times New Roman" w:cs="Times New Roman" w:eastAsia="Times New Roman" w:hAnsi="Times New Roman"/>
          <w:sz w:val="18"/>
          <w:szCs w:val="18"/>
          <w:b w:val="1"/>
          <w:bCs w:val="1"/>
          <w:u w:val="single" w:color="auto"/>
          <w:color w:val="auto"/>
        </w:rPr>
        <w:t>Development of the Project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497"/>
        <w:spacing w:after="0" w:line="259" w:lineRule="auto"/>
        <w:rPr>
          <w:sz w:val="20"/>
          <w:szCs w:val="20"/>
          <w:color w:val="auto"/>
        </w:rPr>
      </w:pPr>
      <w:r>
        <w:rPr>
          <w:rFonts w:ascii="Times New Roman" w:cs="Times New Roman" w:eastAsia="Times New Roman" w:hAnsi="Times New Roman"/>
          <w:sz w:val="18"/>
          <w:szCs w:val="18"/>
          <w:color w:val="auto"/>
        </w:rPr>
        <w:t xml:space="preserve">29.29.1 </w:t>
      </w:r>
      <w:r>
        <w:rPr>
          <w:rFonts w:ascii="Times New Roman" w:cs="Times New Roman" w:eastAsia="Times New Roman" w:hAnsi="Times New Roman"/>
          <w:sz w:val="18"/>
          <w:szCs w:val="18"/>
          <w:b w:val="1"/>
          <w:bCs w:val="1"/>
          <w:u w:val="single" w:color="auto"/>
          <w:color w:val="auto"/>
        </w:rPr>
        <w:t>Subdivision</w:t>
      </w:r>
      <w:r>
        <w:rPr>
          <w:rFonts w:ascii="Times New Roman" w:cs="Times New Roman" w:eastAsia="Times New Roman" w:hAnsi="Times New Roman"/>
          <w:sz w:val="18"/>
          <w:szCs w:val="18"/>
          <w:color w:val="auto"/>
        </w:rPr>
        <w:t>. Landlord reserves the right to subdivide all or a portion of the buildings and Common Areas. Tenant agrees to execute and deliver, upon demand by Landlord and in the form requested by Landlord, any commercially reasonable additional documents needed to conform this Lease to the circumstances resulting from a subdivision and any all maps in connection therewith. Notwithstanding anything to the contrary set forth in this Lease, the separate ownership of any buildings and/or Common Areas by an entity other than Landlord shall not affect the calculation of Direct Expenses or Tenant's payment of Tenant's Share of Direct Expenses.</w:t>
      </w:r>
    </w:p>
    <w:p>
      <w:pPr>
        <w:spacing w:after="0" w:line="17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8"/>
          <w:szCs w:val="18"/>
          <w:color w:val="auto"/>
        </w:rPr>
        <w:t xml:space="preserve">29.29.2 </w:t>
      </w:r>
      <w:r>
        <w:rPr>
          <w:rFonts w:ascii="Times New Roman" w:cs="Times New Roman" w:eastAsia="Times New Roman" w:hAnsi="Times New Roman"/>
          <w:sz w:val="18"/>
          <w:szCs w:val="18"/>
          <w:b w:val="1"/>
          <w:bCs w:val="1"/>
          <w:u w:val="single" w:color="auto"/>
          <w:color w:val="auto"/>
        </w:rPr>
        <w:t>Construction of Property and Other Improvements</w:t>
      </w:r>
      <w:r>
        <w:rPr>
          <w:rFonts w:ascii="Times New Roman" w:cs="Times New Roman" w:eastAsia="Times New Roman" w:hAnsi="Times New Roman"/>
          <w:sz w:val="18"/>
          <w:szCs w:val="18"/>
          <w:color w:val="auto"/>
        </w:rPr>
        <w:t>. Tenant acknowledges that portions of the Project may be under construction following Tenant's occupancy of the Premises, and that such construction may result in levels of noise, dust, obstruction of access, etc. which are in excess of that present in a fully constructed project, provided that any such noise, dust, or obstruction shall not unreasonably interfere with Tenant’s use of the Premises for the Permitted Use, access to or from the Premises or Tenant’s parking rights hereunder. Tenant hereby waives any and all rent offsets or claims of constructive eviction which may arise in connection with such construction; provided, however, in undertaking any such construction, Landlord shall use commercially reasonable efforts to minimize interference with Tenant’s use and enjoyment of the Premises, Tenant’s access to the Premises, or any other rights Tenant has under this Lease.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7" w:name="page178"/>
    <w:bookmarkEnd w:id="177"/>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29.30 </w:t>
      </w:r>
      <w:r>
        <w:rPr>
          <w:rFonts w:ascii="Times New Roman" w:cs="Times New Roman" w:eastAsia="Times New Roman" w:hAnsi="Times New Roman"/>
          <w:sz w:val="18"/>
          <w:szCs w:val="18"/>
          <w:b w:val="1"/>
          <w:bCs w:val="1"/>
          <w:u w:val="single" w:color="auto"/>
          <w:color w:val="auto"/>
        </w:rPr>
        <w:t>No Violation</w:t>
      </w:r>
      <w:r>
        <w:rPr>
          <w:rFonts w:ascii="Times New Roman" w:cs="Times New Roman" w:eastAsia="Times New Roman" w:hAnsi="Times New Roman"/>
          <w:sz w:val="18"/>
          <w:szCs w:val="18"/>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29.31 </w:t>
      </w:r>
      <w:r>
        <w:rPr>
          <w:rFonts w:ascii="Times New Roman" w:cs="Times New Roman" w:eastAsia="Times New Roman" w:hAnsi="Times New Roman"/>
          <w:sz w:val="18"/>
          <w:szCs w:val="18"/>
          <w:b w:val="1"/>
          <w:bCs w:val="1"/>
          <w:u w:val="single" w:color="auto"/>
          <w:color w:val="auto"/>
        </w:rPr>
        <w:t>Transportation Management</w:t>
      </w:r>
      <w:r>
        <w:rPr>
          <w:rFonts w:ascii="Times New Roman" w:cs="Times New Roman" w:eastAsia="Times New Roman" w:hAnsi="Times New Roman"/>
          <w:sz w:val="18"/>
          <w:szCs w:val="18"/>
          <w:color w:val="auto"/>
        </w:rPr>
        <w:t>. Tenant shall fully comply with all present or future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29.32 </w:t>
      </w:r>
      <w:r>
        <w:rPr>
          <w:rFonts w:ascii="Times New Roman" w:cs="Times New Roman" w:eastAsia="Times New Roman" w:hAnsi="Times New Roman"/>
          <w:sz w:val="18"/>
          <w:szCs w:val="18"/>
          <w:b w:val="1"/>
          <w:bCs w:val="1"/>
          <w:u w:val="single" w:color="auto"/>
          <w:color w:val="auto"/>
        </w:rPr>
        <w:t>Signatures</w:t>
      </w:r>
      <w:r>
        <w:rPr>
          <w:rFonts w:ascii="Times New Roman" w:cs="Times New Roman" w:eastAsia="Times New Roman" w:hAnsi="Times New Roman"/>
          <w:sz w:val="18"/>
          <w:szCs w:val="18"/>
          <w:color w:val="auto"/>
        </w:rPr>
        <w:t>. The parties hereto consent and agree that this Lease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Lease using electronic signature technology, by clicking “SIGN”, such party is signing this Lease electronically, and</w:t>
      </w:r>
    </w:p>
    <w:p>
      <w:pPr>
        <w:spacing w:after="0" w:line="3" w:lineRule="exact"/>
        <w:rPr>
          <w:sz w:val="20"/>
          <w:szCs w:val="20"/>
          <w:color w:val="auto"/>
        </w:rPr>
      </w:pPr>
    </w:p>
    <w:p>
      <w:pPr>
        <w:ind w:right="20" w:firstLine="8"/>
        <w:spacing w:after="0" w:line="260" w:lineRule="auto"/>
        <w:tabs>
          <w:tab w:leader="none" w:pos="2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signatures appearing on this Lease shall be treated, for purposes of validity, enforceability and admissibility, the same as handwritten signatures.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COMMENCE ON FOLLOWING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8" w:name="page179"/>
    <w:bookmarkEnd w:id="178"/>
    <w:p>
      <w:pPr>
        <w:ind w:left="760"/>
        <w:spacing w:after="0"/>
        <w:rPr>
          <w:sz w:val="20"/>
          <w:szCs w:val="20"/>
          <w:color w:val="auto"/>
        </w:rPr>
      </w:pPr>
      <w:r>
        <w:rPr>
          <w:rFonts w:ascii="Times New Roman" w:cs="Times New Roman" w:eastAsia="Times New Roman" w:hAnsi="Times New Roman"/>
          <w:sz w:val="18"/>
          <w:szCs w:val="18"/>
          <w:color w:val="auto"/>
        </w:rPr>
        <w:t>IN WITNESS WHEREOF, Landlord and Tenant have caused this Lease to be executed the day and date first above written.</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LANDLORD:</w:t>
            </w:r>
          </w:p>
        </w:tc>
        <w:tc>
          <w:tcPr>
            <w:tcW w:w="4380" w:type="dxa"/>
            <w:vAlign w:val="bottom"/>
            <w:gridSpan w:val="8"/>
          </w:tcPr>
          <w:p>
            <w:pPr>
              <w:ind w:left="1540"/>
              <w:spacing w:after="0"/>
              <w:rPr>
                <w:sz w:val="20"/>
                <w:szCs w:val="20"/>
                <w:color w:val="auto"/>
              </w:rPr>
            </w:pPr>
            <w:r>
              <w:rPr>
                <w:rFonts w:ascii="Times New Roman" w:cs="Times New Roman" w:eastAsia="Times New Roman" w:hAnsi="Times New Roman"/>
                <w:sz w:val="18"/>
                <w:szCs w:val="18"/>
                <w:color w:val="auto"/>
              </w:rPr>
              <w:t>TENANT:</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HCP LIFE SCIENCE REIT, INC.</w:t>
            </w:r>
            <w:r>
              <w:rPr>
                <w:rFonts w:ascii="Times New Roman" w:cs="Times New Roman" w:eastAsia="Times New Roman" w:hAnsi="Times New Roman"/>
                <w:sz w:val="18"/>
                <w:szCs w:val="18"/>
                <w:color w:val="auto"/>
              </w:rPr>
              <w:t>,</w:t>
            </w:r>
          </w:p>
        </w:tc>
        <w:tc>
          <w:tcPr>
            <w:tcW w:w="4380" w:type="dxa"/>
            <w:vAlign w:val="bottom"/>
            <w:gridSpan w:val="8"/>
          </w:tcPr>
          <w:p>
            <w:pPr>
              <w:ind w:left="1540"/>
              <w:spacing w:after="0"/>
              <w:rPr>
                <w:sz w:val="20"/>
                <w:szCs w:val="20"/>
                <w:color w:val="auto"/>
              </w:rPr>
            </w:pPr>
            <w:r>
              <w:rPr>
                <w:rFonts w:ascii="Times New Roman" w:cs="Times New Roman" w:eastAsia="Times New Roman" w:hAnsi="Times New Roman"/>
                <w:sz w:val="18"/>
                <w:szCs w:val="18"/>
                <w:b w:val="1"/>
                <w:bCs w:val="1"/>
                <w:color w:val="auto"/>
                <w:w w:val="99"/>
              </w:rPr>
              <w:t>TEMPEST THERAPEUTICS, INC.</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4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Maryland corporation</w:t>
            </w:r>
          </w:p>
        </w:tc>
        <w:tc>
          <w:tcPr>
            <w:tcW w:w="4380" w:type="dxa"/>
            <w:vAlign w:val="bottom"/>
            <w:gridSpan w:val="8"/>
          </w:tcPr>
          <w:p>
            <w:pPr>
              <w:ind w:left="1540"/>
              <w:spacing w:after="0"/>
              <w:rPr>
                <w:sz w:val="20"/>
                <w:szCs w:val="20"/>
                <w:color w:val="auto"/>
              </w:rPr>
            </w:pPr>
            <w:r>
              <w:rPr>
                <w:rFonts w:ascii="Times New Roman" w:cs="Times New Roman" w:eastAsia="Times New Roman" w:hAnsi="Times New Roman"/>
                <w:sz w:val="18"/>
                <w:szCs w:val="18"/>
                <w:color w:val="auto"/>
              </w:rPr>
              <w:t>a Delaware corporation</w:t>
            </w:r>
          </w:p>
        </w:tc>
        <w:tc>
          <w:tcPr>
            <w:tcW w:w="0" w:type="dxa"/>
            <w:vAlign w:val="bottom"/>
          </w:tcPr>
          <w:p>
            <w:pPr>
              <w:spacing w:after="0"/>
              <w:rPr>
                <w:sz w:val="1"/>
                <w:szCs w:val="1"/>
                <w:color w:val="auto"/>
              </w:rPr>
            </w:pPr>
          </w:p>
        </w:tc>
      </w:tr>
      <w:tr>
        <w:trPr>
          <w:trHeight w:val="607"/>
        </w:trPr>
        <w:tc>
          <w:tcPr>
            <w:tcW w:w="4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/s/ Scott Bohn</w:t>
            </w:r>
          </w:p>
        </w:tc>
        <w:tc>
          <w:tcPr>
            <w:tcW w:w="4380" w:type="dxa"/>
            <w:vAlign w:val="bottom"/>
            <w:gridSpan w:val="8"/>
          </w:tcPr>
          <w:p>
            <w:pPr>
              <w:ind w:left="1540"/>
              <w:spacing w:after="0"/>
              <w:rPr>
                <w:sz w:val="20"/>
                <w:szCs w:val="20"/>
                <w:color w:val="auto"/>
              </w:rPr>
            </w:pPr>
            <w:r>
              <w:rPr>
                <w:rFonts w:ascii="Times New Roman" w:cs="Times New Roman" w:eastAsia="Times New Roman" w:hAnsi="Times New Roman"/>
                <w:sz w:val="18"/>
                <w:szCs w:val="18"/>
                <w:color w:val="auto"/>
              </w:rPr>
              <w:t>By: /s/ Stephen Brady</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Name: Scott Bohn</w:t>
            </w:r>
          </w:p>
        </w:tc>
        <w:tc>
          <w:tcPr>
            <w:tcW w:w="4380" w:type="dxa"/>
            <w:vAlign w:val="bottom"/>
            <w:gridSpan w:val="8"/>
          </w:tcPr>
          <w:p>
            <w:pPr>
              <w:ind w:left="1540"/>
              <w:spacing w:after="0"/>
              <w:rPr>
                <w:sz w:val="20"/>
                <w:szCs w:val="20"/>
                <w:color w:val="auto"/>
              </w:rPr>
            </w:pPr>
            <w:r>
              <w:rPr>
                <w:rFonts w:ascii="Times New Roman" w:cs="Times New Roman" w:eastAsia="Times New Roman" w:hAnsi="Times New Roman"/>
                <w:sz w:val="18"/>
                <w:szCs w:val="18"/>
                <w:color w:val="auto"/>
              </w:rPr>
              <w:t>Name: Stephen Brady</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Its: Senior Vice President</w:t>
            </w:r>
          </w:p>
        </w:tc>
        <w:tc>
          <w:tcPr>
            <w:tcW w:w="4380" w:type="dxa"/>
            <w:vAlign w:val="bottom"/>
            <w:gridSpan w:val="8"/>
            <w:vMerge w:val="restart"/>
          </w:tcPr>
          <w:p>
            <w:pPr>
              <w:ind w:left="1540"/>
              <w:spacing w:after="0"/>
              <w:rPr>
                <w:sz w:val="20"/>
                <w:szCs w:val="20"/>
                <w:color w:val="auto"/>
              </w:rPr>
            </w:pPr>
            <w:r>
              <w:rPr>
                <w:rFonts w:ascii="Times New Roman" w:cs="Times New Roman" w:eastAsia="Times New Roman" w:hAnsi="Times New Roman"/>
                <w:sz w:val="18"/>
                <w:szCs w:val="18"/>
                <w:color w:val="auto"/>
              </w:rPr>
              <w:t>Its: Chief Executive Officer</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438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1720" w:type="dxa"/>
            <w:vAlign w:val="bottom"/>
            <w:tcBorders>
              <w:top w:val="single" w:sz="8" w:color="auto"/>
            </w:tcBorders>
            <w:gridSpan w:val="5"/>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380" w:type="dxa"/>
            <w:vAlign w:val="bottom"/>
            <w:gridSpan w:val="8"/>
          </w:tcPr>
          <w:p>
            <w:pPr>
              <w:ind w:left="154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648"/>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380" w:type="dxa"/>
            <w:vAlign w:val="bottom"/>
            <w:gridSpan w:val="8"/>
          </w:tcPr>
          <w:p>
            <w:pPr>
              <w:ind w:left="1540"/>
              <w:spacing w:after="0"/>
              <w:rPr>
                <w:sz w:val="20"/>
                <w:szCs w:val="20"/>
                <w:color w:val="auto"/>
              </w:rPr>
            </w:pPr>
            <w:r>
              <w:rPr>
                <w:rFonts w:ascii="Times New Roman" w:cs="Times New Roman" w:eastAsia="Times New Roman" w:hAnsi="Times New Roman"/>
                <w:sz w:val="18"/>
                <w:szCs w:val="18"/>
                <w:color w:val="auto"/>
              </w:rPr>
              <w:t>Its: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3"/>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SIERRA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HCP LIFE SCIENCE REIT,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Maryland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Landlord,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4660" w:type="dxa"/>
            <w:vAlign w:val="bottom"/>
          </w:tcPr>
          <w:p>
            <w:pPr>
              <w:spacing w:after="0"/>
              <w:rPr>
                <w:sz w:val="12"/>
                <w:szCs w:val="12"/>
                <w:color w:val="auto"/>
              </w:rPr>
            </w:pPr>
          </w:p>
        </w:tc>
      </w:tr>
      <w:tr>
        <w:trPr>
          <w:trHeight w:val="135"/>
        </w:trPr>
        <w:tc>
          <w:tcPr>
            <w:tcW w:w="65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r>
      <w:tr>
        <w:trPr>
          <w:trHeight w:val="135"/>
        </w:trPr>
        <w:tc>
          <w:tcPr>
            <w:tcW w:w="658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4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r>
      <w:tr>
        <w:trPr>
          <w:trHeight w:val="164"/>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4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r>
      <w:tr>
        <w:trPr>
          <w:trHeight w:val="334"/>
        </w:trPr>
        <w:tc>
          <w:tcPr>
            <w:tcW w:w="65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0" w:name="page181"/>
    <w:bookmarkEnd w:id="180"/>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560" w:type="dxa"/>
            <w:vAlign w:val="bottom"/>
            <w:gridSpan w:val="3"/>
          </w:tcPr>
          <w:p>
            <w:pPr>
              <w:ind w:left="4160"/>
              <w:spacing w:after="0"/>
              <w:rPr>
                <w:sz w:val="20"/>
                <w:szCs w:val="20"/>
                <w:color w:val="auto"/>
              </w:rPr>
            </w:pPr>
            <w:r>
              <w:rPr>
                <w:rFonts w:ascii="Times New Roman" w:cs="Times New Roman" w:eastAsia="Times New Roman" w:hAnsi="Times New Roman"/>
                <w:sz w:val="18"/>
                <w:szCs w:val="18"/>
                <w:color w:val="auto"/>
              </w:rPr>
              <w:t>TABLE OF CONTENTS</w:t>
            </w: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412"/>
        </w:trPr>
        <w:tc>
          <w:tcPr>
            <w:tcW w:w="5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6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PREMISES, BUILDING, PROJECT, AND COMMON AREAS</w:t>
            </w:r>
          </w:p>
        </w:tc>
        <w:tc>
          <w:tcPr>
            <w:tcW w:w="1680" w:type="dxa"/>
            <w:vAlign w:val="bottom"/>
          </w:tcPr>
          <w:p>
            <w:pPr>
              <w:spacing w:after="0"/>
              <w:rPr>
                <w:sz w:val="24"/>
                <w:szCs w:val="24"/>
                <w:color w:val="auto"/>
              </w:rPr>
            </w:pPr>
          </w:p>
        </w:tc>
        <w:tc>
          <w:tcPr>
            <w:tcW w:w="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LEASE TERM; OPTION TERM</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BASE RENT</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ADDITIONAL RENT</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USE OF PREMISES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SERVICES AND UTILITIES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REPAIRS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ADDITIONS AND ALTERATIONS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COVENANT AGAINST LIENS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DAMAGE AND DESTRUCTION</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NONWAIVER</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CONDEMNATION</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ASSIGNMENT AND SUBLETTING</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SURRENDER OF PREMISES; OWNERSHIP AND REMOVAL OF TRADE FIXTURES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HOLDING OVER</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ESTOPPEL CERTIFICATES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SUBORDINATION</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DEFAULTS; REMEDIES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COVENANT OF QUIET ENJOYMENT</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SECURITY DEPOSIT</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COMMUNICATIONS AND COMPUTER LINE</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SIGNS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COMPLIANCE WITH LAW</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LATE CHARGES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LANDLORD'S RIGHT TO CURE DEFAULT; PAYMENTS BY TENANT</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ENTRY BY LANDLORD</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TENANT PARKING</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8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MISCELLANEOUS PROVISIONS</w:t>
            </w:r>
          </w:p>
        </w:tc>
        <w:tc>
          <w:tcPr>
            <w:tcW w:w="2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right="8840" w:firstLine="8"/>
        <w:spacing w:after="0" w:line="261" w:lineRule="auto"/>
        <w:tabs>
          <w:tab w:leader="none" w:pos="3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OUTLINE OF PREMISES B TENANT WORK LETTER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FORM OF NOTICE OF LEASE TERM DATES</w:t>
      </w:r>
    </w:p>
    <w:p>
      <w:pPr>
        <w:spacing w:after="0" w:line="9" w:lineRule="exact"/>
        <w:rPr>
          <w:rFonts w:ascii="Times New Roman" w:cs="Times New Roman" w:eastAsia="Times New Roman" w:hAnsi="Times New Roman"/>
          <w:sz w:val="18"/>
          <w:szCs w:val="18"/>
          <w:color w:val="auto"/>
        </w:rPr>
      </w:pPr>
    </w:p>
    <w:p>
      <w:pPr>
        <w:ind w:right="7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FORM OF TENANT'S ESTOPPEL CERTIFICATE E ENVIRONMENTAL QUESTIONNAIRE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21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2180" w:type="dxa"/>
            <w:vAlign w:val="bottom"/>
          </w:tcPr>
          <w:p>
            <w:pPr>
              <w:spacing w:after="0"/>
              <w:rPr>
                <w:sz w:val="11"/>
                <w:szCs w:val="11"/>
                <w:color w:val="auto"/>
              </w:rPr>
            </w:pPr>
          </w:p>
        </w:tc>
        <w:tc>
          <w:tcPr>
            <w:tcW w:w="4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c>
          <w:tcPr>
            <w:tcW w:w="0" w:type="dxa"/>
            <w:vAlign w:val="bottom"/>
          </w:tcPr>
          <w:p>
            <w:pPr>
              <w:spacing w:after="0"/>
              <w:rPr>
                <w:sz w:val="1"/>
                <w:szCs w:val="1"/>
                <w:color w:val="auto"/>
              </w:rPr>
            </w:pPr>
          </w:p>
        </w:tc>
      </w:tr>
      <w:tr>
        <w:trPr>
          <w:trHeight w:val="135"/>
        </w:trPr>
        <w:tc>
          <w:tcPr>
            <w:tcW w:w="50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21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(i)</w:t>
            </w:r>
          </w:p>
        </w:tc>
        <w:tc>
          <w:tcPr>
            <w:tcW w:w="4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c>
          <w:tcPr>
            <w:tcW w:w="0" w:type="dxa"/>
            <w:vAlign w:val="bottom"/>
          </w:tcPr>
          <w:p>
            <w:pPr>
              <w:spacing w:after="0"/>
              <w:rPr>
                <w:sz w:val="1"/>
                <w:szCs w:val="1"/>
                <w:color w:val="auto"/>
              </w:rPr>
            </w:pPr>
          </w:p>
        </w:tc>
      </w:tr>
      <w:tr>
        <w:trPr>
          <w:trHeight w:val="164"/>
        </w:trPr>
        <w:tc>
          <w:tcPr>
            <w:tcW w:w="5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2180" w:type="dxa"/>
            <w:vAlign w:val="bottom"/>
            <w:vMerge w:val="continue"/>
          </w:tcPr>
          <w:p>
            <w:pPr>
              <w:spacing w:after="0"/>
              <w:rPr>
                <w:sz w:val="14"/>
                <w:szCs w:val="14"/>
                <w:color w:val="auto"/>
              </w:rPr>
            </w:pPr>
          </w:p>
        </w:tc>
        <w:tc>
          <w:tcPr>
            <w:tcW w:w="4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c>
          <w:tcPr>
            <w:tcW w:w="0" w:type="dxa"/>
            <w:vAlign w:val="bottom"/>
          </w:tcPr>
          <w:p>
            <w:pPr>
              <w:spacing w:after="0"/>
              <w:rPr>
                <w:sz w:val="1"/>
                <w:szCs w:val="1"/>
                <w:color w:val="auto"/>
              </w:rPr>
            </w:pPr>
          </w:p>
        </w:tc>
      </w:tr>
      <w:tr>
        <w:trPr>
          <w:trHeight w:val="334"/>
        </w:trPr>
        <w:tc>
          <w:tcPr>
            <w:tcW w:w="50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INDEX \e "</w:t>
            </w: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 Abatement Event 34</w:t>
            </w: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Rent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Advocate Arbitrators</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all risks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Alterations</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Applicable Laws</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as built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Bank</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Bank’s Credit Rating Threshold</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35</w:t>
            </w: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Bankruptcy Code</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2"/>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Base Building 20</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Base Rent</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Brokers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Builder's All Risk</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 Hours</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 Structure</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 Systems</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Casualty</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Clean-up 16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Closure Letter 17</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Areas</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Comparable Buildings</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Comparable Transactions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Concessions</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Contemplated Effective Date 28</w:t>
            </w:r>
          </w:p>
        </w:tc>
        <w:tc>
          <w:tcPr>
            <w:tcW w:w="220" w:type="dxa"/>
            <w:vAlign w:val="bottom"/>
          </w:tcPr>
          <w:p>
            <w:pPr>
              <w:spacing w:after="0"/>
              <w:rPr>
                <w:sz w:val="18"/>
                <w:szCs w:val="18"/>
                <w:color w:val="auto"/>
              </w:rPr>
            </w:pPr>
          </w:p>
        </w:tc>
      </w:tr>
      <w:tr>
        <w:trPr>
          <w:trHeight w:val="216"/>
        </w:trPr>
        <w:tc>
          <w:tcPr>
            <w:tcW w:w="2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Contemplated Transfer Space 28</w:t>
            </w:r>
          </w:p>
        </w:tc>
        <w:tc>
          <w:tcPr>
            <w:tcW w:w="22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Control</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Pools</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 Expenses</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7, 8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Eligibility Period</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Energy Disclosure Information</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19</w:t>
            </w:r>
          </w:p>
        </w:tc>
      </w:tr>
      <w:tr>
        <w:trPr>
          <w:trHeight w:val="216"/>
        </w:trPr>
        <w:tc>
          <w:tcPr>
            <w:tcW w:w="2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Energy Disclosure Requirements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19</w:t>
            </w:r>
          </w:p>
        </w:tc>
      </w:tr>
      <w:tr>
        <w:trPr>
          <w:trHeight w:val="216"/>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Environmental Assessment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r>
      <w:tr>
        <w:trPr>
          <w:trHeight w:val="216"/>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Environmental Questionnaire 14</w:t>
            </w:r>
          </w:p>
        </w:tc>
        <w:tc>
          <w:tcPr>
            <w:tcW w:w="220" w:type="dxa"/>
            <w:vAlign w:val="bottom"/>
          </w:tcPr>
          <w:p>
            <w:pPr>
              <w:spacing w:after="0"/>
              <w:rPr>
                <w:sz w:val="18"/>
                <w:szCs w:val="18"/>
                <w:color w:val="auto"/>
              </w:rPr>
            </w:pPr>
          </w:p>
        </w:tc>
      </w:tr>
      <w:tr>
        <w:trPr>
          <w:trHeight w:val="216"/>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Environmental Report</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Estimate</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Estimate Statement 12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Estimated Direct Expenses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Existing Hazardous Materials</w:t>
            </w:r>
          </w:p>
        </w:tc>
        <w:tc>
          <w:tcPr>
            <w:tcW w:w="3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16</w:t>
            </w: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 Year 8</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Rental Value</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Date</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First Class Life Sciences Projects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Force Majeure 42</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Generator</w:t>
            </w:r>
          </w:p>
        </w:tc>
        <w:tc>
          <w:tcPr>
            <w:tcW w:w="2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Hazardous Materials</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Hazardous Materials Claims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r>
    </w:tbl>
    <w:p>
      <w:pPr>
        <w:spacing w:after="0" w:line="211" w:lineRule="exact"/>
        <w:rPr>
          <w:sz w:val="20"/>
          <w:szCs w:val="20"/>
          <w:color w:val="auto"/>
        </w:rPr>
      </w:pPr>
    </w:p>
    <w:p>
      <w:pPr>
        <w:ind w:left="20" w:right="140" w:firstLine="32"/>
        <w:spacing w:after="0" w:line="227" w:lineRule="auto"/>
        <w:rPr>
          <w:sz w:val="20"/>
          <w:szCs w:val="20"/>
          <w:color w:val="auto"/>
        </w:rPr>
      </w:pPr>
      <w:r>
        <w:rPr>
          <w:rFonts w:ascii="Times New Roman" w:cs="Times New Roman" w:eastAsia="Times New Roman" w:hAnsi="Times New Roman"/>
          <w:sz w:val="13"/>
          <w:szCs w:val="13"/>
          <w:color w:val="auto"/>
        </w:rPr>
        <w:t>DOCPROPERTY "Document number" 4884-2045-4146. DOCPROPERTY "Document version" 4</w:t>
      </w:r>
    </w:p>
    <w:p>
      <w:pPr>
        <w:spacing w:after="0" w:line="1" w:lineRule="exact"/>
        <w:rPr>
          <w:sz w:val="20"/>
          <w:szCs w:val="20"/>
          <w:color w:val="auto"/>
        </w:rPr>
      </w:pPr>
    </w:p>
    <w:p>
      <w:pPr>
        <w:ind w:left="20" w:right="140" w:firstLine="32"/>
        <w:spacing w:after="0" w:line="256" w:lineRule="auto"/>
        <w:rPr>
          <w:sz w:val="20"/>
          <w:szCs w:val="20"/>
          <w:color w:val="auto"/>
        </w:rPr>
      </w:pPr>
      <w:r>
        <w:rPr>
          <w:rFonts w:ascii="Times New Roman" w:cs="Times New Roman" w:eastAsia="Times New Roman" w:hAnsi="Times New Roman"/>
          <w:sz w:val="12"/>
          <w:szCs w:val="12"/>
          <w:color w:val="auto"/>
        </w:rPr>
        <w:t>DOCPROPERTY "Client" 186772. DOCPROPERTY "Matter" 00003/ SAVEDATE \@ M-d-yy 3-21-23/ DOCPROPERTY "User Init" mem/ DOCPROPERTY "Typist Init" ejs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u w:val="single" w:color="auto"/>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1680" w:type="dxa"/>
            <w:vAlign w:val="bottom"/>
          </w:tcPr>
          <w:p>
            <w:pPr>
              <w:spacing w:after="0"/>
              <w:rPr>
                <w:sz w:val="12"/>
                <w:szCs w:val="12"/>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DOCPROPERTY "Footer Notes" HEALTHPEAK</w:t>
            </w:r>
          </w:p>
        </w:tc>
        <w:tc>
          <w:tcPr>
            <w:tcW w:w="0" w:type="dxa"/>
            <w:vAlign w:val="bottom"/>
          </w:tcPr>
          <w:p>
            <w:pPr>
              <w:spacing w:after="0"/>
              <w:rPr>
                <w:sz w:val="1"/>
                <w:szCs w:val="1"/>
                <w:color w:val="auto"/>
              </w:rPr>
            </w:pPr>
          </w:p>
        </w:tc>
      </w:tr>
      <w:tr>
        <w:trPr>
          <w:trHeight w:val="135"/>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(ii)</w:t>
            </w:r>
          </w:p>
        </w:tc>
        <w:tc>
          <w:tcPr>
            <w:tcW w:w="4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c>
          <w:tcPr>
            <w:tcW w:w="0" w:type="dxa"/>
            <w:vAlign w:val="bottom"/>
          </w:tcPr>
          <w:p>
            <w:pPr>
              <w:spacing w:after="0"/>
              <w:rPr>
                <w:sz w:val="1"/>
                <w:szCs w:val="1"/>
                <w:color w:val="auto"/>
              </w:rPr>
            </w:pPr>
          </w:p>
        </w:tc>
      </w:tr>
      <w:tr>
        <w:trPr>
          <w:trHeight w:val="164"/>
        </w:trPr>
        <w:tc>
          <w:tcPr>
            <w:tcW w:w="1680" w:type="dxa"/>
            <w:vAlign w:val="bottom"/>
            <w:vMerge w:val="continue"/>
          </w:tcPr>
          <w:p>
            <w:pPr>
              <w:spacing w:after="0"/>
              <w:rPr>
                <w:sz w:val="14"/>
                <w:szCs w:val="14"/>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[Tempest Therapeutics,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194310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620" w:space="720"/>
            <w:col w:w="5880"/>
          </w:cols>
          <w:pgMar w:left="320" w:top="553" w:right="35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Page(s)</w:t>
            </w:r>
          </w:p>
        </w:tc>
        <w:tc>
          <w:tcPr>
            <w:tcW w:w="0" w:type="dxa"/>
            <w:vAlign w:val="bottom"/>
          </w:tcPr>
          <w:p>
            <w:pPr>
              <w:spacing w:after="0"/>
              <w:rPr>
                <w:sz w:val="1"/>
                <w:szCs w:val="1"/>
                <w:color w:val="auto"/>
              </w:rPr>
            </w:pPr>
          </w:p>
        </w:tc>
      </w:tr>
      <w:tr>
        <w:trPr>
          <w:trHeight w:val="4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Holidays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HVAC</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Intention to Transfer Notice</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28</w:t>
            </w: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Landlord 1, 40</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Landlord Parties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80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rPr>
              <w:t>Landlord Repair Notice</w:t>
            </w:r>
          </w:p>
        </w:tc>
        <w:tc>
          <w:tcPr>
            <w:tcW w:w="3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34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Amount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Draw Event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spacing w:after="0" w:line="207" w:lineRule="exact"/>
              <w:rPr>
                <w:sz w:val="20"/>
                <w:szCs w:val="20"/>
                <w:color w:val="auto"/>
              </w:rPr>
            </w:pPr>
            <w:r>
              <w:rPr>
                <w:rFonts w:ascii="Times New Roman" w:cs="Times New Roman" w:eastAsia="Times New Roman" w:hAnsi="Times New Roman"/>
                <w:sz w:val="18"/>
                <w:szCs w:val="18"/>
                <w:color w:val="auto"/>
              </w:rPr>
              <w:t>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Expiration Date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4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 FDIC Replacement Notice</w:t>
            </w:r>
          </w:p>
        </w:tc>
        <w:tc>
          <w:tcPr>
            <w:tcW w:w="254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35</w:t>
            </w:r>
          </w:p>
        </w:tc>
        <w:tc>
          <w:tcPr>
            <w:tcW w:w="22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Lease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Lease Commencement Date</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Expiration Date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Term</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Year</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Lines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Mail</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Neutral Arbitrator</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Nine Month Period 28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Notices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Option Conditions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Rent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Term</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Original Improvements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Original Tenant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Outside Agreement Date</w:t>
            </w:r>
          </w:p>
        </w:tc>
        <w:tc>
          <w:tcPr>
            <w:tcW w:w="30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PCBs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Permitted Transfer</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Possession Date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Premises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Project,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REFEREE SECTIONS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Release</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Released</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Releases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rent 33</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RSF 1</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Security Deposit Laws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7"/>
              </w:rPr>
              <w:t>Statement</w:t>
            </w:r>
          </w:p>
        </w:tc>
        <w:tc>
          <w:tcPr>
            <w:tcW w:w="3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Subject Space 26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w w:val="99"/>
              </w:rPr>
              <w:t>Summary</w:t>
            </w:r>
          </w:p>
        </w:tc>
        <w:tc>
          <w:tcPr>
            <w:tcW w:w="36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Superior Holders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Expenses 8, 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Tenant</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1, 40</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Tenant Energy Use Disclosure</w:t>
            </w:r>
          </w:p>
        </w:tc>
        <w:tc>
          <w:tcPr>
            <w:tcW w:w="254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19</w:t>
            </w: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Tenant Improvements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Tenant Work Letter 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Tenant's Agents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980" w:type="dxa"/>
            <w:vAlign w:val="bottom"/>
            <w:gridSpan w:val="7"/>
          </w:tcPr>
          <w:p>
            <w:pPr>
              <w:ind w:left="60"/>
              <w:spacing w:after="0"/>
              <w:rPr>
                <w:sz w:val="20"/>
                <w:szCs w:val="20"/>
                <w:color w:val="auto"/>
              </w:rPr>
            </w:pPr>
            <w:r>
              <w:rPr>
                <w:rFonts w:ascii="Times New Roman" w:cs="Times New Roman" w:eastAsia="Times New Roman" w:hAnsi="Times New Roman"/>
                <w:sz w:val="13"/>
                <w:szCs w:val="13"/>
                <w:color w:val="auto"/>
              </w:rPr>
              <w:t>DOCPROPERTY "Document number" 4884-2045-4146. DOCPROPERTY "Document</w:t>
            </w:r>
          </w:p>
        </w:tc>
        <w:tc>
          <w:tcPr>
            <w:tcW w:w="2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c>
          <w:tcPr>
            <w:tcW w:w="0" w:type="dxa"/>
            <w:vAlign w:val="bottom"/>
          </w:tcPr>
          <w:p>
            <w:pPr>
              <w:spacing w:after="0"/>
              <w:rPr>
                <w:sz w:val="1"/>
                <w:szCs w:val="1"/>
                <w:color w:val="auto"/>
              </w:rPr>
            </w:pPr>
          </w:p>
        </w:tc>
      </w:tr>
      <w:tr>
        <w:trPr>
          <w:trHeight w:val="135"/>
        </w:trPr>
        <w:tc>
          <w:tcPr>
            <w:tcW w:w="4980" w:type="dxa"/>
            <w:vAlign w:val="bottom"/>
            <w:gridSpan w:val="7"/>
          </w:tcPr>
          <w:p>
            <w:pPr>
              <w:ind w:left="60"/>
              <w:spacing w:after="0" w:line="135" w:lineRule="exact"/>
              <w:rPr>
                <w:sz w:val="20"/>
                <w:szCs w:val="20"/>
                <w:color w:val="auto"/>
              </w:rPr>
            </w:pPr>
            <w:r>
              <w:rPr>
                <w:rFonts w:ascii="Times New Roman" w:cs="Times New Roman" w:eastAsia="Times New Roman" w:hAnsi="Times New Roman"/>
                <w:sz w:val="13"/>
                <w:szCs w:val="13"/>
                <w:color w:val="auto"/>
              </w:rPr>
              <w:t>DOCPROPERTY "Client" 186772. DOCPROPERTY "Matter" 00003/ SAVEDATE \@</w:t>
            </w:r>
          </w:p>
        </w:tc>
        <w:tc>
          <w:tcPr>
            <w:tcW w:w="22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(iii)</w:t>
            </w:r>
          </w:p>
        </w:tc>
        <w:tc>
          <w:tcPr>
            <w:tcW w:w="4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c>
          <w:tcPr>
            <w:tcW w:w="0" w:type="dxa"/>
            <w:vAlign w:val="bottom"/>
          </w:tcPr>
          <w:p>
            <w:pPr>
              <w:spacing w:after="0"/>
              <w:rPr>
                <w:sz w:val="1"/>
                <w:szCs w:val="1"/>
                <w:color w:val="auto"/>
              </w:rPr>
            </w:pPr>
          </w:p>
        </w:tc>
      </w:tr>
      <w:tr>
        <w:trPr>
          <w:trHeight w:val="164"/>
        </w:trPr>
        <w:tc>
          <w:tcPr>
            <w:tcW w:w="4980" w:type="dxa"/>
            <w:vAlign w:val="bottom"/>
            <w:gridSpan w:val="7"/>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2240" w:type="dxa"/>
            <w:vAlign w:val="bottom"/>
            <w:vMerge w:val="continue"/>
          </w:tcPr>
          <w:p>
            <w:pPr>
              <w:spacing w:after="0"/>
              <w:rPr>
                <w:sz w:val="14"/>
                <w:szCs w:val="14"/>
                <w:color w:val="auto"/>
              </w:rPr>
            </w:pPr>
          </w:p>
        </w:tc>
        <w:tc>
          <w:tcPr>
            <w:tcW w:w="4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[Tempest Therapeutics, Inc.]</w:t>
            </w:r>
          </w:p>
        </w:tc>
        <w:tc>
          <w:tcPr>
            <w:tcW w:w="0" w:type="dxa"/>
            <w:vAlign w:val="bottom"/>
          </w:tcPr>
          <w:p>
            <w:pPr>
              <w:spacing w:after="0"/>
              <w:rPr>
                <w:sz w:val="1"/>
                <w:szCs w:val="1"/>
                <w:color w:val="auto"/>
              </w:rPr>
            </w:pPr>
          </w:p>
        </w:tc>
      </w:tr>
      <w:tr>
        <w:trPr>
          <w:trHeight w:val="334"/>
        </w:trPr>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Page(s)</w:t>
            </w:r>
          </w:p>
        </w:tc>
        <w:tc>
          <w:tcPr>
            <w:tcW w:w="0" w:type="dxa"/>
            <w:vAlign w:val="bottom"/>
          </w:tcPr>
          <w:p>
            <w:pPr>
              <w:spacing w:after="0"/>
              <w:rPr>
                <w:sz w:val="1"/>
                <w:szCs w:val="1"/>
                <w:color w:val="auto"/>
              </w:rPr>
            </w:pPr>
          </w:p>
        </w:tc>
      </w:tr>
      <w:tr>
        <w:trPr>
          <w:trHeight w:val="43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Tenant's Share 7, 11</w:t>
            </w:r>
          </w:p>
        </w:tc>
        <w:tc>
          <w:tcPr>
            <w:tcW w:w="6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Transfer 29</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Notice</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2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Premium</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26, 27</w:t>
            </w:r>
          </w:p>
        </w:tc>
        <w:tc>
          <w:tcPr>
            <w:tcW w:w="2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Transfer Reminder Notice</w:t>
            </w:r>
          </w:p>
        </w:tc>
        <w:tc>
          <w:tcPr>
            <w:tcW w:w="2940" w:type="dxa"/>
            <w:vAlign w:val="bottom"/>
          </w:tcPr>
          <w:p>
            <w:pPr>
              <w:jc w:val="center"/>
              <w:ind w:right="2430"/>
              <w:spacing w:after="0"/>
              <w:rPr>
                <w:sz w:val="20"/>
                <w:szCs w:val="20"/>
                <w:color w:val="auto"/>
              </w:rPr>
            </w:pPr>
            <w:r>
              <w:rPr>
                <w:rFonts w:ascii="Times New Roman" w:cs="Times New Roman" w:eastAsia="Times New Roman" w:hAnsi="Times New Roman"/>
                <w:sz w:val="18"/>
                <w:szCs w:val="18"/>
                <w:color w:val="auto"/>
                <w:w w:val="99"/>
              </w:rPr>
              <w:t>27</w:t>
            </w: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Transferee</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6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Transfers 26</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TRIPLE NET 8</w:t>
            </w:r>
          </w:p>
        </w:tc>
        <w:tc>
          <w:tcPr>
            <w:tcW w:w="6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Underlying Documents 9</w:t>
            </w:r>
          </w:p>
        </w:tc>
        <w:tc>
          <w:tcPr>
            <w:tcW w:w="29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worth at the time of award</w:t>
            </w:r>
          </w:p>
        </w:tc>
        <w:tc>
          <w:tcPr>
            <w:tcW w:w="2940" w:type="dxa"/>
            <w:vAlign w:val="bottom"/>
          </w:tcPr>
          <w:p>
            <w:pPr>
              <w:jc w:val="center"/>
              <w:ind w:right="2430"/>
              <w:spacing w:after="0"/>
              <w:rPr>
                <w:sz w:val="20"/>
                <w:szCs w:val="20"/>
                <w:color w:val="auto"/>
              </w:rPr>
            </w:pPr>
            <w:r>
              <w:rPr>
                <w:rFonts w:ascii="Times New Roman" w:cs="Times New Roman" w:eastAsia="Times New Roman" w:hAnsi="Times New Roman"/>
                <w:sz w:val="18"/>
                <w:szCs w:val="18"/>
                <w:color w:val="auto"/>
                <w:w w:val="99"/>
              </w:rPr>
              <w:t>33</w:t>
            </w:r>
          </w:p>
        </w:tc>
        <w:tc>
          <w:tcPr>
            <w:tcW w:w="22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8"/>
        </w:trPr>
        <w:tc>
          <w:tcPr>
            <w:tcW w:w="4980" w:type="dxa"/>
            <w:vAlign w:val="bottom"/>
            <w:gridSpan w:val="4"/>
          </w:tcPr>
          <w:p>
            <w:pPr>
              <w:jc w:val="center"/>
              <w:ind w:right="350"/>
              <w:spacing w:after="0"/>
              <w:rPr>
                <w:sz w:val="20"/>
                <w:szCs w:val="20"/>
                <w:color w:val="auto"/>
              </w:rPr>
            </w:pPr>
            <w:r>
              <w:rPr>
                <w:rFonts w:ascii="Times New Roman" w:cs="Times New Roman" w:eastAsia="Times New Roman" w:hAnsi="Times New Roman"/>
                <w:sz w:val="13"/>
                <w:szCs w:val="13"/>
                <w:color w:val="auto"/>
                <w:w w:val="96"/>
              </w:rPr>
              <w:t>DOCPROPERTY "Document number" 4884-2045-4146. DOCPROPERTY "Document</w:t>
            </w:r>
          </w:p>
        </w:tc>
        <w:tc>
          <w:tcPr>
            <w:tcW w:w="2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version" 4</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DOCPROPERTY "Footer Notes" HEALTHPEAK</w:t>
            </w:r>
          </w:p>
        </w:tc>
        <w:tc>
          <w:tcPr>
            <w:tcW w:w="0" w:type="dxa"/>
            <w:vAlign w:val="bottom"/>
          </w:tcPr>
          <w:p>
            <w:pPr>
              <w:spacing w:after="0"/>
              <w:rPr>
                <w:sz w:val="1"/>
                <w:szCs w:val="1"/>
                <w:color w:val="auto"/>
              </w:rPr>
            </w:pPr>
          </w:p>
        </w:tc>
      </w:tr>
      <w:tr>
        <w:trPr>
          <w:trHeight w:val="135"/>
        </w:trPr>
        <w:tc>
          <w:tcPr>
            <w:tcW w:w="4980" w:type="dxa"/>
            <w:vAlign w:val="bottom"/>
            <w:gridSpan w:val="4"/>
          </w:tcPr>
          <w:p>
            <w:pPr>
              <w:jc w:val="center"/>
              <w:ind w:right="350"/>
              <w:spacing w:after="0" w:line="135" w:lineRule="exact"/>
              <w:rPr>
                <w:sz w:val="20"/>
                <w:szCs w:val="20"/>
                <w:color w:val="auto"/>
              </w:rPr>
            </w:pPr>
            <w:r>
              <w:rPr>
                <w:rFonts w:ascii="Times New Roman" w:cs="Times New Roman" w:eastAsia="Times New Roman" w:hAnsi="Times New Roman"/>
                <w:sz w:val="13"/>
                <w:szCs w:val="13"/>
                <w:color w:val="auto"/>
                <w:w w:val="95"/>
              </w:rPr>
              <w:t>DOCPROPERTY "Client" 186772. DOCPROPERTY "Matter" 00003/ SAVEDATE \@</w:t>
            </w:r>
          </w:p>
        </w:tc>
        <w:tc>
          <w:tcPr>
            <w:tcW w:w="22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(iv)</w:t>
            </w:r>
          </w:p>
        </w:tc>
        <w:tc>
          <w:tcPr>
            <w:tcW w:w="4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[Towers at Sierra Point]</w:t>
            </w:r>
          </w:p>
        </w:tc>
        <w:tc>
          <w:tcPr>
            <w:tcW w:w="0" w:type="dxa"/>
            <w:vAlign w:val="bottom"/>
          </w:tcPr>
          <w:p>
            <w:pPr>
              <w:spacing w:after="0"/>
              <w:rPr>
                <w:sz w:val="1"/>
                <w:szCs w:val="1"/>
                <w:color w:val="auto"/>
              </w:rPr>
            </w:pPr>
          </w:p>
        </w:tc>
      </w:tr>
      <w:tr>
        <w:trPr>
          <w:trHeight w:val="164"/>
        </w:trPr>
        <w:tc>
          <w:tcPr>
            <w:tcW w:w="4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M-d-yy 3-21-23/ DOCPROPERTY "User Init" mem/ DOCPROPERTY "Typist Init" ejs</w:t>
            </w:r>
          </w:p>
        </w:tc>
        <w:tc>
          <w:tcPr>
            <w:tcW w:w="2240" w:type="dxa"/>
            <w:vAlign w:val="bottom"/>
            <w:vMerge w:val="continue"/>
          </w:tcPr>
          <w:p>
            <w:pPr>
              <w:spacing w:after="0"/>
              <w:rPr>
                <w:sz w:val="14"/>
                <w:szCs w:val="14"/>
                <w:color w:val="auto"/>
              </w:rPr>
            </w:pPr>
          </w:p>
        </w:tc>
        <w:tc>
          <w:tcPr>
            <w:tcW w:w="40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[Tempest Therapeutics, Inc.]</w:t>
            </w:r>
          </w:p>
        </w:tc>
        <w:tc>
          <w:tcPr>
            <w:tcW w:w="0" w:type="dxa"/>
            <w:vAlign w:val="bottom"/>
          </w:tcPr>
          <w:p>
            <w:pPr>
              <w:spacing w:after="0"/>
              <w:rPr>
                <w:sz w:val="1"/>
                <w:szCs w:val="1"/>
                <w:color w:val="auto"/>
              </w:rPr>
            </w:pPr>
          </w:p>
        </w:tc>
      </w:tr>
      <w:tr>
        <w:trPr>
          <w:trHeight w:val="333"/>
        </w:trPr>
        <w:tc>
          <w:tcPr>
            <w:tcW w:w="10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4" w:name="page185"/>
    <w:bookmarkEnd w:id="184"/>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43" w:lineRule="exact"/>
        <w:rPr>
          <w:sz w:val="20"/>
          <w:szCs w:val="20"/>
          <w:color w:val="auto"/>
        </w:rPr>
      </w:pPr>
    </w:p>
    <w:p>
      <w:pPr>
        <w:ind w:right="3260" w:firstLine="3644"/>
        <w:spacing w:after="0" w:line="365" w:lineRule="auto"/>
        <w:rPr>
          <w:sz w:val="20"/>
          <w:szCs w:val="20"/>
          <w:color w:val="auto"/>
        </w:rPr>
      </w:pPr>
      <w:r>
        <w:rPr>
          <w:rFonts w:ascii="Times New Roman" w:cs="Times New Roman" w:eastAsia="Times New Roman" w:hAnsi="Times New Roman"/>
          <w:sz w:val="18"/>
          <w:szCs w:val="18"/>
          <w:color w:val="333333"/>
        </w:rPr>
        <w:t>Consent of Independent Registered Public Accounting Firm We consent to the incorporation by reference in the following Registration Statements:</w:t>
      </w:r>
    </w:p>
    <w:p>
      <w:pPr>
        <w:ind w:left="960" w:right="2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333-265718) pertaining to the Tempest Therapeutics, Inc. Amended and Restated 2019 Equity Incentive Plan and Tempest Therapeutics, Inc. 2019 Employee Stock Purchase Plan,</w:t>
      </w:r>
    </w:p>
    <w:p>
      <w:pPr>
        <w:spacing w:after="0" w:line="1" w:lineRule="exact"/>
        <w:rPr>
          <w:rFonts w:ascii="Times New Roman" w:cs="Times New Roman" w:eastAsia="Times New Roman" w:hAnsi="Times New Roman"/>
          <w:sz w:val="18"/>
          <w:szCs w:val="18"/>
          <w:color w:val="auto"/>
        </w:rPr>
      </w:pPr>
    </w:p>
    <w:p>
      <w:pPr>
        <w:ind w:left="960" w:hanging="563"/>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333-264989) of Tempest Therapeutics, Inc.,</w:t>
      </w:r>
    </w:p>
    <w:p>
      <w:pPr>
        <w:spacing w:after="0" w:line="63"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333-264943) pertaining to the Millendo Therapeutics, Inc. 2019 Equity Incentive Plan and Millendo Therapeutics, Inc. 2019 Employee Stock Purchase Plan,</w:t>
      </w:r>
    </w:p>
    <w:p>
      <w:pPr>
        <w:spacing w:after="0" w:line="1" w:lineRule="exact"/>
        <w:rPr>
          <w:rFonts w:ascii="Times New Roman" w:cs="Times New Roman" w:eastAsia="Times New Roman" w:hAnsi="Times New Roman"/>
          <w:sz w:val="18"/>
          <w:szCs w:val="18"/>
          <w:color w:val="auto"/>
        </w:rPr>
      </w:pPr>
    </w:p>
    <w:p>
      <w:pPr>
        <w:ind w:left="960" w:hanging="563"/>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333-257990) of Tempest Therapeutics, Inc.,</w:t>
      </w:r>
    </w:p>
    <w:p>
      <w:pPr>
        <w:spacing w:after="0" w:line="63"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333-257727) pertaining to the Tempest Therapeutics, Inc. 2017 Equity Incentive Plan and Inception 2, Inc. 2011 Equity Incentive Plan,</w:t>
      </w:r>
    </w:p>
    <w:p>
      <w:pPr>
        <w:spacing w:after="0" w:line="1" w:lineRule="exact"/>
        <w:rPr>
          <w:rFonts w:ascii="Times New Roman" w:cs="Times New Roman" w:eastAsia="Times New Roman" w:hAnsi="Times New Roman"/>
          <w:sz w:val="18"/>
          <w:szCs w:val="18"/>
          <w:color w:val="auto"/>
        </w:rPr>
      </w:pPr>
    </w:p>
    <w:p>
      <w:pPr>
        <w:ind w:left="960" w:right="2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333-182040) pertaining to the 2011 Stock Incentive Plan and 2012 Stock Incentive Plan of OvaScience, Inc.,</w:t>
      </w:r>
    </w:p>
    <w:p>
      <w:pPr>
        <w:spacing w:after="0" w:line="1" w:lineRule="exact"/>
        <w:rPr>
          <w:rFonts w:ascii="Times New Roman" w:cs="Times New Roman" w:eastAsia="Times New Roman" w:hAnsi="Times New Roman"/>
          <w:sz w:val="18"/>
          <w:szCs w:val="18"/>
          <w:color w:val="auto"/>
        </w:rPr>
      </w:pPr>
    </w:p>
    <w:p>
      <w:pPr>
        <w:ind w:left="960" w:hanging="563"/>
        <w:spacing w:after="0"/>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333-187897) pertaining to the 2012 Stock Incentive Plan of OvaScience, Inc.,</w:t>
      </w:r>
    </w:p>
    <w:p>
      <w:pPr>
        <w:spacing w:after="0" w:line="63" w:lineRule="exact"/>
        <w:rPr>
          <w:rFonts w:ascii="Times New Roman" w:cs="Times New Roman" w:eastAsia="Times New Roman" w:hAnsi="Times New Roman"/>
          <w:sz w:val="18"/>
          <w:szCs w:val="18"/>
          <w:color w:val="auto"/>
        </w:rPr>
      </w:pPr>
    </w:p>
    <w:p>
      <w:pPr>
        <w:ind w:left="960" w:right="2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333-195780) pertaining to the 2012 Stock Incentive Plan of OvaScience, Inc. and the Stock Option Agreement for Dr. Arthur Tzianabos,</w:t>
      </w:r>
    </w:p>
    <w:p>
      <w:pPr>
        <w:spacing w:after="0" w:line="1"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333-202793) pertaining to the 2012 Stock Incentive Plan of OvaScience, Inc., the Inducement Stock Option Award for Jeffrey E. Young, and the Inducement Stock Option Award for David P. Harding,</w:t>
      </w:r>
    </w:p>
    <w:p>
      <w:pPr>
        <w:spacing w:after="0" w:line="1" w:lineRule="exact"/>
        <w:rPr>
          <w:rFonts w:ascii="Times New Roman" w:cs="Times New Roman" w:eastAsia="Times New Roman" w:hAnsi="Times New Roman"/>
          <w:sz w:val="18"/>
          <w:szCs w:val="18"/>
          <w:color w:val="auto"/>
        </w:rPr>
      </w:pPr>
    </w:p>
    <w:p>
      <w:pPr>
        <w:ind w:left="960" w:right="2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333-209775) pertaining to the 2012 Stock Incentive Plan of OvaScience, Inc. and the Inducement Stock Option Award for John Eisel,</w:t>
      </w:r>
    </w:p>
    <w:p>
      <w:pPr>
        <w:spacing w:after="0" w:line="1"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333-216405) pertaining to the 2012 Stock Incentive Plan of OvaScience, Inc. and the 2016 New Employee Inducement Grant Plan, as Amended,</w:t>
      </w:r>
    </w:p>
    <w:p>
      <w:pPr>
        <w:spacing w:after="0" w:line="1" w:lineRule="exact"/>
        <w:rPr>
          <w:rFonts w:ascii="Times New Roman" w:cs="Times New Roman" w:eastAsia="Times New Roman" w:hAnsi="Times New Roman"/>
          <w:sz w:val="18"/>
          <w:szCs w:val="18"/>
          <w:color w:val="auto"/>
        </w:rPr>
      </w:pPr>
    </w:p>
    <w:p>
      <w:pPr>
        <w:ind w:left="960" w:right="2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333-226750) pertaining to the 2012 Stock Incentive Plan of OvaScience, Inc. and the Inducement Stock Option Award to James W. Lillie, Ph.D.,</w:t>
      </w:r>
    </w:p>
    <w:p>
      <w:pPr>
        <w:spacing w:after="0" w:line="1"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333-230750) pertaining to the Millendo Therapeutics, Inc. 2012 Stock Plan, OvaScience 2012 Stock Incentive Plan, New Hire Inducement Stock Option Grants, BSA Warrants and BSPCE Warrants,</w:t>
      </w:r>
    </w:p>
    <w:p>
      <w:pPr>
        <w:spacing w:after="0" w:line="1" w:lineRule="exact"/>
        <w:rPr>
          <w:rFonts w:ascii="Times New Roman" w:cs="Times New Roman" w:eastAsia="Times New Roman" w:hAnsi="Times New Roman"/>
          <w:sz w:val="18"/>
          <w:szCs w:val="18"/>
          <w:color w:val="auto"/>
        </w:rPr>
      </w:pPr>
    </w:p>
    <w:p>
      <w:pPr>
        <w:ind w:left="960" w:hanging="563"/>
        <w:spacing w:after="0" w:line="281"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333-235515) pertaining to the Millendo Therapeutics, Inc. 2019 Equity Incentive Plan, Millendo Therapeutics, Inc. 2019 Employee Stock Purchase Plan, and New Hire Inducement Stock Options Grants of Millendo Therapeutics, Inc., and</w:t>
      </w:r>
    </w:p>
    <w:p>
      <w:pPr>
        <w:spacing w:after="0" w:line="1" w:lineRule="exact"/>
        <w:rPr>
          <w:rFonts w:ascii="Times New Roman" w:cs="Times New Roman" w:eastAsia="Times New Roman" w:hAnsi="Times New Roman"/>
          <w:sz w:val="18"/>
          <w:szCs w:val="18"/>
          <w:color w:val="auto"/>
        </w:rPr>
      </w:pPr>
    </w:p>
    <w:p>
      <w:pPr>
        <w:ind w:left="960" w:hanging="563"/>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333-249993) pertaining to the Millendo Therapeutics, Inc. 2019 Equity Incentive Plan, Millendo Therapeutics, Inc. 2019 Employee Stock Purchase Plan, and New Hire Inducement Stock Options Grant of Millendo Therapeutics, Inc.;</w:t>
      </w:r>
    </w:p>
    <w:p>
      <w:pPr>
        <w:spacing w:after="0" w:line="3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333333"/>
        </w:rPr>
        <w:t>of our report dated March 22, 2023, with respect to the consolidated financial statements of Tempest Therapeutics, Inc. included in this Annual Report (Form 10-K) of Tempest Therapeutics, Inc. for the year ended December 31, 2022.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Chicago, Illinois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Brady, certify that:</w:t>
      </w:r>
    </w:p>
    <w:p>
      <w:pPr>
        <w:spacing w:after="0" w:line="225" w:lineRule="exact"/>
        <w:rPr>
          <w:sz w:val="20"/>
          <w:szCs w:val="20"/>
          <w:color w:val="auto"/>
        </w:rPr>
      </w:pPr>
    </w:p>
    <w:p>
      <w:pPr>
        <w:ind w:left="380" w:hanging="372"/>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79"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26035</wp:posOffset>
            </wp:positionV>
            <wp:extent cx="241744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Stephen Brady</w:t>
      </w:r>
    </w:p>
    <w:p>
      <w:pPr>
        <w:spacing w:after="0" w:line="3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Maestas, certify that:</w:t>
      </w:r>
    </w:p>
    <w:p>
      <w:pPr>
        <w:spacing w:after="0" w:line="225" w:lineRule="exact"/>
        <w:rPr>
          <w:sz w:val="20"/>
          <w:szCs w:val="20"/>
          <w:color w:val="auto"/>
        </w:rPr>
      </w:pPr>
    </w:p>
    <w:p>
      <w:pPr>
        <w:ind w:left="380" w:hanging="372"/>
        <w:spacing w:after="0"/>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22, 2023</w:t>
      </w:r>
    </w:p>
    <w:p>
      <w:pPr>
        <w:spacing w:after="0" w:line="279"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26035</wp:posOffset>
            </wp:positionV>
            <wp:extent cx="241744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3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Vice-President, Strategy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spacing w:after="0" w:line="176" w:lineRule="exact"/>
        <w:rPr>
          <w:sz w:val="20"/>
          <w:szCs w:val="20"/>
          <w:color w:val="auto"/>
        </w:rPr>
      </w:pPr>
    </w:p>
    <w:p>
      <w:pPr>
        <w:ind w:left="380" w:right="20" w:hanging="372"/>
        <w:spacing w:after="0" w:line="282" w:lineRule="auto"/>
        <w:tabs>
          <w:tab w:leader="none" w:pos="3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2022, to which this Certification is attached as Exhibit 32.1 (the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right="420" w:firstLine="8"/>
        <w:spacing w:after="0" w:line="532" w:lineRule="auto"/>
        <w:tabs>
          <w:tab w:leader="none" w:pos="37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March 22,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Brady</w:t>
            </w:r>
          </w:p>
        </w:tc>
        <w:tc>
          <w:tcPr>
            <w:tcW w:w="3240" w:type="dxa"/>
            <w:vAlign w:val="bottom"/>
          </w:tcPr>
          <w:p>
            <w:pPr>
              <w:spacing w:after="0"/>
              <w:rPr>
                <w:sz w:val="20"/>
                <w:szCs w:val="20"/>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Nicholas Maestas</w:t>
            </w:r>
          </w:p>
        </w:tc>
      </w:tr>
      <w:tr>
        <w:trPr>
          <w:trHeight w:val="40"/>
        </w:trPr>
        <w:tc>
          <w:tcPr>
            <w:tcW w:w="4140" w:type="dxa"/>
            <w:vAlign w:val="bottom"/>
            <w:tcBorders>
              <w:bottom w:val="single" w:sz="8" w:color="auto"/>
            </w:tcBorders>
          </w:tcPr>
          <w:p>
            <w:pPr>
              <w:spacing w:after="0"/>
              <w:rPr>
                <w:sz w:val="3"/>
                <w:szCs w:val="3"/>
                <w:color w:val="auto"/>
              </w:rPr>
            </w:pPr>
          </w:p>
        </w:tc>
        <w:tc>
          <w:tcPr>
            <w:tcW w:w="3240" w:type="dxa"/>
            <w:vAlign w:val="bottom"/>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r>
      <w:tr>
        <w:trPr>
          <w:trHeight w:val="277"/>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Brady</w:t>
            </w:r>
          </w:p>
        </w:tc>
        <w:tc>
          <w:tcPr>
            <w:tcW w:w="324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Nicholas Maestas</w:t>
            </w:r>
          </w:p>
        </w:tc>
      </w:tr>
      <w:tr>
        <w:trPr>
          <w:trHeight w:val="32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240" w:type="dxa"/>
            <w:vAlign w:val="bottom"/>
          </w:tcPr>
          <w:p>
            <w:pPr>
              <w:spacing w:after="0"/>
              <w:rPr>
                <w:sz w:val="24"/>
                <w:szCs w:val="24"/>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Vice-President, Strategy and Finance</w:t>
            </w: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8" w:name="page189"/>
    <w:bookmarkEnd w:id="1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1."/>
      <w:numFmt w:val="decimal"/>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lowerRoman"/>
      <w:start w:val="3"/>
    </w:lvl>
  </w:abstractNum>
  <w:abstractNum w:abstractNumId="11">
    <w:nsid w:val="1BA026FA"/>
    <w:multiLevelType w:val="hybridMultilevel"/>
    <w:lvl w:ilvl="0">
      <w:lvlJc w:val="left"/>
      <w:lvlText w:val="(%1)"/>
      <w:numFmt w:val="lowerRoman"/>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1)"/>
      <w:numFmt w:val="decimal"/>
      <w:start w:val="9"/>
    </w:lvl>
  </w:abstractNum>
  <w:abstractNum w:abstractNumId="40">
    <w:nsid w:val="25A70BF7"/>
    <w:multiLevelType w:val="hybridMultilevel"/>
    <w:lvl w:ilvl="0">
      <w:lvlJc w:val="left"/>
      <w:lvlText w:val="%1."/>
      <w:numFmt w:val="decimal"/>
      <w:start w:val="8"/>
    </w:lvl>
  </w:abstractNum>
  <w:abstractNum w:abstractNumId="41">
    <w:nsid w:val="1DBABF00"/>
    <w:multiLevelType w:val="hybridMultilevel"/>
    <w:lvl w:ilvl="0">
      <w:lvlJc w:val="left"/>
      <w:lvlText w:val="%1."/>
      <w:numFmt w:val="decimal"/>
      <w:start w:val="9"/>
    </w:lvl>
  </w:abstractNum>
  <w:abstractNum w:abstractNumId="42">
    <w:nsid w:val="4AD084E9"/>
    <w:multiLevelType w:val="hybridMultilevel"/>
    <w:lvl w:ilvl="0">
      <w:lvlJc w:val="left"/>
      <w:lvlText w:val="(%1)"/>
      <w:numFmt w:val="lowerLetter"/>
      <w:start w:val="6"/>
    </w:lvl>
  </w:abstractNum>
  <w:abstractNum w:abstractNumId="43">
    <w:nsid w:val="1F48EAA1"/>
    <w:multiLevelType w:val="hybridMultilevel"/>
    <w:lvl w:ilvl="0">
      <w:lvlJc w:val="left"/>
      <w:lvlText w:val="(%1)"/>
      <w:numFmt w:val="lowerRoman"/>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1."/>
      <w:numFmt w:val="decimal"/>
      <w:start w:val="3"/>
    </w:lvl>
  </w:abstractNum>
  <w:abstractNum w:abstractNumId="48">
    <w:nsid w:val="15014ACB"/>
    <w:multiLevelType w:val="hybridMultilevel"/>
    <w:lvl w:ilvl="0">
      <w:lvlJc w:val="left"/>
      <w:lvlText w:val="%1."/>
      <w:numFmt w:val="decimal"/>
      <w:start w:val="4"/>
    </w:lvl>
  </w:abstractNum>
  <w:abstractNum w:abstractNumId="49">
    <w:nsid w:val="5F5E7FD0"/>
    <w:multiLevelType w:val="hybridMultilevel"/>
    <w:lvl w:ilvl="0">
      <w:lvlJc w:val="left"/>
      <w:lvlText w:val="%1."/>
      <w:numFmt w:val="decimal"/>
      <w:start w:val="5"/>
    </w:lvl>
  </w:abstractNum>
  <w:abstractNum w:abstractNumId="50">
    <w:nsid w:val="98A3148"/>
    <w:multiLevelType w:val="hybridMultilevel"/>
    <w:lvl w:ilvl="0">
      <w:lvlJc w:val="left"/>
      <w:lvlText w:val="%1."/>
      <w:numFmt w:val="decimal"/>
      <w:start w:val="7"/>
    </w:lvl>
  </w:abstractNum>
  <w:abstractNum w:abstractNumId="51">
    <w:nsid w:val="799D0247"/>
    <w:multiLevelType w:val="hybridMultilevel"/>
    <w:lvl w:ilvl="0">
      <w:lvlJc w:val="left"/>
      <w:lvlText w:val="%1."/>
      <w:numFmt w:val="decimal"/>
      <w:start w:val="8"/>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decimal"/>
      <w:start w:val="2"/>
    </w:lvl>
  </w:abstractNum>
  <w:abstractNum w:abstractNumId="54">
    <w:nsid w:val="168E121F"/>
    <w:multiLevelType w:val="hybridMultilevel"/>
    <w:lvl w:ilvl="0">
      <w:lvlJc w:val="left"/>
      <w:lvlText w:val="(%1)"/>
      <w:numFmt w:val="decimal"/>
      <w:start w:val="10"/>
    </w:lvl>
  </w:abstractNum>
  <w:abstractNum w:abstractNumId="55">
    <w:nsid w:val="1EBA5D23"/>
    <w:multiLevelType w:val="hybridMultilevel"/>
    <w:lvl w:ilvl="0">
      <w:lvlJc w:val="left"/>
      <w:lvlText w:val="%1."/>
      <w:numFmt w:val="decimal"/>
      <w:start w:val="3"/>
    </w:lvl>
  </w:abstractNum>
  <w:abstractNum w:abstractNumId="56">
    <w:nsid w:val="661E3F1E"/>
    <w:multiLevelType w:val="hybridMultilevel"/>
    <w:lvl w:ilvl="0">
      <w:lvlJc w:val="left"/>
      <w:lvlText w:val="(%1)"/>
      <w:numFmt w:val="lowerRoman"/>
      <w:start w:val="12"/>
    </w:lvl>
    <w:lvl w:ilvl="1">
      <w:lvlJc w:val="left"/>
      <w:lvlText w:val="%2"/>
      <w:numFmt w:val="lowerLetter"/>
      <w:start w:val="1"/>
    </w:lvl>
  </w:abstractNum>
  <w:abstractNum w:abstractNumId="57">
    <w:nsid w:val="5DC79EA8"/>
    <w:multiLevelType w:val="hybridMultilevel"/>
    <w:lvl w:ilvl="0">
      <w:lvlJc w:val="left"/>
      <w:lvlText w:val="(%1)"/>
      <w:numFmt w:val="lowerRoman"/>
      <w:start w:val="15"/>
    </w:lvl>
    <w:lvl w:ilvl="1">
      <w:lvlJc w:val="left"/>
      <w:lvlText w:val="(%2)"/>
      <w:numFmt w:val="lowerLetter"/>
      <w:start w:val="1"/>
    </w:lvl>
  </w:abstractNum>
  <w:abstractNum w:abstractNumId="58">
    <w:nsid w:val="540A471C"/>
    <w:multiLevelType w:val="hybridMultilevel"/>
    <w:lvl w:ilvl="0">
      <w:lvlJc w:val="left"/>
      <w:lvlText w:val="(%1)"/>
      <w:numFmt w:val="lowerLetter"/>
      <w:start w:val="3"/>
    </w:lvl>
  </w:abstractNum>
  <w:abstractNum w:abstractNumId="59">
    <w:nsid w:val="7BD3EE7B"/>
    <w:multiLevelType w:val="hybridMultilevel"/>
    <w:lvl w:ilvl="0">
      <w:lvlJc w:val="left"/>
      <w:lvlText w:val="(%1)"/>
      <w:numFmt w:val="lowerLetter"/>
      <w:start w:val="13"/>
    </w:lvl>
  </w:abstractNum>
  <w:abstractNum w:abstractNumId="60">
    <w:nsid w:val="51D9C564"/>
    <w:multiLevelType w:val="hybridMultilevel"/>
    <w:lvl w:ilvl="0">
      <w:lvlJc w:val="left"/>
      <w:lvlText w:val="(%1)"/>
      <w:numFmt w:val="lowerRoman"/>
      <w:start w:val="3"/>
    </w:lvl>
  </w:abstractNum>
  <w:abstractNum w:abstractNumId="61">
    <w:nsid w:val="613EFDC5"/>
    <w:multiLevelType w:val="hybridMultilevel"/>
    <w:lvl w:ilvl="0">
      <w:lvlJc w:val="left"/>
      <w:lvlText w:val="(%1)"/>
      <w:numFmt w:val="decimal"/>
      <w:start w:val="2"/>
    </w:lvl>
  </w:abstractNum>
  <w:abstractNum w:abstractNumId="62">
    <w:nsid w:val="BF72B14"/>
    <w:multiLevelType w:val="hybridMultilevel"/>
    <w:lvl w:ilvl="0">
      <w:lvlJc w:val="left"/>
      <w:lvlText w:val="(%1)"/>
      <w:numFmt w:val="decimal"/>
      <w:start w:val="2"/>
    </w:lvl>
  </w:abstractNum>
  <w:abstractNum w:abstractNumId="63">
    <w:nsid w:val="11447B73"/>
    <w:multiLevelType w:val="hybridMultilevel"/>
    <w:lvl w:ilvl="0">
      <w:lvlJc w:val="left"/>
      <w:lvlText w:val="%1."/>
      <w:numFmt w:val="decimal"/>
      <w:start w:val="5"/>
    </w:lvl>
  </w:abstractNum>
  <w:abstractNum w:abstractNumId="64">
    <w:nsid w:val="42963E5A"/>
    <w:multiLevelType w:val="hybridMultilevel"/>
    <w:lvl w:ilvl="0">
      <w:lvlJc w:val="left"/>
      <w:lvlText w:val="(%1)"/>
      <w:numFmt w:val="decimal"/>
      <w:start w:val="5"/>
    </w:lvl>
  </w:abstractNum>
  <w:abstractNum w:abstractNumId="65">
    <w:nsid w:val="A0382C5"/>
    <w:multiLevelType w:val="hybridMultilevel"/>
    <w:lvl w:ilvl="0">
      <w:lvlJc w:val="left"/>
      <w:lvlText w:val="%1."/>
      <w:numFmt w:val="decimal"/>
      <w:start w:val="6"/>
    </w:lvl>
  </w:abstractNum>
  <w:abstractNum w:abstractNumId="66">
    <w:nsid w:val="8F2B15E"/>
    <w:multiLevelType w:val="hybridMultilevel"/>
    <w:lvl w:ilvl="0">
      <w:lvlJc w:val="left"/>
      <w:lvlText w:val="%1."/>
      <w:numFmt w:val="decimal"/>
      <w:start w:val="7"/>
    </w:lvl>
  </w:abstractNum>
  <w:abstractNum w:abstractNumId="67">
    <w:nsid w:val="1A32234B"/>
    <w:multiLevelType w:val="hybridMultilevel"/>
    <w:lvl w:ilvl="0">
      <w:lvlJc w:val="left"/>
      <w:lvlText w:val="%1."/>
      <w:numFmt w:val="decimal"/>
      <w:start w:val="8"/>
    </w:lvl>
  </w:abstractNum>
  <w:abstractNum w:abstractNumId="68">
    <w:nsid w:val="3B0FD379"/>
    <w:multiLevelType w:val="hybridMultilevel"/>
    <w:lvl w:ilvl="0">
      <w:lvlJc w:val="left"/>
      <w:lvlText w:val="(%1)"/>
      <w:numFmt w:val="decimal"/>
      <w:start w:val="10"/>
    </w:lvl>
  </w:abstractNum>
  <w:abstractNum w:abstractNumId="69">
    <w:nsid w:val="68EB2F63"/>
    <w:multiLevelType w:val="hybridMultilevel"/>
    <w:lvl w:ilvl="0">
      <w:lvlJc w:val="left"/>
      <w:lvlText w:val="%1."/>
      <w:numFmt w:val="decimal"/>
      <w:start w:val="9"/>
    </w:lvl>
  </w:abstractNum>
  <w:abstractNum w:abstractNumId="70">
    <w:nsid w:val="4962813B"/>
    <w:multiLevelType w:val="hybridMultilevel"/>
    <w:lvl w:ilvl="0">
      <w:lvlJc w:val="left"/>
      <w:lvlText w:val="%1."/>
      <w:numFmt w:val="decimal"/>
      <w:start w:val="11"/>
    </w:lvl>
  </w:abstractNum>
  <w:abstractNum w:abstractNumId="71">
    <w:nsid w:val="60B6DF70"/>
    <w:multiLevelType w:val="hybridMultilevel"/>
    <w:lvl w:ilvl="0">
      <w:lvlJc w:val="left"/>
      <w:lvlText w:val="%1."/>
      <w:numFmt w:val="decimal"/>
      <w:start w:val="12"/>
    </w:lvl>
  </w:abstractNum>
  <w:abstractNum w:abstractNumId="72">
    <w:nsid w:val="6A5EE64"/>
    <w:multiLevelType w:val="hybridMultilevel"/>
    <w:lvl w:ilvl="0">
      <w:lvlJc w:val="left"/>
      <w:lvlText w:val="%1."/>
      <w:numFmt w:val="decimal"/>
      <w:start w:val="14"/>
    </w:lvl>
  </w:abstractNum>
  <w:abstractNum w:abstractNumId="73">
    <w:nsid w:val="14330624"/>
    <w:multiLevelType w:val="hybridMultilevel"/>
    <w:lvl w:ilvl="0">
      <w:lvlJc w:val="left"/>
      <w:lvlText w:val="%1."/>
      <w:numFmt w:val="decimal"/>
      <w:start w:val="15"/>
    </w:lvl>
  </w:abstractNum>
  <w:abstractNum w:abstractNumId="74">
    <w:nsid w:val="7FFFCA11"/>
    <w:multiLevelType w:val="hybridMultilevel"/>
    <w:lvl w:ilvl="0">
      <w:lvlJc w:val="left"/>
      <w:lvlText w:val="%1."/>
      <w:numFmt w:val="decimal"/>
      <w:start w:val="16"/>
    </w:lvl>
  </w:abstractNum>
  <w:abstractNum w:abstractNumId="75">
    <w:nsid w:val="1A27709E"/>
    <w:multiLevelType w:val="hybridMultilevel"/>
    <w:lvl w:ilvl="0">
      <w:lvlJc w:val="left"/>
      <w:lvlText w:val="%1."/>
      <w:numFmt w:val="decimal"/>
      <w:start w:val="19"/>
    </w:lvl>
  </w:abstractNum>
  <w:abstractNum w:abstractNumId="76">
    <w:nsid w:val="71EA1109"/>
    <w:multiLevelType w:val="hybridMultilevel"/>
    <w:lvl w:ilvl="0">
      <w:lvlJc w:val="left"/>
      <w:lvlText w:val="(%1)"/>
      <w:numFmt w:val="lowerRoman"/>
      <w:start w:val="1"/>
    </w:lvl>
  </w:abstractNum>
  <w:abstractNum w:abstractNumId="77">
    <w:nsid w:val="100F59DC"/>
    <w:multiLevelType w:val="hybridMultilevel"/>
    <w:lvl w:ilvl="0">
      <w:lvlJc w:val="left"/>
      <w:lvlText w:val="%1."/>
      <w:numFmt w:val="decimal"/>
      <w:start w:val="20"/>
    </w:lvl>
  </w:abstractNum>
  <w:abstractNum w:abstractNumId="78">
    <w:nsid w:val="7FB7E0AA"/>
    <w:multiLevelType w:val="hybridMultilevel"/>
    <w:lvl w:ilvl="0">
      <w:lvlJc w:val="left"/>
      <w:lvlText w:val="%1."/>
      <w:numFmt w:val="decimal"/>
      <w:start w:val="22"/>
    </w:lvl>
  </w:abstractNum>
  <w:abstractNum w:abstractNumId="79">
    <w:nsid w:val="6EB5BD4"/>
    <w:multiLevelType w:val="hybridMultilevel"/>
    <w:lvl w:ilvl="0">
      <w:lvlJc w:val="left"/>
      <w:lvlText w:val="%1."/>
      <w:numFmt w:val="decimal"/>
      <w:start w:val="23"/>
    </w:lvl>
  </w:abstractNum>
  <w:abstractNum w:abstractNumId="80">
    <w:nsid w:val="6F6DD9AC"/>
    <w:multiLevelType w:val="hybridMultilevel"/>
    <w:lvl w:ilvl="0">
      <w:lvlJc w:val="left"/>
      <w:lvlText w:val="%1."/>
      <w:numFmt w:val="decimal"/>
      <w:start w:val="24"/>
    </w:lvl>
  </w:abstractNum>
  <w:abstractNum w:abstractNumId="81">
    <w:nsid w:val="94211F2"/>
    <w:multiLevelType w:val="hybridMultilevel"/>
    <w:lvl w:ilvl="0">
      <w:lvlJc w:val="left"/>
      <w:lvlText w:val="%1."/>
      <w:numFmt w:val="decimal"/>
      <w:start w:val="25"/>
    </w:lvl>
  </w:abstractNum>
  <w:abstractNum w:abstractNumId="82">
    <w:nsid w:val="885E1B"/>
    <w:multiLevelType w:val="hybridMultilevel"/>
    <w:lvl w:ilvl="0">
      <w:lvlJc w:val="left"/>
      <w:lvlText w:val="(%1)"/>
      <w:numFmt w:val="decimal"/>
      <w:start w:val="30"/>
    </w:lvl>
  </w:abstractNum>
  <w:abstractNum w:abstractNumId="83">
    <w:nsid w:val="76272110"/>
    <w:multiLevelType w:val="hybridMultilevel"/>
    <w:lvl w:ilvl="0">
      <w:lvlJc w:val="left"/>
      <w:lvlText w:val="%1."/>
      <w:numFmt w:val="decimal"/>
      <w:start w:val="27"/>
    </w:lvl>
  </w:abstractNum>
  <w:abstractNum w:abstractNumId="84">
    <w:nsid w:val="4C04A8AF"/>
    <w:multiLevelType w:val="hybridMultilevel"/>
    <w:lvl w:ilvl="0">
      <w:lvlJc w:val="left"/>
      <w:lvlText w:val="(%1)"/>
      <w:numFmt w:val="decimal"/>
      <w:start w:val="2"/>
    </w:lvl>
  </w:abstractNum>
  <w:abstractNum w:abstractNumId="85">
    <w:nsid w:val="1716703B"/>
    <w:multiLevelType w:val="hybridMultilevel"/>
    <w:lvl w:ilvl="0">
      <w:lvlJc w:val="left"/>
      <w:lvlText w:val="A"/>
      <w:numFmt w:val="bullet"/>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lvl w:ilvl="1">
      <w:lvlJc w:val="left"/>
      <w:lvlText w:val="(%2)"/>
      <w:numFmt w:val="lowerLetter"/>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78"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257" Type="http://schemas.openxmlformats.org/officeDocument/2006/relationships/hyperlink" Target="https://www.sec.gov/Archives/edgar/data/1544227/000110465921042768/tm2111026d1_ex2-1.htm" TargetMode="External"/><Relationship Id="rId258" Type="http://schemas.openxmlformats.org/officeDocument/2006/relationships/hyperlink" Target="https://www.sec.gov/Archives/edgar/data/1544227/000155837019005038/mlnd-20190331ex31b53fa83.htm" TargetMode="External"/><Relationship Id="rId259" Type="http://schemas.openxmlformats.org/officeDocument/2006/relationships/hyperlink" Target="https://www.sec.gov/Archives/edgar/data/1544227/000119312521201157/d196630dex31.htm" TargetMode="External"/><Relationship Id="rId260" Type="http://schemas.openxmlformats.org/officeDocument/2006/relationships/hyperlink" Target="https://www.sec.gov/Archives/edgar/data/1544227/000119312521201157/d196630dex32.htm" TargetMode="External"/><Relationship Id="rId261" Type="http://schemas.openxmlformats.org/officeDocument/2006/relationships/hyperlink" Target="https://www.sec.gov/Archives/edgar/data/1544227/000119312521281694/d222030dex31.htm" TargetMode="External"/><Relationship Id="rId262" Type="http://schemas.openxmlformats.org/officeDocument/2006/relationships/hyperlink" Target="https://www.sec.gov/Archives/edgar/data/1544227/000119312522092417/d328059dex41.htm" TargetMode="External"/><Relationship Id="rId263" Type="http://schemas.openxmlformats.org/officeDocument/2006/relationships/hyperlink" Target="https://www.sec.gov/Archives/edgar/data/1544227/000119312521148605/d150774dex42.htm" TargetMode="External"/><Relationship Id="rId264" Type="http://schemas.openxmlformats.org/officeDocument/2006/relationships/hyperlink" Target="https://www.sec.gov/Archives/edgar/data/1544227/000119312522135401/d212050dex41.htm" TargetMode="External"/><Relationship Id="rId265" Type="http://schemas.openxmlformats.org/officeDocument/2006/relationships/hyperlink" Target="https://www.sec.gov/Archives/edgar/data/1544227/000119312521208968/d184348dex102.htm" TargetMode="External"/><Relationship Id="rId266" Type="http://schemas.openxmlformats.org/officeDocument/2006/relationships/hyperlink" Target="https://www.sec.gov/Archives/edgar/data/1544227/000119312521208968/d184348dex101.htm" TargetMode="External"/><Relationship Id="rId267" Type="http://schemas.openxmlformats.org/officeDocument/2006/relationships/hyperlink" Target="https://www.sec.gov/Archives/edgar/data/1544227/000162828022007717/tempest-2017eipxformofst.htm" TargetMode="External"/><Relationship Id="rId268" Type="http://schemas.openxmlformats.org/officeDocument/2006/relationships/hyperlink" Target="https://www.sec.gov/Archives/edgar/data/1544227/000119312522177053/d370249dex101.htm" TargetMode="External"/><Relationship Id="rId269" Type="http://schemas.openxmlformats.org/officeDocument/2006/relationships/hyperlink" Target="https://www.sec.gov/Archives/edgar/data/1544227/000155837019007932/mlnd-20190630ex107cfce16.htm" TargetMode="External"/><Relationship Id="rId270" Type="http://schemas.openxmlformats.org/officeDocument/2006/relationships/hyperlink" Target="https://www.sec.gov/Archives/edgar/data/1544227/000155837019007932/mlnd-20190630ex108da3c00.htm" TargetMode="External"/><Relationship Id="rId271" Type="http://schemas.openxmlformats.org/officeDocument/2006/relationships/hyperlink" Target="https://www.sec.gov/Archives/edgar/data/1544227/000154422720000004/mlnd-20191231xex1016.htm" TargetMode="External"/><Relationship Id="rId272" Type="http://schemas.openxmlformats.org/officeDocument/2006/relationships/hyperlink" Target="https://www.sec.gov/Archives/edgar/data/1544227/000154422720000004/mlnd-201912x31xex1017.htm" TargetMode="External"/><Relationship Id="rId273" Type="http://schemas.openxmlformats.org/officeDocument/2006/relationships/hyperlink" Target="https://www.sec.gov/Archives/edgar/data/1544227/000119312522177053/d370249dex102.htm" TargetMode="External"/><Relationship Id="rId274" Type="http://schemas.openxmlformats.org/officeDocument/2006/relationships/hyperlink" Target="https://www.sec.gov/Archives/edgar/data/1544227/000119312521148605/d150774dex103.htm" TargetMode="External"/><Relationship Id="rId275" Type="http://schemas.openxmlformats.org/officeDocument/2006/relationships/hyperlink" Target="https://www.sec.gov/Archives/edgar/data/1544227/000119312521209988/d69289dex101.htm" TargetMode="External"/><Relationship Id="rId276" Type="http://schemas.openxmlformats.org/officeDocument/2006/relationships/hyperlink" Target="https://www.sec.gov/Archives/edgar/data/1544227/000119312521209988/d69289dex102.htm" TargetMode="External"/><Relationship Id="rId277" Type="http://schemas.openxmlformats.org/officeDocument/2006/relationships/hyperlink" Target="https://www.sec.gov/Archives/edgar/data/1544227/000119312521209988/d69289dex103.htm" TargetMode="External"/><Relationship Id="rId279" Type="http://schemas.openxmlformats.org/officeDocument/2006/relationships/hyperlink" Target="https://www.sec.gov/Archives/edgar/data/1544227/000119312521209988/d69289dex104.htm" TargetMode="External"/><Relationship Id="rId280" Type="http://schemas.openxmlformats.org/officeDocument/2006/relationships/hyperlink" Target="https://www.sec.gov/Archives/edgar/data/1544227/000119312522135401/d212050dex101.htm" TargetMode="External"/><Relationship Id="rId281" Type="http://schemas.openxmlformats.org/officeDocument/2006/relationships/hyperlink" Target="https://www.sec.gov/Archives/edgar/data/1544227/000119312522135401/d212050dex102.htm" TargetMode="External"/><Relationship Id="rId282" Type="http://schemas.openxmlformats.org/officeDocument/2006/relationships/hyperlink" Target="https://www.sec.gov/Archives/edgar/data/1544227/000119312522314745/d411465dex101.htm" TargetMode="External"/><Relationship Id="rId283" Type="http://schemas.openxmlformats.org/officeDocument/2006/relationships/hyperlink" Target="https://www.sec.gov/Archives/edgar/data/1544227/000119312522092417/d3280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2023-03-22T21:32:07Z</dcterms:created>
  <dcterms:modified xsi:type="dcterms:W3CDTF">2023-03-22T21:32:07Z</dcterms:modified>
</cp:coreProperties>
</file>